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A7036" w14:textId="33AA8EE0" w:rsidR="009637FA" w:rsidRDefault="00A068AB" w:rsidP="009F7FE8">
      <w:pPr>
        <w:pStyle w:val="Title"/>
      </w:pPr>
      <w:r w:rsidRPr="00DA4551">
        <w:t xml:space="preserve">VicGrid </w:t>
      </w:r>
    </w:p>
    <w:p w14:paraId="7F2C67B9" w14:textId="409F6A45" w:rsidR="00126A86" w:rsidRPr="00126A86" w:rsidRDefault="008B4C23" w:rsidP="009F7FE8">
      <w:pPr>
        <w:pStyle w:val="Title"/>
      </w:pPr>
      <w:proofErr w:type="gramStart"/>
      <w:r>
        <w:t>South West</w:t>
      </w:r>
      <w:proofErr w:type="gramEnd"/>
      <w:r>
        <w:t xml:space="preserve"> Renewable Energy Zone</w:t>
      </w:r>
    </w:p>
    <w:p w14:paraId="3319A341" w14:textId="4FCE9E26" w:rsidR="00D71095" w:rsidRDefault="008B4C23" w:rsidP="009F7FE8">
      <w:pPr>
        <w:pStyle w:val="Subtitle"/>
      </w:pPr>
      <w:r>
        <w:t xml:space="preserve">Updated </w:t>
      </w:r>
      <w:r w:rsidR="000B6F71">
        <w:t>May</w:t>
      </w:r>
      <w:r w:rsidR="000C02A8">
        <w:t xml:space="preserve"> 202</w:t>
      </w:r>
      <w:r w:rsidR="00F868F7">
        <w:t>6</w:t>
      </w:r>
    </w:p>
    <w:p w14:paraId="30055BA5" w14:textId="3946DB64" w:rsidR="00A41FF0" w:rsidRPr="009F7FE8" w:rsidRDefault="00027023" w:rsidP="009F7FE8">
      <w:r w:rsidRPr="009F7FE8">
        <w:t xml:space="preserve">The Minister for Energy and Resources has formally declared the </w:t>
      </w:r>
      <w:proofErr w:type="gramStart"/>
      <w:r w:rsidRPr="009F7FE8">
        <w:t>South West</w:t>
      </w:r>
      <w:proofErr w:type="gramEnd"/>
      <w:r w:rsidRPr="009F7FE8">
        <w:t xml:space="preserve"> Renewable Energy Zone which is located south-</w:t>
      </w:r>
      <w:r w:rsidR="00293EF9">
        <w:t>east</w:t>
      </w:r>
      <w:r w:rsidRPr="009F7FE8">
        <w:t xml:space="preserve"> of Hamilton, between Macarthur and Darlington.</w:t>
      </w:r>
    </w:p>
    <w:p w14:paraId="58999405" w14:textId="55C366EF" w:rsidR="00A41FF0" w:rsidRPr="000B6E26" w:rsidRDefault="00A41FF0" w:rsidP="000B6E26">
      <w:pPr>
        <w:pStyle w:val="Bodycopy"/>
      </w:pPr>
      <w:r w:rsidRPr="000B6E26">
        <w:t xml:space="preserve">The 2025 Victorian Transmission Plan proposed a renewable energy zone with two sections in </w:t>
      </w:r>
      <w:proofErr w:type="gramStart"/>
      <w:r w:rsidRPr="000B6E26">
        <w:t>south west</w:t>
      </w:r>
      <w:proofErr w:type="gramEnd"/>
      <w:r w:rsidRPr="000B6E26">
        <w:t xml:space="preserve"> Victoria, the one outlined above, and a second section between Casterton and Balmoral (known to the community as the Dundas Tablelands).</w:t>
      </w:r>
    </w:p>
    <w:p w14:paraId="16D05DCF" w14:textId="723445D1" w:rsidR="00A41FF0" w:rsidRPr="00D717DF" w:rsidRDefault="00A41FF0" w:rsidP="000B6E26">
      <w:pPr>
        <w:pStyle w:val="Bodycopy"/>
      </w:pPr>
      <w:r w:rsidRPr="00D717DF">
        <w:t>The Minister for Energy and Resources has chosen to formally declare only the southern section of the zone.</w:t>
      </w:r>
    </w:p>
    <w:p w14:paraId="414963A1" w14:textId="09BEC530" w:rsidR="00015876" w:rsidRDefault="00A41FF0" w:rsidP="000B6E26">
      <w:pPr>
        <w:pStyle w:val="Bodycopy"/>
      </w:pPr>
      <w:r w:rsidRPr="00D717DF">
        <w:t>When deciding not to declare the area known as the Dundas Tablelands, the Minister acknowledged the need to understand in more detail and consult further on concerns raised by local communities regarding environmental and biodiversity values, land use constraints, and potential complexities for projects.</w:t>
      </w:r>
    </w:p>
    <w:p w14:paraId="4320FC1F" w14:textId="7BA51731" w:rsidR="00880353" w:rsidRDefault="009F7FE8" w:rsidP="009F7FE8">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proofErr w:type="gramStart"/>
      <w:r>
        <w:t>South West</w:t>
      </w:r>
      <w:proofErr w:type="gramEnd"/>
      <w:r>
        <w:t xml:space="preserve"> Renewable Energy Zone location</w:t>
      </w:r>
      <w:r w:rsidRPr="009F7FE8">
        <w:rPr>
          <w:rStyle w:val="normaltextrun"/>
          <w:noProof/>
        </w:rPr>
        <w:drawing>
          <wp:inline distT="0" distB="0" distL="0" distR="0" wp14:anchorId="7956122D" wp14:editId="7604312B">
            <wp:extent cx="3683189" cy="2063856"/>
            <wp:effectExtent l="0" t="0" r="0" b="0"/>
            <wp:docPr id="1770971024" name="Picture 1" descr="Map of Victoria, Australia, showing renewable energy zones. Areas highlighted in light blue represent declared renewable energy zones, scattered across the central, western, and eastern parts of the state. Dark blue shading indicates proposed renewable energy zone areas that are not yet declared, covering most of the state. A yellow-outlined box highlights a region in the south‑west where multiple declared zones are clus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71024" name="Picture 1" descr="Map of Victoria, Australia, showing renewable energy zones. Areas highlighted in light blue represent declared renewable energy zones, scattered across the central, western, and eastern parts of the state. Dark blue shading indicates proposed renewable energy zone areas that are not yet declared, covering most of the state. A yellow-outlined box highlights a region in the south‑west where multiple declared zones are clustered. "/>
                    <pic:cNvPicPr/>
                  </pic:nvPicPr>
                  <pic:blipFill>
                    <a:blip r:embed="rId11">
                      <a:extLst>
                        <a:ext uri="{28A0092B-C50C-407E-A947-70E740481C1C}">
                          <a14:useLocalDpi xmlns:a14="http://schemas.microsoft.com/office/drawing/2010/main" val="0"/>
                        </a:ext>
                      </a:extLst>
                    </a:blip>
                    <a:stretch>
                      <a:fillRect/>
                    </a:stretch>
                  </pic:blipFill>
                  <pic:spPr>
                    <a:xfrm>
                      <a:off x="0" y="0"/>
                      <a:ext cx="3683189" cy="2063856"/>
                    </a:xfrm>
                    <a:prstGeom prst="rect">
                      <a:avLst/>
                    </a:prstGeom>
                  </pic:spPr>
                </pic:pic>
              </a:graphicData>
            </a:graphic>
          </wp:inline>
        </w:drawing>
      </w:r>
    </w:p>
    <w:p w14:paraId="1621169F" w14:textId="4D2E0ECE" w:rsidR="00880353" w:rsidRDefault="00880353" w:rsidP="00E10FCD">
      <w:pPr>
        <w:pStyle w:val="Heading1"/>
      </w:pPr>
      <w:r>
        <w:t>What is a rene</w:t>
      </w:r>
      <w:r w:rsidR="00A81B2F">
        <w:t>wable energy zone?</w:t>
      </w:r>
    </w:p>
    <w:p w14:paraId="4492DAA0" w14:textId="0CCAE6A1" w:rsidR="00F821E5" w:rsidRPr="00F821E5" w:rsidRDefault="00F821E5" w:rsidP="000B6E26">
      <w:pPr>
        <w:pStyle w:val="Bodycopy"/>
      </w:pPr>
      <w:r w:rsidRPr="00F821E5">
        <w:t xml:space="preserve">Renewable energy zones are areas identified as the best places to host wind, solar and battery storage projects. </w:t>
      </w:r>
    </w:p>
    <w:p w14:paraId="0624AE80" w14:textId="50DA0F67" w:rsidR="00A81B2F" w:rsidRDefault="00F821E5" w:rsidP="000B6E26">
      <w:pPr>
        <w:pStyle w:val="Bodycopy"/>
      </w:pPr>
      <w:r w:rsidRPr="00F821E5">
        <w:t>Renewable energy zones will:</w:t>
      </w:r>
    </w:p>
    <w:p w14:paraId="73D20427" w14:textId="77777777" w:rsidR="00F821E5" w:rsidRPr="004E03EC" w:rsidRDefault="00F821E5" w:rsidP="004E03EC">
      <w:pPr>
        <w:pStyle w:val="ListBullet"/>
        <w:numPr>
          <w:ilvl w:val="0"/>
          <w:numId w:val="2"/>
        </w:numPr>
        <w:tabs>
          <w:tab w:val="num" w:pos="170"/>
        </w:tabs>
        <w:ind w:left="170" w:hanging="170"/>
        <w:rPr>
          <w:rFonts w:asciiTheme="minorHAnsi" w:hAnsiTheme="minorHAnsi"/>
          <w:color w:val="161615" w:themeColor="background2" w:themeShade="1A"/>
        </w:rPr>
      </w:pPr>
      <w:r w:rsidRPr="004E03EC">
        <w:rPr>
          <w:rFonts w:asciiTheme="minorHAnsi" w:hAnsiTheme="minorHAnsi"/>
          <w:color w:val="161615" w:themeColor="background2" w:themeShade="1A"/>
        </w:rPr>
        <w:t>Help coordinate renewable energy projects and reduce the need for unnecessary transmission infrastructure</w:t>
      </w:r>
    </w:p>
    <w:p w14:paraId="5AF644E0" w14:textId="77777777" w:rsidR="00F821E5" w:rsidRPr="004E03EC" w:rsidRDefault="00F821E5" w:rsidP="004E03EC">
      <w:pPr>
        <w:pStyle w:val="ListBullet"/>
        <w:numPr>
          <w:ilvl w:val="0"/>
          <w:numId w:val="2"/>
        </w:numPr>
        <w:tabs>
          <w:tab w:val="num" w:pos="170"/>
        </w:tabs>
        <w:ind w:left="170" w:hanging="170"/>
        <w:rPr>
          <w:rFonts w:asciiTheme="minorHAnsi" w:hAnsiTheme="minorHAnsi"/>
          <w:color w:val="161615" w:themeColor="background2" w:themeShade="1A"/>
        </w:rPr>
      </w:pPr>
      <w:r w:rsidRPr="004E03EC">
        <w:rPr>
          <w:rFonts w:asciiTheme="minorHAnsi" w:hAnsiTheme="minorHAnsi"/>
          <w:color w:val="161615" w:themeColor="background2" w:themeShade="1A"/>
        </w:rPr>
        <w:t>Enable VicGrid to set clearer rules around how projects gain access to the grid, including expectations for how developers engage with communities</w:t>
      </w:r>
    </w:p>
    <w:p w14:paraId="34BD3731" w14:textId="77777777" w:rsidR="00F821E5" w:rsidRPr="004E03EC" w:rsidRDefault="00F821E5" w:rsidP="004E03EC">
      <w:pPr>
        <w:pStyle w:val="ListBullet"/>
        <w:numPr>
          <w:ilvl w:val="0"/>
          <w:numId w:val="2"/>
        </w:numPr>
        <w:tabs>
          <w:tab w:val="num" w:pos="170"/>
        </w:tabs>
        <w:ind w:left="170" w:hanging="170"/>
        <w:rPr>
          <w:rFonts w:asciiTheme="minorHAnsi" w:hAnsiTheme="minorHAnsi"/>
          <w:color w:val="161615" w:themeColor="background2" w:themeShade="1A"/>
        </w:rPr>
      </w:pPr>
      <w:r w:rsidRPr="004E03EC">
        <w:rPr>
          <w:rFonts w:asciiTheme="minorHAnsi" w:hAnsiTheme="minorHAnsi"/>
          <w:color w:val="161615" w:themeColor="background2" w:themeShade="1A"/>
        </w:rPr>
        <w:t>Provide more certainty about how and where renewable energy projects are developed</w:t>
      </w:r>
    </w:p>
    <w:p w14:paraId="60688DBF" w14:textId="65583BB0" w:rsidR="00F821E5" w:rsidRPr="004E03EC" w:rsidRDefault="00F821E5" w:rsidP="004E03EC">
      <w:pPr>
        <w:pStyle w:val="ListBullet"/>
        <w:numPr>
          <w:ilvl w:val="0"/>
          <w:numId w:val="2"/>
        </w:numPr>
        <w:tabs>
          <w:tab w:val="num" w:pos="170"/>
        </w:tabs>
        <w:ind w:left="170" w:hanging="170"/>
        <w:rPr>
          <w:rFonts w:asciiTheme="minorHAnsi" w:hAnsiTheme="minorHAnsi"/>
          <w:color w:val="161615" w:themeColor="background2" w:themeShade="1A"/>
        </w:rPr>
      </w:pPr>
      <w:r w:rsidRPr="004E03EC">
        <w:rPr>
          <w:rFonts w:asciiTheme="minorHAnsi" w:hAnsiTheme="minorHAnsi"/>
          <w:color w:val="161615" w:themeColor="background2" w:themeShade="1A"/>
        </w:rPr>
        <w:t>Unlock new economic benefits for regional communities and Traditional Owners</w:t>
      </w:r>
    </w:p>
    <w:p w14:paraId="6CA04F84" w14:textId="77777777" w:rsidR="00F740CE" w:rsidRPr="008325A4" w:rsidRDefault="00F740CE" w:rsidP="00F740CE">
      <w:r w:rsidRPr="008325A4">
        <w:t>The 2025 Victorian Transmission Plan proposed six renewable energy zones in regional Victoria. The Victorian Government has now declared five of these zones, with some changes to proposed boundaries.</w:t>
      </w:r>
    </w:p>
    <w:p w14:paraId="5D1774DC" w14:textId="69166F31" w:rsidR="00F740CE" w:rsidRDefault="00F740CE" w:rsidP="00F740CE">
      <w:r>
        <w:t xml:space="preserve">You can learn more about each of the renewable energy zones </w:t>
      </w:r>
      <w:r w:rsidR="00074328">
        <w:t>on</w:t>
      </w:r>
      <w:r>
        <w:t xml:space="preserve"> </w:t>
      </w:r>
      <w:hyperlink r:id="rId12" w:history="1">
        <w:r w:rsidRPr="00EF6FF1">
          <w:rPr>
            <w:rStyle w:val="Hyperlink"/>
          </w:rPr>
          <w:t>our webpage</w:t>
        </w:r>
      </w:hyperlink>
      <w:r>
        <w:t xml:space="preserve">. </w:t>
      </w:r>
    </w:p>
    <w:p w14:paraId="4077C0CF" w14:textId="7A3D535E" w:rsidR="00B64454" w:rsidRPr="00B64454" w:rsidRDefault="00B64454" w:rsidP="000B6E26">
      <w:pPr>
        <w:pStyle w:val="Bodycopy"/>
      </w:pPr>
      <w:r w:rsidRPr="00B64454">
        <w:lastRenderedPageBreak/>
        <w:t>The introduction of renewable energy zones doesn’t alter what is allowed to occur on land under existing land use zones or overlays, such as the Farming Zone or Rural Activity Zone.</w:t>
      </w:r>
    </w:p>
    <w:p w14:paraId="3F7ED386" w14:textId="4D2CA34F" w:rsidR="00B64454" w:rsidRPr="00F740CE" w:rsidRDefault="00B64454" w:rsidP="000B6E26">
      <w:pPr>
        <w:pStyle w:val="Bodycopy"/>
      </w:pPr>
      <w:r w:rsidRPr="00B64454">
        <w:t xml:space="preserve">All proposed projects will continue to be subject to existing planning and environmental controls, including approval processes under the </w:t>
      </w:r>
      <w:r w:rsidRPr="00F740CE">
        <w:t xml:space="preserve">Planning and Environment Act 1987 </w:t>
      </w:r>
      <w:r w:rsidRPr="00B64454">
        <w:t xml:space="preserve">and </w:t>
      </w:r>
      <w:r w:rsidRPr="00F740CE">
        <w:t>Environment Effects Act 1978.</w:t>
      </w:r>
    </w:p>
    <w:p w14:paraId="4634FE03" w14:textId="5C2B5847" w:rsidR="00972E27" w:rsidRDefault="00972E27" w:rsidP="00E10FCD">
      <w:pPr>
        <w:pStyle w:val="Heading1"/>
      </w:pPr>
      <w:r w:rsidRPr="00972E27">
        <w:t xml:space="preserve">The </w:t>
      </w:r>
      <w:proofErr w:type="gramStart"/>
      <w:r w:rsidRPr="00972E27">
        <w:t>South West</w:t>
      </w:r>
      <w:proofErr w:type="gramEnd"/>
      <w:r w:rsidRPr="00972E27">
        <w:t xml:space="preserve"> Renewable Energy Zone</w:t>
      </w:r>
    </w:p>
    <w:p w14:paraId="490B4595" w14:textId="77777777" w:rsidR="00972E27" w:rsidRPr="00972E27" w:rsidRDefault="00972E27" w:rsidP="009F7FE8">
      <w:r w:rsidRPr="00972E27">
        <w:t xml:space="preserve">The declared </w:t>
      </w:r>
      <w:proofErr w:type="gramStart"/>
      <w:r w:rsidRPr="00972E27">
        <w:t>South West</w:t>
      </w:r>
      <w:proofErr w:type="gramEnd"/>
      <w:r w:rsidRPr="00972E27">
        <w:t xml:space="preserve"> Renewable Energy Zone includes parts of the Moyne local government area. Small parts of the zone also sit within the Southern Grampians and Corangamite local government areas.</w:t>
      </w:r>
    </w:p>
    <w:p w14:paraId="50793E85" w14:textId="77777777" w:rsidR="00972E27" w:rsidRPr="00972E27" w:rsidRDefault="00972E27" w:rsidP="009F7FE8">
      <w:r w:rsidRPr="00972E27">
        <w:t xml:space="preserve">The zone is within the Registered Aboriginal Party boundaries of Eastern Maar Aboriginal Corporation and </w:t>
      </w:r>
      <w:proofErr w:type="spellStart"/>
      <w:r w:rsidRPr="00972E27">
        <w:t>Gunditj</w:t>
      </w:r>
      <w:proofErr w:type="spellEnd"/>
      <w:r w:rsidRPr="00972E27">
        <w:t xml:space="preserve"> </w:t>
      </w:r>
      <w:proofErr w:type="spellStart"/>
      <w:r w:rsidRPr="00972E27">
        <w:t>Mirring</w:t>
      </w:r>
      <w:proofErr w:type="spellEnd"/>
      <w:r w:rsidRPr="00972E27">
        <w:t xml:space="preserve"> Traditional Owners Aboriginal Corporation. </w:t>
      </w:r>
    </w:p>
    <w:p w14:paraId="5660428A" w14:textId="77777777" w:rsidR="00972E27" w:rsidRPr="00972E27" w:rsidRDefault="00972E27" w:rsidP="009F7FE8">
      <w:r w:rsidRPr="00972E27">
        <w:t xml:space="preserve">As a result of the renewable energy zone declaration process, the Dundas Tablelands area has been removed from the </w:t>
      </w:r>
      <w:proofErr w:type="gramStart"/>
      <w:r w:rsidRPr="00972E27">
        <w:t>South West</w:t>
      </w:r>
      <w:proofErr w:type="gramEnd"/>
      <w:r w:rsidRPr="00972E27">
        <w:t xml:space="preserve"> Renewable Energy Zone. </w:t>
      </w:r>
    </w:p>
    <w:p w14:paraId="23B9AE5A" w14:textId="7EC15290" w:rsidR="0092283C" w:rsidRDefault="00972E27" w:rsidP="0092283C">
      <w:r w:rsidRPr="00972E27">
        <w:t xml:space="preserve">Find out more in the Dundas Tablelands factsheet </w:t>
      </w:r>
      <w:r w:rsidR="0092283C">
        <w:t xml:space="preserve">on </w:t>
      </w:r>
      <w:hyperlink r:id="rId13" w:history="1">
        <w:r w:rsidR="0092283C" w:rsidRPr="00044B1D">
          <w:rPr>
            <w:rStyle w:val="Hyperlink"/>
          </w:rPr>
          <w:t>our webpage</w:t>
        </w:r>
      </w:hyperlink>
      <w:r w:rsidR="0092283C">
        <w:t xml:space="preserve">. </w:t>
      </w:r>
    </w:p>
    <w:p w14:paraId="049F444B" w14:textId="256282F2" w:rsidR="00972E27" w:rsidRDefault="00972E27" w:rsidP="00E560C6">
      <w:pPr>
        <w:pStyle w:val="Heading2"/>
      </w:pPr>
      <w:r w:rsidRPr="00972E27">
        <w:t>How decisions about new renewable energy projects will be made in this zone</w:t>
      </w:r>
    </w:p>
    <w:p w14:paraId="568C3027" w14:textId="77777777" w:rsidR="004249B3" w:rsidRPr="004249B3" w:rsidRDefault="004249B3" w:rsidP="000B6E26">
      <w:pPr>
        <w:pStyle w:val="Bodycopy"/>
      </w:pPr>
      <w:r w:rsidRPr="004249B3">
        <w:t xml:space="preserve">The Victorian Government is setting new rules to manage how renewable energy projects, such as wind and solar farms, gain access to the state’s transmission network. </w:t>
      </w:r>
    </w:p>
    <w:p w14:paraId="5B202228" w14:textId="77777777" w:rsidR="004249B3" w:rsidRPr="004249B3" w:rsidRDefault="004249B3" w:rsidP="000B6E26">
      <w:pPr>
        <w:pStyle w:val="Bodycopy"/>
      </w:pPr>
      <w:r w:rsidRPr="004249B3">
        <w:t xml:space="preserve">Under the current open access regime, developers can connect their projects almost anywhere on the transmission network, </w:t>
      </w:r>
      <w:proofErr w:type="gramStart"/>
      <w:r w:rsidRPr="004249B3">
        <w:t>as long as</w:t>
      </w:r>
      <w:proofErr w:type="gramEnd"/>
      <w:r w:rsidRPr="004249B3">
        <w:t xml:space="preserve"> they meet technical and environmental planning requirements. </w:t>
      </w:r>
    </w:p>
    <w:p w14:paraId="6A365B69" w14:textId="7ACB3823" w:rsidR="004249B3" w:rsidRDefault="004249B3" w:rsidP="000B6E26">
      <w:pPr>
        <w:pStyle w:val="Bodycopy"/>
      </w:pPr>
      <w:r w:rsidRPr="004249B3">
        <w:t>Under the new approach, known as the Victorian Access Regime, developers will apply for access and VicGrid will oversee a competitive process to decide which projects can connect within each zone.</w:t>
      </w:r>
    </w:p>
    <w:p w14:paraId="522F1F8E" w14:textId="77777777" w:rsidR="00956331" w:rsidRPr="00956331" w:rsidRDefault="00956331" w:rsidP="000B6E26">
      <w:pPr>
        <w:pStyle w:val="Bodycopy"/>
      </w:pPr>
      <w:r w:rsidRPr="00956331">
        <w:t xml:space="preserve">Each zone will have a set access limit for how much new renewable energy can be connected. We are proposing to set access limits that reflect how much electricity the network can carry at a given time, based on current infrastructure and planned upgrades. </w:t>
      </w:r>
    </w:p>
    <w:p w14:paraId="74DA6938" w14:textId="77777777" w:rsidR="00956331" w:rsidRPr="00956331" w:rsidRDefault="00956331" w:rsidP="009F7FE8">
      <w:r w:rsidRPr="00956331">
        <w:t xml:space="preserve">In determining how much of the access limit is allocated, we will consider: </w:t>
      </w:r>
    </w:p>
    <w:p w14:paraId="7A0372FD" w14:textId="77777777" w:rsidR="00956331" w:rsidRPr="00E560C6" w:rsidRDefault="00956331" w:rsidP="00E560C6">
      <w:pPr>
        <w:pStyle w:val="ListBullet"/>
        <w:numPr>
          <w:ilvl w:val="0"/>
          <w:numId w:val="2"/>
        </w:numPr>
        <w:tabs>
          <w:tab w:val="num" w:pos="170"/>
        </w:tabs>
        <w:ind w:left="170" w:hanging="170"/>
        <w:rPr>
          <w:rFonts w:asciiTheme="minorHAnsi" w:hAnsiTheme="minorHAnsi"/>
          <w:color w:val="161615" w:themeColor="background2" w:themeShade="1A"/>
        </w:rPr>
      </w:pPr>
      <w:r w:rsidRPr="00E560C6">
        <w:rPr>
          <w:rFonts w:asciiTheme="minorHAnsi" w:hAnsiTheme="minorHAnsi"/>
          <w:color w:val="161615" w:themeColor="background2" w:themeShade="1A"/>
        </w:rPr>
        <w:t xml:space="preserve">The amount of electricity Victoria needs to generate to meet increasing demand </w:t>
      </w:r>
    </w:p>
    <w:p w14:paraId="715F589B" w14:textId="77777777" w:rsidR="00956331" w:rsidRPr="00E560C6" w:rsidRDefault="00956331" w:rsidP="00E560C6">
      <w:pPr>
        <w:pStyle w:val="ListBullet"/>
        <w:numPr>
          <w:ilvl w:val="0"/>
          <w:numId w:val="2"/>
        </w:numPr>
        <w:tabs>
          <w:tab w:val="num" w:pos="170"/>
        </w:tabs>
        <w:ind w:left="170" w:hanging="170"/>
        <w:rPr>
          <w:rFonts w:asciiTheme="minorHAnsi" w:hAnsiTheme="minorHAnsi"/>
          <w:color w:val="161615" w:themeColor="background2" w:themeShade="1A"/>
        </w:rPr>
      </w:pPr>
      <w:r w:rsidRPr="00E560C6">
        <w:rPr>
          <w:rFonts w:asciiTheme="minorHAnsi" w:hAnsiTheme="minorHAnsi"/>
          <w:color w:val="161615" w:themeColor="background2" w:themeShade="1A"/>
        </w:rPr>
        <w:t xml:space="preserve">The size of the zone and the density of projects </w:t>
      </w:r>
    </w:p>
    <w:p w14:paraId="65EDB207" w14:textId="43E632E7" w:rsidR="00956331" w:rsidRPr="00E560C6" w:rsidRDefault="00956331" w:rsidP="00E560C6">
      <w:pPr>
        <w:pStyle w:val="ListBullet"/>
        <w:numPr>
          <w:ilvl w:val="0"/>
          <w:numId w:val="2"/>
        </w:numPr>
        <w:tabs>
          <w:tab w:val="num" w:pos="170"/>
        </w:tabs>
        <w:ind w:left="170" w:hanging="170"/>
        <w:rPr>
          <w:rFonts w:asciiTheme="minorHAnsi" w:hAnsiTheme="minorHAnsi"/>
          <w:color w:val="161615" w:themeColor="background2" w:themeShade="1A"/>
        </w:rPr>
      </w:pPr>
      <w:r w:rsidRPr="00E560C6">
        <w:rPr>
          <w:rFonts w:asciiTheme="minorHAnsi" w:hAnsiTheme="minorHAnsi"/>
          <w:color w:val="161615" w:themeColor="background2" w:themeShade="1A"/>
        </w:rPr>
        <w:t xml:space="preserve">Whether developers are meeting expectations for landholder, community and Traditional Owner engagement and adding social value through initiatives and economic development </w:t>
      </w:r>
    </w:p>
    <w:p w14:paraId="40581540" w14:textId="6AD39E2B" w:rsidR="00956331" w:rsidRDefault="00956331" w:rsidP="000B6E26">
      <w:pPr>
        <w:pStyle w:val="Bodycopy"/>
      </w:pPr>
      <w:r w:rsidRPr="00956331">
        <w:t>This process will ensure Victoria produces enough energy to meet demand, while minimising the impact on communities, Traditional Owners, agriculture and the environment.</w:t>
      </w:r>
    </w:p>
    <w:p w14:paraId="289AB0BB" w14:textId="77777777" w:rsidR="008369B6" w:rsidRPr="008369B6" w:rsidRDefault="008369B6" w:rsidP="000B6E26">
      <w:pPr>
        <w:pStyle w:val="Bodycopy"/>
      </w:pPr>
      <w:r w:rsidRPr="008369B6">
        <w:t xml:space="preserve">Renewable energy project developers must talk to landholders to get permission to build renewable generation projects on their land. Landholders can choose </w:t>
      </w:r>
      <w:proofErr w:type="gramStart"/>
      <w:r w:rsidRPr="008369B6">
        <w:t>whether or not</w:t>
      </w:r>
      <w:proofErr w:type="gramEnd"/>
      <w:r w:rsidRPr="008369B6">
        <w:t xml:space="preserve"> to host a wind, solar or battery project. </w:t>
      </w:r>
    </w:p>
    <w:p w14:paraId="517ACC8D" w14:textId="77777777" w:rsidR="008369B6" w:rsidRPr="008369B6" w:rsidRDefault="008369B6" w:rsidP="000B6E26">
      <w:pPr>
        <w:pStyle w:val="Bodycopy"/>
      </w:pPr>
      <w:r w:rsidRPr="008369B6">
        <w:t xml:space="preserve">Landholders who choose to host projects will receive financial payments and other benefits negotiated directly with the developer. </w:t>
      </w:r>
    </w:p>
    <w:p w14:paraId="4A9C91E8" w14:textId="6F061629" w:rsidR="00956331" w:rsidRDefault="008369B6" w:rsidP="000B6E26">
      <w:pPr>
        <w:pStyle w:val="Bodycopy"/>
      </w:pPr>
      <w:r w:rsidRPr="008369B6">
        <w:t>Project developers will also work with neighbouring properties to address impacts and negotiate financial benefits.</w:t>
      </w:r>
    </w:p>
    <w:p w14:paraId="5354080B" w14:textId="153E2492" w:rsidR="008369B6" w:rsidRDefault="008369B6" w:rsidP="0030146E">
      <w:pPr>
        <w:pStyle w:val="Heading2"/>
      </w:pPr>
      <w:r>
        <w:lastRenderedPageBreak/>
        <w:t>How to read the map</w:t>
      </w:r>
    </w:p>
    <w:p w14:paraId="0EA89C6D" w14:textId="3A7764D4" w:rsidR="008369B6" w:rsidRDefault="008315C3" w:rsidP="009F7FE8">
      <w:pPr>
        <w:rPr>
          <w:rFonts w:ascii="VIC" w:hAnsi="VIC" w:cs="VIC"/>
          <w:color w:val="221E1F"/>
          <w:kern w:val="0"/>
          <w:sz w:val="21"/>
          <w:szCs w:val="21"/>
        </w:rPr>
      </w:pPr>
      <w:r w:rsidRPr="008315C3">
        <w:t xml:space="preserve">The map in Figure 2 shows the </w:t>
      </w:r>
      <w:proofErr w:type="gramStart"/>
      <w:r w:rsidRPr="008315C3">
        <w:t>South West</w:t>
      </w:r>
      <w:proofErr w:type="gramEnd"/>
      <w:r w:rsidRPr="008315C3">
        <w:t xml:space="preserve"> Renewable Energy Zone, including some of the significant land use and landscape values that influenced its location, size and shape. The identified values in the region are a sub-set only and do not represent </w:t>
      </w:r>
      <w:proofErr w:type="gramStart"/>
      <w:r w:rsidRPr="008315C3">
        <w:t>all of</w:t>
      </w:r>
      <w:proofErr w:type="gramEnd"/>
      <w:r w:rsidRPr="008315C3">
        <w:t xml:space="preserve"> the values present.</w:t>
      </w:r>
      <w:r w:rsidR="009D4B5A" w:rsidRPr="009D4B5A">
        <w:rPr>
          <w:rFonts w:ascii="VIC" w:hAnsi="VIC" w:cs="VIC"/>
          <w:color w:val="221E1F"/>
          <w:kern w:val="0"/>
          <w:sz w:val="21"/>
          <w:szCs w:val="21"/>
        </w:rPr>
        <w:t xml:space="preserve"> </w:t>
      </w:r>
    </w:p>
    <w:p w14:paraId="2E99C471" w14:textId="77777777" w:rsidR="00BE4C15" w:rsidRDefault="00BE4C15" w:rsidP="00BE4C15">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The </w:t>
      </w:r>
      <w:proofErr w:type="gramStart"/>
      <w:r>
        <w:t>South West</w:t>
      </w:r>
      <w:proofErr w:type="gramEnd"/>
      <w:r>
        <w:t xml:space="preserve"> Renewable Energy Zone</w:t>
      </w:r>
    </w:p>
    <w:p w14:paraId="065C4A4F" w14:textId="77777777" w:rsidR="00DE632D" w:rsidRDefault="00DE632D" w:rsidP="0030146E">
      <w:pPr>
        <w:pStyle w:val="NoSpacing"/>
      </w:pPr>
      <w:r w:rsidRPr="00DE632D">
        <w:rPr>
          <w:noProof/>
        </w:rPr>
        <w:drawing>
          <wp:inline distT="0" distB="0" distL="0" distR="0" wp14:anchorId="335B439D" wp14:editId="4AC5D497">
            <wp:extent cx="6120130" cy="6427470"/>
            <wp:effectExtent l="0" t="0" r="0" b="0"/>
            <wp:docPr id="1809989299" name="Picture 1" descr="Detailed map of south‑west Victoria, Australia, centred on Warrnambool, Mortlake, Hamilton, and surrounding towns. A large shaded light-blue area marks the South West Renewable Energy Zone REZ. A diagonally striped area to the east represents the Central Highlands Renewable Energy Zone.&#10;Existing electricity transmission lines are shown: a lighter blue line for 220 kV and a darker blue line for 500 kV. Diamond-shaped symbols along the lines indicate terminal stations that are in operation.&#10;Numbered circular markers (1 to 22) are scattered across the map, indicating key land use and landscape values. Major towns and locations are labelled, including Hamilton, Dunkeld, Mortlake, Terang, Camperdown, Warrnambool, Port Fairy, and Skip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9299" name="Picture 1" descr="Detailed map of south‑west Victoria, Australia, centred on Warrnambool, Mortlake, Hamilton, and surrounding towns. A large shaded light-blue area marks the South West Renewable Energy Zone REZ. A diagonally striped area to the east represents the Central Highlands Renewable Energy Zone.&#10;Existing electricity transmission lines are shown: a lighter blue line for 220 kV and a darker blue line for 500 kV. Diamond-shaped symbols along the lines indicate terminal stations that are in operation.&#10;Numbered circular markers (1 to 22) are scattered across the map, indicating key land use and landscape values. Major towns and locations are labelled, including Hamilton, Dunkeld, Mortlake, Terang, Camperdown, Warrnambool, Port Fairy, and Skipton.&#10;"/>
                    <pic:cNvPicPr/>
                  </pic:nvPicPr>
                  <pic:blipFill>
                    <a:blip r:embed="rId14"/>
                    <a:stretch>
                      <a:fillRect/>
                    </a:stretch>
                  </pic:blipFill>
                  <pic:spPr>
                    <a:xfrm>
                      <a:off x="0" y="0"/>
                      <a:ext cx="6120130" cy="6427470"/>
                    </a:xfrm>
                    <a:prstGeom prst="rect">
                      <a:avLst/>
                    </a:prstGeom>
                  </pic:spPr>
                </pic:pic>
              </a:graphicData>
            </a:graphic>
          </wp:inline>
        </w:drawing>
      </w:r>
    </w:p>
    <w:p w14:paraId="5B0CFC74" w14:textId="3034C6F6" w:rsidR="00907E73" w:rsidRDefault="00907E73" w:rsidP="00E560C6">
      <w:pPr>
        <w:pStyle w:val="Heading2"/>
      </w:pPr>
      <w:bookmarkStart w:id="0" w:name="_Ref230675120"/>
      <w:r w:rsidRPr="00907E73">
        <w:t>Key land use and landscape values</w:t>
      </w:r>
      <w:bookmarkEnd w:id="0"/>
    </w:p>
    <w:p w14:paraId="08CF349A" w14:textId="56499119" w:rsidR="009631FC" w:rsidRDefault="00094FE6" w:rsidP="009F7FE8">
      <w:pPr>
        <w:pStyle w:val="ListParagraph"/>
        <w:numPr>
          <w:ilvl w:val="0"/>
          <w:numId w:val="31"/>
        </w:numPr>
      </w:pPr>
      <w:r w:rsidRPr="00094FE6">
        <w:rPr>
          <w:b/>
          <w:bCs/>
        </w:rPr>
        <w:t xml:space="preserve">Community/agriculture: </w:t>
      </w:r>
      <w:r w:rsidRPr="00094FE6">
        <w:t>Area of higher aggregated dwelling density around Coleraine, with a high proportion of cropping surrounding the south of Coleraine</w:t>
      </w:r>
    </w:p>
    <w:p w14:paraId="5D864769" w14:textId="34302EE0" w:rsidR="00094FE6" w:rsidRDefault="00094FE6" w:rsidP="009F7FE8">
      <w:pPr>
        <w:pStyle w:val="ListParagraph"/>
        <w:numPr>
          <w:ilvl w:val="0"/>
          <w:numId w:val="31"/>
        </w:numPr>
      </w:pPr>
      <w:r w:rsidRPr="00094FE6">
        <w:rPr>
          <w:b/>
          <w:bCs/>
        </w:rPr>
        <w:t xml:space="preserve">Biodiversity/cultural: </w:t>
      </w:r>
      <w:r w:rsidRPr="00094FE6">
        <w:t>Wannon River and surrounding areas of sensitivity, including scattered protected biodiversity areas</w:t>
      </w:r>
    </w:p>
    <w:p w14:paraId="366899AE" w14:textId="66B5BD42" w:rsidR="00094FE6" w:rsidRDefault="00094FE6" w:rsidP="009F7FE8">
      <w:pPr>
        <w:pStyle w:val="ListParagraph"/>
        <w:numPr>
          <w:ilvl w:val="0"/>
          <w:numId w:val="31"/>
        </w:numPr>
      </w:pPr>
      <w:r w:rsidRPr="00094FE6">
        <w:rPr>
          <w:b/>
          <w:bCs/>
        </w:rPr>
        <w:lastRenderedPageBreak/>
        <w:t xml:space="preserve">Biodiversity/cultural: </w:t>
      </w:r>
      <w:r w:rsidRPr="00094FE6">
        <w:t>Higher value biodiversity and cultural values associated with waterways (creeks)</w:t>
      </w:r>
    </w:p>
    <w:p w14:paraId="3A4376CC" w14:textId="12501B5D" w:rsidR="00094FE6" w:rsidRDefault="00094FE6" w:rsidP="009F7FE8">
      <w:pPr>
        <w:pStyle w:val="ListParagraph"/>
        <w:numPr>
          <w:ilvl w:val="0"/>
          <w:numId w:val="31"/>
        </w:numPr>
      </w:pPr>
      <w:r w:rsidRPr="00094FE6">
        <w:rPr>
          <w:b/>
          <w:bCs/>
        </w:rPr>
        <w:t xml:space="preserve">Biodiversity/cultural/community: </w:t>
      </w:r>
      <w:r w:rsidRPr="00094FE6">
        <w:t>Dundas Range Scenic Reserve, including protected biodiversity area for native flora and fauna</w:t>
      </w:r>
    </w:p>
    <w:p w14:paraId="07908878" w14:textId="18DDFFF3" w:rsidR="00094FE6" w:rsidRDefault="00094FE6" w:rsidP="009F7FE8">
      <w:pPr>
        <w:pStyle w:val="ListParagraph"/>
        <w:numPr>
          <w:ilvl w:val="0"/>
          <w:numId w:val="31"/>
        </w:numPr>
      </w:pPr>
      <w:r w:rsidRPr="00094FE6">
        <w:rPr>
          <w:b/>
          <w:bCs/>
        </w:rPr>
        <w:t xml:space="preserve">Cultural heritage: </w:t>
      </w:r>
      <w:proofErr w:type="spellStart"/>
      <w:r w:rsidRPr="00094FE6">
        <w:t>Budj</w:t>
      </w:r>
      <w:proofErr w:type="spellEnd"/>
      <w:r w:rsidRPr="00094FE6">
        <w:t xml:space="preserve"> Bim World Heritage Cultural Landscape</w:t>
      </w:r>
    </w:p>
    <w:p w14:paraId="03E259B9" w14:textId="1A4D8EEC" w:rsidR="00094FE6" w:rsidRDefault="009D628E" w:rsidP="009F7FE8">
      <w:pPr>
        <w:pStyle w:val="ListParagraph"/>
        <w:numPr>
          <w:ilvl w:val="0"/>
          <w:numId w:val="31"/>
        </w:numPr>
      </w:pPr>
      <w:r w:rsidRPr="009D628E">
        <w:rPr>
          <w:b/>
          <w:bCs/>
        </w:rPr>
        <w:t xml:space="preserve">Biodiversity/cultural: </w:t>
      </w:r>
      <w:r w:rsidRPr="009D628E">
        <w:t>Mount Napier State Park, including protected biodiversity areas</w:t>
      </w:r>
    </w:p>
    <w:p w14:paraId="7313A4E7" w14:textId="01063747" w:rsidR="009D628E" w:rsidRDefault="009D628E" w:rsidP="009F7FE8">
      <w:pPr>
        <w:pStyle w:val="ListParagraph"/>
        <w:numPr>
          <w:ilvl w:val="0"/>
          <w:numId w:val="31"/>
        </w:numPr>
      </w:pPr>
      <w:r w:rsidRPr="009D628E">
        <w:rPr>
          <w:b/>
          <w:bCs/>
        </w:rPr>
        <w:t xml:space="preserve">Biodiversity/cultural: </w:t>
      </w:r>
      <w:r w:rsidRPr="009D628E">
        <w:t>Multiple state forests, home to native flora and fauna</w:t>
      </w:r>
    </w:p>
    <w:p w14:paraId="5145E8BA" w14:textId="09499F88" w:rsidR="009D628E" w:rsidRDefault="009D628E" w:rsidP="009F7FE8">
      <w:pPr>
        <w:pStyle w:val="ListParagraph"/>
        <w:numPr>
          <w:ilvl w:val="0"/>
          <w:numId w:val="31"/>
        </w:numPr>
      </w:pPr>
      <w:r w:rsidRPr="009D628E">
        <w:rPr>
          <w:b/>
          <w:bCs/>
        </w:rPr>
        <w:t xml:space="preserve">Community/biodiversity/cultural: </w:t>
      </w:r>
      <w:r w:rsidRPr="009D628E">
        <w:t>Coastal parks, reserves and tourism sites</w:t>
      </w:r>
    </w:p>
    <w:p w14:paraId="5440CE4A" w14:textId="52347AED" w:rsidR="009D628E" w:rsidRDefault="009D628E" w:rsidP="009F7FE8">
      <w:pPr>
        <w:pStyle w:val="ListParagraph"/>
        <w:numPr>
          <w:ilvl w:val="0"/>
          <w:numId w:val="31"/>
        </w:numPr>
      </w:pPr>
      <w:r w:rsidRPr="009D628E">
        <w:rPr>
          <w:b/>
          <w:bCs/>
        </w:rPr>
        <w:t xml:space="preserve">Biodiversity: </w:t>
      </w:r>
      <w:r w:rsidRPr="009D628E">
        <w:t>Public Conservation and Resource Zone Area</w:t>
      </w:r>
    </w:p>
    <w:p w14:paraId="13B9D2F1" w14:textId="36F98D41" w:rsidR="009D628E" w:rsidRDefault="009D628E" w:rsidP="009F7FE8">
      <w:pPr>
        <w:pStyle w:val="ListParagraph"/>
        <w:numPr>
          <w:ilvl w:val="0"/>
          <w:numId w:val="31"/>
        </w:numPr>
      </w:pPr>
      <w:r w:rsidRPr="009D628E">
        <w:rPr>
          <w:b/>
          <w:bCs/>
        </w:rPr>
        <w:t xml:space="preserve">Biodiversity/cultural: </w:t>
      </w:r>
      <w:r w:rsidRPr="009D628E">
        <w:t>Lake Linlithgow and surrounding lakes, home to native flora and fauna including Brolga flocking area</w:t>
      </w:r>
    </w:p>
    <w:p w14:paraId="540070B0" w14:textId="43440B79" w:rsidR="009D628E" w:rsidRDefault="009B1635" w:rsidP="009F7FE8">
      <w:pPr>
        <w:pStyle w:val="ListParagraph"/>
        <w:numPr>
          <w:ilvl w:val="0"/>
          <w:numId w:val="31"/>
        </w:numPr>
      </w:pPr>
      <w:r w:rsidRPr="009B1635">
        <w:rPr>
          <w:b/>
          <w:bCs/>
        </w:rPr>
        <w:t xml:space="preserve">Cultural: </w:t>
      </w:r>
      <w:r w:rsidRPr="009B1635">
        <w:t xml:space="preserve">Western volcanic cones and lava </w:t>
      </w:r>
      <w:proofErr w:type="gramStart"/>
      <w:r w:rsidRPr="009B1635">
        <w:t>flows</w:t>
      </w:r>
      <w:proofErr w:type="gramEnd"/>
      <w:r w:rsidRPr="009B1635">
        <w:t xml:space="preserve"> from Mount Rouse</w:t>
      </w:r>
    </w:p>
    <w:p w14:paraId="66623B2B" w14:textId="449F148C" w:rsidR="009B1635" w:rsidRDefault="009B1635" w:rsidP="009F7FE8">
      <w:pPr>
        <w:pStyle w:val="ListParagraph"/>
        <w:numPr>
          <w:ilvl w:val="0"/>
          <w:numId w:val="31"/>
        </w:numPr>
      </w:pPr>
      <w:r w:rsidRPr="009B1635">
        <w:rPr>
          <w:b/>
          <w:bCs/>
        </w:rPr>
        <w:t xml:space="preserve">Cultural/biodiversity/community: </w:t>
      </w:r>
      <w:r w:rsidRPr="009B1635">
        <w:t>The Grampians (</w:t>
      </w:r>
      <w:proofErr w:type="spellStart"/>
      <w:r w:rsidRPr="009B1635">
        <w:t>Gariwerd</w:t>
      </w:r>
      <w:proofErr w:type="spellEnd"/>
      <w:r w:rsidRPr="009B1635">
        <w:t xml:space="preserve"> Cultural Landscape) – significant landform and landscape with high cultural, community and biodiversity values, including significant viewpoints of the region</w:t>
      </w:r>
    </w:p>
    <w:p w14:paraId="394F9900" w14:textId="58983590" w:rsidR="009B1635" w:rsidRDefault="009B1635" w:rsidP="009F7FE8">
      <w:pPr>
        <w:pStyle w:val="ListParagraph"/>
        <w:numPr>
          <w:ilvl w:val="0"/>
          <w:numId w:val="31"/>
        </w:numPr>
      </w:pPr>
      <w:r w:rsidRPr="009B1635">
        <w:rPr>
          <w:b/>
          <w:bCs/>
        </w:rPr>
        <w:t xml:space="preserve">Biodiversity/cultural: </w:t>
      </w:r>
      <w:r w:rsidRPr="009B1635">
        <w:t>Tower Hill Wildlife Reserve, home to native flora and fauna</w:t>
      </w:r>
    </w:p>
    <w:p w14:paraId="6D995F35" w14:textId="190EA413" w:rsidR="009B1635" w:rsidRDefault="009B1635" w:rsidP="009F7FE8">
      <w:pPr>
        <w:pStyle w:val="ListParagraph"/>
        <w:numPr>
          <w:ilvl w:val="0"/>
          <w:numId w:val="31"/>
        </w:numPr>
      </w:pPr>
      <w:r w:rsidRPr="009B1635">
        <w:rPr>
          <w:b/>
          <w:bCs/>
        </w:rPr>
        <w:t xml:space="preserve">Land use: </w:t>
      </w:r>
      <w:r w:rsidRPr="009B1635">
        <w:t>Wind farm prohibition area within 5 km of the coast east of Warrnambool (</w:t>
      </w:r>
      <w:r w:rsidR="008B1043" w:rsidRPr="009B1635">
        <w:t>Victorian Planning</w:t>
      </w:r>
      <w:r w:rsidRPr="009B1635">
        <w:t xml:space="preserve"> Provisions)</w:t>
      </w:r>
    </w:p>
    <w:p w14:paraId="35AB2946" w14:textId="0FB71089" w:rsidR="009B1635" w:rsidRDefault="009B1635" w:rsidP="009F7FE8">
      <w:pPr>
        <w:pStyle w:val="ListParagraph"/>
        <w:numPr>
          <w:ilvl w:val="0"/>
          <w:numId w:val="31"/>
        </w:numPr>
      </w:pPr>
      <w:r w:rsidRPr="009B1635">
        <w:rPr>
          <w:b/>
          <w:bCs/>
        </w:rPr>
        <w:t xml:space="preserve">Mining: </w:t>
      </w:r>
      <w:r w:rsidRPr="009B1635">
        <w:t>Retention licence</w:t>
      </w:r>
    </w:p>
    <w:p w14:paraId="2FD2AC51" w14:textId="6BDF5BEA" w:rsidR="009B1635" w:rsidRDefault="008B1043" w:rsidP="009F7FE8">
      <w:pPr>
        <w:pStyle w:val="ListParagraph"/>
        <w:numPr>
          <w:ilvl w:val="0"/>
          <w:numId w:val="31"/>
        </w:numPr>
      </w:pPr>
      <w:r w:rsidRPr="008B1043">
        <w:rPr>
          <w:b/>
          <w:bCs/>
        </w:rPr>
        <w:t xml:space="preserve">Biodiversity/cultural: </w:t>
      </w:r>
      <w:r w:rsidRPr="008B1043">
        <w:t>Hopkins River and surrounding areas of sensitivity</w:t>
      </w:r>
    </w:p>
    <w:p w14:paraId="6ABD2C87" w14:textId="7709CB6A" w:rsidR="008B1043" w:rsidRDefault="008B1043" w:rsidP="009F7FE8">
      <w:pPr>
        <w:pStyle w:val="ListParagraph"/>
        <w:numPr>
          <w:ilvl w:val="0"/>
          <w:numId w:val="31"/>
        </w:numPr>
      </w:pPr>
      <w:r w:rsidRPr="4D5C6E72">
        <w:rPr>
          <w:b/>
          <w:bCs/>
        </w:rPr>
        <w:t xml:space="preserve">Agriculture: </w:t>
      </w:r>
      <w:r>
        <w:t xml:space="preserve">High agricultural productivity dairy farming </w:t>
      </w:r>
      <w:r w:rsidR="275D9B90">
        <w:t>area with</w:t>
      </w:r>
      <w:r>
        <w:t xml:space="preserve"> relatively lower compatibility with renewables</w:t>
      </w:r>
    </w:p>
    <w:p w14:paraId="2EB9007D" w14:textId="42872AC2" w:rsidR="008B1043" w:rsidRDefault="008B1043" w:rsidP="009F7FE8">
      <w:pPr>
        <w:pStyle w:val="ListParagraph"/>
        <w:numPr>
          <w:ilvl w:val="0"/>
          <w:numId w:val="31"/>
        </w:numPr>
      </w:pPr>
      <w:r w:rsidRPr="008B1043">
        <w:rPr>
          <w:b/>
          <w:bCs/>
        </w:rPr>
        <w:t xml:space="preserve">Agriculture: </w:t>
      </w:r>
      <w:r w:rsidRPr="008B1043">
        <w:t>High productivity dairy farming area with relatively lower compatibility with renewables</w:t>
      </w:r>
    </w:p>
    <w:p w14:paraId="1666B78D" w14:textId="64858A4C" w:rsidR="008B1043" w:rsidRDefault="009A404A" w:rsidP="009F7FE8">
      <w:pPr>
        <w:pStyle w:val="ListParagraph"/>
        <w:numPr>
          <w:ilvl w:val="0"/>
          <w:numId w:val="31"/>
        </w:numPr>
      </w:pPr>
      <w:r w:rsidRPr="009A404A">
        <w:rPr>
          <w:b/>
          <w:bCs/>
        </w:rPr>
        <w:t xml:space="preserve">Biodiversity/cultural: </w:t>
      </w:r>
      <w:r w:rsidRPr="009A404A">
        <w:t xml:space="preserve">Lake </w:t>
      </w:r>
      <w:proofErr w:type="spellStart"/>
      <w:r w:rsidRPr="009A404A">
        <w:t>Bolac</w:t>
      </w:r>
      <w:proofErr w:type="spellEnd"/>
      <w:r w:rsidRPr="009A404A">
        <w:t xml:space="preserve"> and surrounding wetlands and reserves, home to native flora and fauna including Brolgas</w:t>
      </w:r>
    </w:p>
    <w:p w14:paraId="01476847" w14:textId="0494E639" w:rsidR="009A404A" w:rsidRDefault="009A404A" w:rsidP="009F7FE8">
      <w:pPr>
        <w:pStyle w:val="ListParagraph"/>
        <w:numPr>
          <w:ilvl w:val="0"/>
          <w:numId w:val="31"/>
        </w:numPr>
      </w:pPr>
      <w:r w:rsidRPr="009A404A">
        <w:rPr>
          <w:b/>
          <w:bCs/>
        </w:rPr>
        <w:t xml:space="preserve">Biodiversity: </w:t>
      </w:r>
      <w:r w:rsidRPr="009A404A">
        <w:t>Brolga flocking area</w:t>
      </w:r>
      <w:r>
        <w:rPr>
          <w:rStyle w:val="FootnoteReference"/>
        </w:rPr>
        <w:footnoteReference w:id="2"/>
      </w:r>
    </w:p>
    <w:p w14:paraId="7C7728C7" w14:textId="2AF88F69" w:rsidR="009A404A" w:rsidRDefault="009A404A" w:rsidP="009F7FE8">
      <w:pPr>
        <w:pStyle w:val="ListParagraph"/>
        <w:numPr>
          <w:ilvl w:val="0"/>
          <w:numId w:val="31"/>
        </w:numPr>
      </w:pPr>
      <w:r w:rsidRPr="009A404A">
        <w:rPr>
          <w:b/>
          <w:bCs/>
        </w:rPr>
        <w:t xml:space="preserve">Biodiversity/cultural: </w:t>
      </w:r>
      <w:r w:rsidRPr="009A404A">
        <w:t>Wetlands and volcanic landscape around Mount Elephant</w:t>
      </w:r>
    </w:p>
    <w:p w14:paraId="61F167A1" w14:textId="57FA1218" w:rsidR="009A404A" w:rsidRPr="009631FC" w:rsidRDefault="009A404A" w:rsidP="009F7FE8">
      <w:pPr>
        <w:pStyle w:val="ListParagraph"/>
        <w:numPr>
          <w:ilvl w:val="0"/>
          <w:numId w:val="31"/>
        </w:numPr>
      </w:pPr>
      <w:r w:rsidRPr="009A404A">
        <w:rPr>
          <w:b/>
          <w:bCs/>
        </w:rPr>
        <w:t xml:space="preserve">Biodiversity/cultural: </w:t>
      </w:r>
      <w:r w:rsidRPr="009A404A">
        <w:t>Western District Lakes Ramsar-listed wetlands, home to native flora and fauna including Brolgas</w:t>
      </w:r>
    </w:p>
    <w:p w14:paraId="1E75B545" w14:textId="62C51B86" w:rsidR="009631FC" w:rsidRPr="009631FC" w:rsidRDefault="005F350C" w:rsidP="00E10FCD">
      <w:pPr>
        <w:pStyle w:val="Heading1"/>
      </w:pPr>
      <w:r w:rsidRPr="005F350C">
        <w:t>How feedback shaped the zone</w:t>
      </w:r>
    </w:p>
    <w:p w14:paraId="4E165DA9" w14:textId="77777777" w:rsidR="002C2415" w:rsidRPr="002C2415" w:rsidRDefault="002C2415" w:rsidP="000B6E26">
      <w:pPr>
        <w:pStyle w:val="Bodycopy"/>
      </w:pPr>
      <w:r w:rsidRPr="002C2415">
        <w:t>We carefully considered all feedback, but not all community or industry requests have been acted on. The 2025 Victorian Transmission Plan and the renewable energy zone declarations reflect difficult choices, made by weighing up many factors to deliver a plan that best serves all Victorians. These decisions balance energy needs, land use, environmental impacts and community concerns.</w:t>
      </w:r>
    </w:p>
    <w:p w14:paraId="2F0D66FD" w14:textId="4B13FABB" w:rsidR="009631FC" w:rsidRDefault="002C2415" w:rsidP="000B6E26">
      <w:pPr>
        <w:pStyle w:val="Bodycopy"/>
      </w:pPr>
      <w:r w:rsidRPr="002C2415">
        <w:t xml:space="preserve">To shape the </w:t>
      </w:r>
      <w:proofErr w:type="gramStart"/>
      <w:r w:rsidRPr="002C2415">
        <w:t>South West</w:t>
      </w:r>
      <w:proofErr w:type="gramEnd"/>
      <w:r w:rsidRPr="002C2415">
        <w:t xml:space="preserve"> Renewable Energy Zone, we undertook engagement as part of the 2025 Victorian Transmission Plan development. This commenced in 2023 and delivered across multiple consultation phases. Further engagement was then carried out as part of the renewable energy zone declaration process, between November 2025 and March 2026.</w:t>
      </w:r>
    </w:p>
    <w:p w14:paraId="210A9CB5" w14:textId="77777777" w:rsidR="002C2415" w:rsidRPr="002C2415" w:rsidRDefault="002C2415" w:rsidP="000B6E26">
      <w:pPr>
        <w:pStyle w:val="Bodycopy"/>
      </w:pPr>
      <w:r w:rsidRPr="002C2415">
        <w:t xml:space="preserve">Renewable energy zones are broad strategic areas identified for potential development. However, we recognise that the declared zone includes sensitive areas that are not appropriate for development. These </w:t>
      </w:r>
      <w:r w:rsidRPr="002C2415">
        <w:lastRenderedPageBreak/>
        <w:t>will be carefully considered in future project level planning, design and environmental assessment and planning approvals.</w:t>
      </w:r>
    </w:p>
    <w:p w14:paraId="61D2B471" w14:textId="1CBF4FD8" w:rsidR="002C2415" w:rsidRDefault="002C2415" w:rsidP="000B6E26">
      <w:pPr>
        <w:pStyle w:val="Bodycopy"/>
      </w:pPr>
      <w:r w:rsidRPr="002C2415">
        <w:t>Below is a summary of previous consultation findings and how we have responded through the zone refinement. Learn more at</w:t>
      </w:r>
      <w:r w:rsidR="00BE4C15">
        <w:t xml:space="preserve"> </w:t>
      </w:r>
      <w:hyperlink r:id="rId15" w:history="1">
        <w:r w:rsidR="00BE4C15" w:rsidRPr="00BE4C15">
          <w:rPr>
            <w:rStyle w:val="Hyperlink"/>
          </w:rPr>
          <w:t>our webpage</w:t>
        </w:r>
      </w:hyperlink>
      <w:r w:rsidR="00BE4C15">
        <w:t xml:space="preserve">. </w:t>
      </w:r>
    </w:p>
    <w:p w14:paraId="4804D86D" w14:textId="69DC48DC" w:rsidR="009D4D2E" w:rsidRDefault="00390BA1" w:rsidP="00E560C6">
      <w:pPr>
        <w:pStyle w:val="Heading2"/>
      </w:pPr>
      <w:r>
        <w:t>Preparing for the 2025 Victorian Transmission Plan</w:t>
      </w:r>
    </w:p>
    <w:p w14:paraId="7164679E" w14:textId="42E40753" w:rsidR="002C2415" w:rsidRPr="00331C92" w:rsidRDefault="002C2415" w:rsidP="00331C92">
      <w:pPr>
        <w:keepNext/>
        <w:keepLines/>
        <w:spacing w:before="40" w:after="0" w:line="259" w:lineRule="auto"/>
        <w:outlineLvl w:val="2"/>
        <w:rPr>
          <w:rFonts w:eastAsia="MS PGothic" w:cs="Arial"/>
          <w:color w:val="003867"/>
          <w:sz w:val="24"/>
          <w:szCs w:val="24"/>
        </w:rPr>
      </w:pPr>
      <w:r w:rsidRPr="00331C92">
        <w:rPr>
          <w:rFonts w:eastAsia="MS PGothic" w:cs="Arial"/>
          <w:color w:val="003867"/>
          <w:sz w:val="24"/>
          <w:szCs w:val="24"/>
        </w:rPr>
        <w:t xml:space="preserve">What we heard </w:t>
      </w:r>
    </w:p>
    <w:p w14:paraId="25BA1385"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The region has played a significant role in Victoria’s energy transition so far, with many renewable projects already underway or proposed – with no overarching coordination until now </w:t>
      </w:r>
    </w:p>
    <w:p w14:paraId="6E8B9E5E"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Minimise the cumulative impacts of wind projects, particularly on visual amenity and on how overdevelopment affects people’s sense of place and way of life </w:t>
      </w:r>
    </w:p>
    <w:p w14:paraId="7D47802B"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Minimise impacts on agriculture, particularly dairy farmland, in recognition of the sector’s contribution to the local economy and food security </w:t>
      </w:r>
    </w:p>
    <w:p w14:paraId="3B0CF3EC"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Protect biodiversity, including the Brolga and Southern Bent-wing Bat </w:t>
      </w:r>
    </w:p>
    <w:p w14:paraId="7AF679C6"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Avoid the areas with good groundwater access and agricultural productivity south-west of Hamilton </w:t>
      </w:r>
    </w:p>
    <w:p w14:paraId="5CAAA75A"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Consider including land near Coleraine in the zone </w:t>
      </w:r>
    </w:p>
    <w:p w14:paraId="522B965F" w14:textId="0788F1B0" w:rsidR="002C2415" w:rsidRDefault="00EE61E3" w:rsidP="00390BA1">
      <w:pPr>
        <w:pStyle w:val="Heading3"/>
      </w:pPr>
      <w:r w:rsidRPr="00EE61E3">
        <w:t xml:space="preserve">What we </w:t>
      </w:r>
      <w:r w:rsidR="00390BA1">
        <w:t>did</w:t>
      </w:r>
    </w:p>
    <w:p w14:paraId="45DC9ADF" w14:textId="77777777"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Avoided agricultural land, including concentrated dairy farming areas and areas with good access to groundwater </w:t>
      </w:r>
    </w:p>
    <w:p w14:paraId="3B2E3188" w14:textId="7B2E3890"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Avoided significant landscapes and landforms, including </w:t>
      </w:r>
      <w:proofErr w:type="spellStart"/>
      <w:r w:rsidRPr="00F509A1">
        <w:rPr>
          <w:rFonts w:asciiTheme="minorHAnsi" w:hAnsiTheme="minorHAnsi"/>
          <w:color w:val="161615" w:themeColor="background2" w:themeShade="1A"/>
        </w:rPr>
        <w:t>Budj</w:t>
      </w:r>
      <w:proofErr w:type="spellEnd"/>
      <w:r w:rsidRPr="00F509A1">
        <w:rPr>
          <w:rFonts w:asciiTheme="minorHAnsi" w:hAnsiTheme="minorHAnsi"/>
          <w:color w:val="161615" w:themeColor="background2" w:themeShade="1A"/>
        </w:rPr>
        <w:t xml:space="preserve"> Bim World Heritage Site, the Grampians (</w:t>
      </w:r>
      <w:proofErr w:type="spellStart"/>
      <w:r w:rsidRPr="00F509A1">
        <w:rPr>
          <w:rFonts w:asciiTheme="minorHAnsi" w:hAnsiTheme="minorHAnsi"/>
          <w:color w:val="161615" w:themeColor="background2" w:themeShade="1A"/>
        </w:rPr>
        <w:t>Gariwerd</w:t>
      </w:r>
      <w:proofErr w:type="spellEnd"/>
      <w:r w:rsidRPr="00F509A1">
        <w:rPr>
          <w:rFonts w:asciiTheme="minorHAnsi" w:hAnsiTheme="minorHAnsi"/>
          <w:color w:val="161615" w:themeColor="background2" w:themeShade="1A"/>
        </w:rPr>
        <w:t xml:space="preserve">) National Park, Lake Corangamite, Great Otway National Park and coastal areas </w:t>
      </w:r>
    </w:p>
    <w:p w14:paraId="762F040C" w14:textId="38DFA364"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 xml:space="preserve">Avoided the habitat of species such as the Brolga, especially in areas with high concentrations of wetlands </w:t>
      </w:r>
    </w:p>
    <w:p w14:paraId="04BB31CE" w14:textId="74F926C4" w:rsidR="00EE61E3" w:rsidRPr="00F509A1" w:rsidRDefault="00EE61E3" w:rsidP="00F509A1">
      <w:pPr>
        <w:pStyle w:val="ListBullet"/>
        <w:numPr>
          <w:ilvl w:val="0"/>
          <w:numId w:val="2"/>
        </w:numPr>
        <w:tabs>
          <w:tab w:val="num" w:pos="170"/>
        </w:tabs>
        <w:ind w:left="170" w:hanging="170"/>
        <w:rPr>
          <w:rFonts w:asciiTheme="minorHAnsi" w:hAnsiTheme="minorHAnsi"/>
          <w:color w:val="161615" w:themeColor="background2" w:themeShade="1A"/>
        </w:rPr>
      </w:pPr>
      <w:r w:rsidRPr="00F509A1">
        <w:rPr>
          <w:rFonts w:asciiTheme="minorHAnsi" w:hAnsiTheme="minorHAnsi"/>
          <w:color w:val="161615" w:themeColor="background2" w:themeShade="1A"/>
        </w:rPr>
        <w:t>Added the northern section (known as the Dundas Tablelands), which offers stronger wind resources than areas previously considered in this region</w:t>
      </w:r>
    </w:p>
    <w:p w14:paraId="665E9C3C" w14:textId="4BA41887" w:rsidR="00EE61E3" w:rsidRDefault="00390BA1" w:rsidP="00E560C6">
      <w:pPr>
        <w:pStyle w:val="Heading2"/>
      </w:pPr>
      <w:r>
        <w:t>As</w:t>
      </w:r>
      <w:r w:rsidR="00661A6C" w:rsidRPr="00661A6C">
        <w:t xml:space="preserve"> part of the renewable energy zone declaration consultation</w:t>
      </w:r>
    </w:p>
    <w:p w14:paraId="4F74FA63" w14:textId="38C350B5" w:rsidR="00390BA1" w:rsidRDefault="00390BA1" w:rsidP="009F7FE8">
      <w:pPr>
        <w:pStyle w:val="Heading3"/>
      </w:pPr>
      <w:r>
        <w:t>What we heard</w:t>
      </w:r>
    </w:p>
    <w:p w14:paraId="6C5451B0" w14:textId="714DC46A" w:rsidR="00661A6C" w:rsidRDefault="00661A6C" w:rsidP="00390BA1">
      <w:pPr>
        <w:pStyle w:val="Heading4"/>
      </w:pPr>
      <w:r w:rsidRPr="00661A6C">
        <w:t>Northern section (known as Dundas Tablelands)</w:t>
      </w:r>
    </w:p>
    <w:p w14:paraId="26791258" w14:textId="77777777" w:rsidR="00661A6C" w:rsidRPr="00390BA1" w:rsidRDefault="00661A6C"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 xml:space="preserve">Consultation on the proposed northern section was late, unclear and insufficient </w:t>
      </w:r>
    </w:p>
    <w:p w14:paraId="0DC172EB" w14:textId="00688E53" w:rsidR="00661A6C" w:rsidRPr="00390BA1" w:rsidRDefault="00661A6C"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 xml:space="preserve">The Dundas Tablelands and surrounds are among Victoria’s most </w:t>
      </w:r>
      <w:r w:rsidR="73B423C0" w:rsidRPr="00390BA1">
        <w:rPr>
          <w:rFonts w:asciiTheme="minorHAnsi" w:hAnsiTheme="minorHAnsi"/>
          <w:color w:val="161615" w:themeColor="background2" w:themeShade="1A"/>
        </w:rPr>
        <w:t>ecologically significant</w:t>
      </w:r>
      <w:r w:rsidRPr="00390BA1">
        <w:rPr>
          <w:rFonts w:asciiTheme="minorHAnsi" w:hAnsiTheme="minorHAnsi"/>
          <w:color w:val="161615" w:themeColor="background2" w:themeShade="1A"/>
        </w:rPr>
        <w:t xml:space="preserve"> landscapes </w:t>
      </w:r>
    </w:p>
    <w:p w14:paraId="516256A5" w14:textId="472D7141" w:rsidR="00661A6C" w:rsidRPr="00390BA1" w:rsidRDefault="00661A6C"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 xml:space="preserve">Protect threatened and endangered species and the region’s remnant red gums </w:t>
      </w:r>
    </w:p>
    <w:p w14:paraId="44A2D766" w14:textId="32118436" w:rsidR="00661A6C" w:rsidRPr="00390BA1" w:rsidRDefault="00661A6C"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Greater consideration is needed regarding the feasibility of connection the northern section to the transmission network</w:t>
      </w:r>
    </w:p>
    <w:p w14:paraId="705986DE" w14:textId="475A5BD1" w:rsidR="00661A6C" w:rsidRDefault="00CC24E0" w:rsidP="00390BA1">
      <w:pPr>
        <w:pStyle w:val="Heading4"/>
      </w:pPr>
      <w:r w:rsidRPr="00CC24E0">
        <w:t>Southern section</w:t>
      </w:r>
    </w:p>
    <w:p w14:paraId="6D7BBDF0" w14:textId="77777777" w:rsidR="00CC24E0" w:rsidRPr="00390BA1" w:rsidRDefault="00CC24E0"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Continued concerns were raised about the impacts on agricultural land uses, biodiversity and the cumulative impacts of development in the region</w:t>
      </w:r>
    </w:p>
    <w:p w14:paraId="3F32826B" w14:textId="77777777" w:rsidR="00CC24E0" w:rsidRPr="00390BA1" w:rsidRDefault="00CC24E0"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Minimise impacts on the Mount Rouse lava flow and stony rises, which are considered as geomorphologically unique</w:t>
      </w:r>
    </w:p>
    <w:p w14:paraId="0FC221CF" w14:textId="77777777" w:rsidR="00CC24E0" w:rsidRPr="00390BA1" w:rsidRDefault="00CC24E0" w:rsidP="00390BA1">
      <w:pPr>
        <w:pStyle w:val="ListBullet"/>
        <w:numPr>
          <w:ilvl w:val="0"/>
          <w:numId w:val="2"/>
        </w:numPr>
        <w:tabs>
          <w:tab w:val="num" w:pos="170"/>
        </w:tabs>
        <w:ind w:left="170" w:hanging="170"/>
        <w:rPr>
          <w:rFonts w:asciiTheme="minorHAnsi" w:hAnsiTheme="minorHAnsi"/>
          <w:color w:val="161615" w:themeColor="background2" w:themeShade="1A"/>
        </w:rPr>
      </w:pPr>
      <w:r w:rsidRPr="00390BA1">
        <w:rPr>
          <w:rFonts w:asciiTheme="minorHAnsi" w:hAnsiTheme="minorHAnsi"/>
          <w:color w:val="161615" w:themeColor="background2" w:themeShade="1A"/>
        </w:rPr>
        <w:t>The area is highly prone to bushfires, with limited ground access and strong reliance on aerial firefighting</w:t>
      </w:r>
    </w:p>
    <w:p w14:paraId="55D0E25F" w14:textId="089272F9" w:rsidR="00CC24E0" w:rsidRDefault="00CC24E0" w:rsidP="007470FA">
      <w:pPr>
        <w:pStyle w:val="Heading3"/>
      </w:pPr>
      <w:r w:rsidRPr="00CC24E0">
        <w:lastRenderedPageBreak/>
        <w:t>What we did</w:t>
      </w:r>
    </w:p>
    <w:p w14:paraId="0AB52C5D" w14:textId="77777777" w:rsidR="00CC24E0" w:rsidRDefault="00CC24E0" w:rsidP="007470FA">
      <w:pPr>
        <w:pStyle w:val="Heading4"/>
      </w:pPr>
      <w:r w:rsidRPr="00661A6C">
        <w:t>Northern section (known as Dundas Tablelands)</w:t>
      </w:r>
    </w:p>
    <w:p w14:paraId="29DF95A1" w14:textId="77777777" w:rsidR="008C49FC" w:rsidRPr="007470FA" w:rsidRDefault="008C49FC" w:rsidP="007470FA">
      <w:pPr>
        <w:pStyle w:val="ListBullet"/>
        <w:numPr>
          <w:ilvl w:val="0"/>
          <w:numId w:val="2"/>
        </w:numPr>
        <w:tabs>
          <w:tab w:val="num" w:pos="170"/>
        </w:tabs>
        <w:ind w:left="170" w:hanging="170"/>
        <w:rPr>
          <w:rFonts w:asciiTheme="minorHAnsi" w:hAnsiTheme="minorHAnsi"/>
          <w:color w:val="161615" w:themeColor="background2" w:themeShade="1A"/>
        </w:rPr>
      </w:pPr>
      <w:r w:rsidRPr="007470FA">
        <w:rPr>
          <w:rFonts w:asciiTheme="minorHAnsi" w:hAnsiTheme="minorHAnsi"/>
          <w:color w:val="161615" w:themeColor="background2" w:themeShade="1A"/>
        </w:rPr>
        <w:t xml:space="preserve">Removed the northern section of the zone in response to concerns about limited engagement opportunities, environmental and biodiversity values, land use constraints and potential project complexities for projects </w:t>
      </w:r>
    </w:p>
    <w:p w14:paraId="1458EEF3" w14:textId="77777777" w:rsidR="008C49FC" w:rsidRDefault="008C49FC" w:rsidP="007470FA">
      <w:pPr>
        <w:pStyle w:val="Heading4"/>
      </w:pPr>
      <w:r w:rsidRPr="00CC24E0">
        <w:t>Southern section</w:t>
      </w:r>
    </w:p>
    <w:p w14:paraId="18A19A9D" w14:textId="627C524B" w:rsidR="00CC24E0" w:rsidRPr="007470FA" w:rsidRDefault="008C49FC" w:rsidP="007470FA">
      <w:pPr>
        <w:pStyle w:val="ListBullet"/>
        <w:numPr>
          <w:ilvl w:val="0"/>
          <w:numId w:val="2"/>
        </w:numPr>
        <w:tabs>
          <w:tab w:val="num" w:pos="170"/>
        </w:tabs>
        <w:ind w:left="170" w:hanging="170"/>
        <w:rPr>
          <w:rFonts w:asciiTheme="minorHAnsi" w:hAnsiTheme="minorHAnsi"/>
          <w:color w:val="161615" w:themeColor="background2" w:themeShade="1A"/>
        </w:rPr>
      </w:pPr>
      <w:r w:rsidRPr="007470FA">
        <w:rPr>
          <w:rFonts w:asciiTheme="minorHAnsi" w:hAnsiTheme="minorHAnsi"/>
          <w:color w:val="161615" w:themeColor="background2" w:themeShade="1A"/>
        </w:rPr>
        <w:t xml:space="preserve">Defined the boundaries using a standard approach to align them to existing administrative and planning features – such as roads and local government boundaries </w:t>
      </w:r>
    </w:p>
    <w:p w14:paraId="50A017D1" w14:textId="1B1CDE71" w:rsidR="008C49FC" w:rsidRDefault="00300443" w:rsidP="000B6E26">
      <w:pPr>
        <w:pStyle w:val="Bodycopy"/>
      </w:pPr>
      <w:r w:rsidRPr="00300443">
        <w:t>Detailed assessment of concerns relating to environment, agricultural, bushfire and social impacts will be considered at the project level through consultation, planning, design and environmental assessment and approvals.</w:t>
      </w:r>
    </w:p>
    <w:p w14:paraId="665296A3" w14:textId="093392F1" w:rsidR="005D2E71" w:rsidRPr="005D2E71" w:rsidRDefault="00300443" w:rsidP="007470FA">
      <w:pPr>
        <w:pStyle w:val="Heading1"/>
      </w:pPr>
      <w:r w:rsidRPr="00300443">
        <w:t>What will it be like living in a renewable energy zone?</w:t>
      </w:r>
    </w:p>
    <w:p w14:paraId="0969C881" w14:textId="77777777" w:rsidR="005D2E71" w:rsidRPr="005D2E71" w:rsidRDefault="005D2E71" w:rsidP="000B6E26">
      <w:pPr>
        <w:pStyle w:val="Bodycopy"/>
      </w:pPr>
      <w:r w:rsidRPr="005D2E71">
        <w:t>If you live in or near a renewable energy zone, you can expect to see the development of renewable energy infrastructure over time, including wind, solar and battery projects.</w:t>
      </w:r>
    </w:p>
    <w:p w14:paraId="3A3DB5CF" w14:textId="77777777" w:rsidR="005D2E71" w:rsidRPr="005D2E71" w:rsidRDefault="005D2E71" w:rsidP="000B6E26">
      <w:pPr>
        <w:pStyle w:val="Bodycopy"/>
      </w:pPr>
      <w:r w:rsidRPr="005D2E71">
        <w:t xml:space="preserve">The development of projects is limited by the available space on the transmission network and only a small proportion of land is expected to be used. </w:t>
      </w:r>
      <w:proofErr w:type="gramStart"/>
      <w:r w:rsidRPr="005D2E71">
        <w:t>The vast majority of</w:t>
      </w:r>
      <w:proofErr w:type="gramEnd"/>
      <w:r w:rsidRPr="005D2E71">
        <w:t xml:space="preserve"> land will continue to support existing uses such as farming.</w:t>
      </w:r>
    </w:p>
    <w:p w14:paraId="671E612A" w14:textId="6C74A1D6" w:rsidR="005D2E71" w:rsidRDefault="005D2E71" w:rsidP="000B6E26">
      <w:pPr>
        <w:pStyle w:val="Bodycopy"/>
      </w:pPr>
      <w:r w:rsidRPr="005D2E71">
        <w:t>VicGrid will coordinate development of projects to reduce impacts on communities, landscapes and the environment, while all projects will still need to meet existing planning and environmental approval requirements.</w:t>
      </w:r>
    </w:p>
    <w:p w14:paraId="6B030B4E" w14:textId="3238246F" w:rsidR="005D2E71" w:rsidRDefault="005D2E71" w:rsidP="007470FA">
      <w:pPr>
        <w:pStyle w:val="Heading2"/>
      </w:pPr>
      <w:r w:rsidRPr="005D2E71">
        <w:t>Engagement and the delivery of social and economic value</w:t>
      </w:r>
    </w:p>
    <w:p w14:paraId="4DB9515E" w14:textId="77777777" w:rsidR="00B36A08" w:rsidRDefault="00B36A08" w:rsidP="009F7FE8">
      <w:r>
        <w:t>Renewable energy zones will drive economic development in regional Victoria and enable new economic benefits over time through the Victorian Government’s draft Renewable Energy Zone Community Benefits Plan.</w:t>
      </w:r>
    </w:p>
    <w:p w14:paraId="59735771" w14:textId="77777777" w:rsidR="00B36A08" w:rsidRDefault="00B36A08" w:rsidP="009F7FE8">
      <w:r>
        <w:t>The introduction of new Renewable Energy Zone Community Energy Funds will support initiatives that create benefits from the energy transition and improve energy and biodiversity outcomes in regions hosting renewable energy zones and new transmission infrastructure. These benefits will be in addition to any benefits provided directly by renewable energy developers.</w:t>
      </w:r>
    </w:p>
    <w:p w14:paraId="38EE7127" w14:textId="77777777" w:rsidR="00B36A08" w:rsidRDefault="00B36A08" w:rsidP="009F7FE8">
      <w:r>
        <w:t>Local decision-making that responds to local needs and priorities will be a cornerstone of these funds. Decisions about investments will be made in consultation with regional community reference groups, with broad community and industry representation.</w:t>
      </w:r>
    </w:p>
    <w:p w14:paraId="1063C93F" w14:textId="20450A29" w:rsidR="00B36A08" w:rsidRDefault="00B36A08" w:rsidP="009F7FE8">
      <w:pPr>
        <w:rPr>
          <w:b/>
          <w:bCs/>
        </w:rPr>
      </w:pPr>
      <w:r>
        <w:t xml:space="preserve">The Renewable Energy Zone Community Benefits Plan is being developed and will be released once finalised. Learn more at </w:t>
      </w:r>
      <w:hyperlink r:id="rId16" w:history="1">
        <w:r w:rsidR="007470FA" w:rsidRPr="007470FA">
          <w:rPr>
            <w:rStyle w:val="Hyperlink"/>
          </w:rPr>
          <w:t>our webpage</w:t>
        </w:r>
      </w:hyperlink>
      <w:r w:rsidR="007470FA">
        <w:t xml:space="preserve">. </w:t>
      </w:r>
    </w:p>
    <w:p w14:paraId="449B2E87" w14:textId="77777777" w:rsidR="007C04EC" w:rsidRPr="007C04EC" w:rsidRDefault="007C04EC" w:rsidP="009F7FE8">
      <w:r w:rsidRPr="007C04EC">
        <w:t>The Victorian Government has also released the Community Engagement and Social Value Guidelines. The guidelines set out the minimum expectations of developers in how they engage with communities and create social value and economic benefits.</w:t>
      </w:r>
    </w:p>
    <w:p w14:paraId="1054BFB9" w14:textId="77777777" w:rsidR="007C04EC" w:rsidRPr="007C04EC" w:rsidRDefault="007C04EC" w:rsidP="009F7FE8">
      <w:r w:rsidRPr="007C04EC">
        <w:t xml:space="preserve">Developers are expected to engage early and meaningfully with host landholders, neighbouring and nearby landholders, Traditional Owners and communities surrounding their project. </w:t>
      </w:r>
    </w:p>
    <w:p w14:paraId="1E4BC50C" w14:textId="77777777" w:rsidR="007C04EC" w:rsidRPr="007C04EC" w:rsidRDefault="007C04EC" w:rsidP="009F7FE8">
      <w:r w:rsidRPr="007C04EC">
        <w:lastRenderedPageBreak/>
        <w:t xml:space="preserve">Developers are also expected to integrate feedback received from these groups into project design, including initiatives that support economic investment in the region, recognise impacts on communities and deliver community benefits. </w:t>
      </w:r>
    </w:p>
    <w:p w14:paraId="5E28264A" w14:textId="1B76F7E2" w:rsidR="007C04EC" w:rsidRDefault="007C04EC" w:rsidP="009F7FE8">
      <w:pPr>
        <w:rPr>
          <w:b/>
          <w:bCs/>
        </w:rPr>
      </w:pPr>
      <w:r w:rsidRPr="007C04EC">
        <w:t xml:space="preserve">You can learn more about the guidelines and how we are implementing them at </w:t>
      </w:r>
      <w:hyperlink r:id="rId17" w:history="1">
        <w:r w:rsidR="00A2206D" w:rsidRPr="00A2206D">
          <w:rPr>
            <w:rStyle w:val="Hyperlink"/>
          </w:rPr>
          <w:t>our webpage</w:t>
        </w:r>
      </w:hyperlink>
      <w:r w:rsidR="00A2206D">
        <w:t xml:space="preserve">. </w:t>
      </w:r>
    </w:p>
    <w:p w14:paraId="1EF5DDCC" w14:textId="3B75E6C5" w:rsidR="007C04EC" w:rsidRDefault="007C04EC" w:rsidP="00E10FCD">
      <w:pPr>
        <w:pStyle w:val="Heading1"/>
      </w:pPr>
      <w:r w:rsidRPr="007C04EC">
        <w:t>What happens next</w:t>
      </w:r>
    </w:p>
    <w:p w14:paraId="188FBF81" w14:textId="66B81634" w:rsidR="00F95556" w:rsidRDefault="00F95556" w:rsidP="00A2206D">
      <w:r w:rsidRPr="00F95556">
        <w:t>Declaring renewable energy zones is not the end of the process. Over the next 12 to 24 months, VicGrid will do the following:</w:t>
      </w:r>
    </w:p>
    <w:p w14:paraId="4C70CA1E" w14:textId="42FEB660" w:rsidR="00F95556" w:rsidRPr="00A2206D" w:rsidRDefault="00F95556" w:rsidP="00A2206D">
      <w:pPr>
        <w:pStyle w:val="ListBullet"/>
        <w:numPr>
          <w:ilvl w:val="0"/>
          <w:numId w:val="2"/>
        </w:numPr>
        <w:tabs>
          <w:tab w:val="num" w:pos="170"/>
        </w:tabs>
        <w:ind w:left="170" w:hanging="170"/>
        <w:rPr>
          <w:rFonts w:asciiTheme="minorHAnsi" w:hAnsiTheme="minorHAnsi"/>
          <w:color w:val="161615" w:themeColor="background2" w:themeShade="1A"/>
        </w:rPr>
      </w:pPr>
      <w:r w:rsidRPr="00A2206D">
        <w:rPr>
          <w:rFonts w:asciiTheme="minorHAnsi" w:hAnsiTheme="minorHAnsi"/>
          <w:color w:val="161615" w:themeColor="background2" w:themeShade="1A"/>
        </w:rPr>
        <w:t xml:space="preserve">Finalise the rules that renewable energy and storage projects must follow to develop within a zone, including the requirement to meet the expectations outlined in the Community Engagement and Social Values Guidelines </w:t>
      </w:r>
    </w:p>
    <w:p w14:paraId="1E06C6A7" w14:textId="40A7498E" w:rsidR="00F95556" w:rsidRPr="00A2206D" w:rsidRDefault="00F95556" w:rsidP="00A2206D">
      <w:pPr>
        <w:pStyle w:val="ListBullet"/>
        <w:numPr>
          <w:ilvl w:val="0"/>
          <w:numId w:val="2"/>
        </w:numPr>
        <w:tabs>
          <w:tab w:val="num" w:pos="170"/>
        </w:tabs>
        <w:ind w:left="170" w:hanging="170"/>
        <w:rPr>
          <w:rFonts w:asciiTheme="minorHAnsi" w:hAnsiTheme="minorHAnsi"/>
          <w:color w:val="161615" w:themeColor="background2" w:themeShade="1A"/>
        </w:rPr>
      </w:pPr>
      <w:r w:rsidRPr="00A2206D">
        <w:rPr>
          <w:rFonts w:asciiTheme="minorHAnsi" w:hAnsiTheme="minorHAnsi"/>
          <w:color w:val="161615" w:themeColor="background2" w:themeShade="1A"/>
        </w:rPr>
        <w:t xml:space="preserve">Set limits on how much new renewable energy generation can connect to the network within each zone </w:t>
      </w:r>
    </w:p>
    <w:p w14:paraId="04FFC1C6" w14:textId="6CBDADC4" w:rsidR="00F95556" w:rsidRPr="00A2206D" w:rsidRDefault="00F95556" w:rsidP="00A2206D">
      <w:pPr>
        <w:pStyle w:val="ListBullet"/>
        <w:numPr>
          <w:ilvl w:val="0"/>
          <w:numId w:val="2"/>
        </w:numPr>
        <w:tabs>
          <w:tab w:val="num" w:pos="170"/>
        </w:tabs>
        <w:ind w:left="170" w:hanging="170"/>
        <w:rPr>
          <w:rFonts w:asciiTheme="minorHAnsi" w:hAnsiTheme="minorHAnsi"/>
          <w:color w:val="161615" w:themeColor="background2" w:themeShade="1A"/>
        </w:rPr>
      </w:pPr>
      <w:r w:rsidRPr="00A2206D">
        <w:rPr>
          <w:rFonts w:asciiTheme="minorHAnsi" w:hAnsiTheme="minorHAnsi"/>
          <w:color w:val="161615" w:themeColor="background2" w:themeShade="1A"/>
        </w:rPr>
        <w:t>Work with existing projects seeking connection to the network to meet community expectations</w:t>
      </w:r>
    </w:p>
    <w:p w14:paraId="62B978E2" w14:textId="43C02898" w:rsidR="00F95556" w:rsidRPr="00A2206D" w:rsidRDefault="00F95556" w:rsidP="00A2206D">
      <w:pPr>
        <w:pStyle w:val="ListBullet"/>
        <w:numPr>
          <w:ilvl w:val="0"/>
          <w:numId w:val="2"/>
        </w:numPr>
        <w:tabs>
          <w:tab w:val="num" w:pos="170"/>
        </w:tabs>
        <w:ind w:left="170" w:hanging="170"/>
        <w:rPr>
          <w:rFonts w:asciiTheme="minorHAnsi" w:hAnsiTheme="minorHAnsi"/>
          <w:color w:val="161615" w:themeColor="background2" w:themeShade="1A"/>
        </w:rPr>
      </w:pPr>
      <w:r w:rsidRPr="00A2206D">
        <w:rPr>
          <w:rFonts w:asciiTheme="minorHAnsi" w:hAnsiTheme="minorHAnsi"/>
          <w:color w:val="161615" w:themeColor="background2" w:themeShade="1A"/>
        </w:rPr>
        <w:t>Monitor the performance of projects who gain access and review if they are meeting the conditions of their connection agreement</w:t>
      </w:r>
    </w:p>
    <w:p w14:paraId="005F5989" w14:textId="77777777" w:rsidR="00F95556" w:rsidRPr="00A2206D" w:rsidRDefault="00F95556" w:rsidP="00A2206D">
      <w:pPr>
        <w:pStyle w:val="ListBullet"/>
        <w:numPr>
          <w:ilvl w:val="0"/>
          <w:numId w:val="2"/>
        </w:numPr>
        <w:tabs>
          <w:tab w:val="num" w:pos="170"/>
        </w:tabs>
        <w:ind w:left="170" w:hanging="170"/>
        <w:rPr>
          <w:rFonts w:asciiTheme="minorHAnsi" w:hAnsiTheme="minorHAnsi"/>
          <w:color w:val="161615" w:themeColor="background2" w:themeShade="1A"/>
        </w:rPr>
      </w:pPr>
      <w:r w:rsidRPr="00A2206D">
        <w:rPr>
          <w:rFonts w:asciiTheme="minorHAnsi" w:hAnsiTheme="minorHAnsi"/>
          <w:color w:val="161615" w:themeColor="background2" w:themeShade="1A"/>
        </w:rPr>
        <w:t>Support the creation of community energy funds and work with communities on how those funds are spent.</w:t>
      </w:r>
    </w:p>
    <w:p w14:paraId="64FA91AB" w14:textId="3DE23ABE" w:rsidR="00F95556" w:rsidRPr="00A2206D" w:rsidRDefault="00F95556" w:rsidP="00A2206D">
      <w:pPr>
        <w:pStyle w:val="ListBullet"/>
        <w:numPr>
          <w:ilvl w:val="0"/>
          <w:numId w:val="2"/>
        </w:numPr>
        <w:tabs>
          <w:tab w:val="num" w:pos="170"/>
        </w:tabs>
        <w:ind w:left="170" w:hanging="170"/>
        <w:rPr>
          <w:rFonts w:asciiTheme="minorHAnsi" w:hAnsiTheme="minorHAnsi"/>
          <w:color w:val="161615" w:themeColor="background2" w:themeShade="1A"/>
        </w:rPr>
      </w:pPr>
      <w:r w:rsidRPr="00A2206D">
        <w:rPr>
          <w:rFonts w:asciiTheme="minorHAnsi" w:hAnsiTheme="minorHAnsi"/>
          <w:color w:val="161615" w:themeColor="background2" w:themeShade="1A"/>
        </w:rPr>
        <w:t>Continue planning the necessary transmission projects and work with generation and storage projects to coordinate their infrastructure and minimise environmental and community impacts</w:t>
      </w:r>
    </w:p>
    <w:p w14:paraId="4771E835" w14:textId="77777777" w:rsidR="005E5E95" w:rsidRDefault="005E5E95" w:rsidP="000B6E26">
      <w:pPr>
        <w:pStyle w:val="Bodycopy"/>
      </w:pPr>
      <w:r>
        <w:t>Throughout these steps, we will continue to engage with communities, landholders, Traditional Owners, industry and local government. The feedback captured to date will continue to help shape these processes as Victoria progresses towards a coordinated and fair energy transition.</w:t>
      </w:r>
    </w:p>
    <w:p w14:paraId="1DD24836" w14:textId="15C48504" w:rsidR="00F95556" w:rsidRDefault="005E5E95" w:rsidP="000B6E26">
      <w:pPr>
        <w:pStyle w:val="Bodycopy"/>
        <w:rPr>
          <w:b/>
          <w:bCs/>
        </w:rPr>
      </w:pPr>
      <w:r w:rsidRPr="005E5E95">
        <w:t xml:space="preserve">You can learn more about the new rules and guidelines that will enable this work </w:t>
      </w:r>
      <w:r w:rsidR="0038784A">
        <w:t>on</w:t>
      </w:r>
      <w:r w:rsidRPr="005E5E95">
        <w:t xml:space="preserve"> </w:t>
      </w:r>
      <w:hyperlink r:id="rId18" w:history="1">
        <w:r w:rsidR="00A2206D" w:rsidRPr="00A2206D">
          <w:rPr>
            <w:rStyle w:val="Hyperlink"/>
          </w:rPr>
          <w:t>our webpage</w:t>
        </w:r>
      </w:hyperlink>
      <w:r w:rsidR="00A2206D">
        <w:t xml:space="preserve">. </w:t>
      </w:r>
    </w:p>
    <w:p w14:paraId="53C3310F" w14:textId="77777777" w:rsidR="005C443C" w:rsidRDefault="005C443C" w:rsidP="005C443C">
      <w:pPr>
        <w:pStyle w:val="Heading1"/>
      </w:pPr>
      <w:r>
        <w:t>Contact us</w:t>
      </w:r>
    </w:p>
    <w:p w14:paraId="023DE252" w14:textId="77777777" w:rsidR="005C443C" w:rsidRPr="00524D9F" w:rsidRDefault="005C443C" w:rsidP="005C443C">
      <w:pPr>
        <w:rPr>
          <w:lang w:val="en-GB"/>
        </w:rPr>
      </w:pPr>
      <w:r w:rsidRPr="00524D9F">
        <w:rPr>
          <w:lang w:val="en-GB"/>
        </w:rPr>
        <w:t xml:space="preserve">Phone: 1800 418 341 </w:t>
      </w:r>
    </w:p>
    <w:p w14:paraId="1B201D69" w14:textId="77777777" w:rsidR="005C443C" w:rsidRPr="00524D9F" w:rsidRDefault="005C443C" w:rsidP="005C443C">
      <w:pPr>
        <w:rPr>
          <w:lang w:val="en-GB"/>
        </w:rPr>
      </w:pPr>
      <w:r w:rsidRPr="00524D9F">
        <w:rPr>
          <w:lang w:val="en-GB"/>
        </w:rPr>
        <w:t xml:space="preserve">Email: </w:t>
      </w:r>
      <w:r w:rsidRPr="00653B5D">
        <w:t>enquiries@vicgrid.com.au</w:t>
      </w:r>
    </w:p>
    <w:p w14:paraId="3A1512C6" w14:textId="77777777" w:rsidR="005C443C" w:rsidRPr="00524D9F" w:rsidRDefault="005C443C" w:rsidP="005C443C">
      <w:pPr>
        <w:rPr>
          <w:lang w:val="en-GB"/>
        </w:rPr>
      </w:pPr>
      <w:r w:rsidRPr="00524D9F">
        <w:rPr>
          <w:lang w:val="en-GB"/>
        </w:rPr>
        <w:t xml:space="preserve">Deaf, hearing or speech impaired? Please contact the National Relay Service on 133 677 or </w:t>
      </w:r>
      <w:hyperlink r:id="rId19" w:history="1">
        <w:r w:rsidRPr="006A1CB6">
          <w:rPr>
            <w:rStyle w:val="Hyperlink"/>
            <w:lang w:val="en-GB"/>
          </w:rPr>
          <w:t>their webpage</w:t>
        </w:r>
      </w:hyperlink>
      <w:r>
        <w:rPr>
          <w:lang w:val="en-GB"/>
        </w:rPr>
        <w:t xml:space="preserve">. </w:t>
      </w:r>
    </w:p>
    <w:p w14:paraId="557E074D" w14:textId="77777777" w:rsidR="005C443C" w:rsidRDefault="005C443C" w:rsidP="005C443C">
      <w:r w:rsidRPr="00524D9F">
        <w:rPr>
          <w:lang w:val="en-GB"/>
        </w:rPr>
        <w:t xml:space="preserve">Need an interpreter? Contact Translating and Interpreting Service (TIS) on 131 450 (within Australia) or visit </w:t>
      </w:r>
      <w:hyperlink r:id="rId20" w:history="1">
        <w:r w:rsidRPr="006A1CB6">
          <w:rPr>
            <w:rStyle w:val="Hyperlink"/>
            <w:lang w:val="en-GB"/>
          </w:rPr>
          <w:t>their webpage</w:t>
        </w:r>
      </w:hyperlink>
      <w:r>
        <w:rPr>
          <w:lang w:val="en-GB"/>
        </w:rPr>
        <w:t>.</w:t>
      </w:r>
    </w:p>
    <w:p w14:paraId="5BA36D03" w14:textId="5395FE83" w:rsidR="00105F9E" w:rsidRPr="00524D9F" w:rsidRDefault="005C443C" w:rsidP="009F7FE8">
      <w:pPr>
        <w:rPr>
          <w:lang w:val="en-GB"/>
        </w:rPr>
      </w:pPr>
      <w:r w:rsidRPr="00105F9E">
        <w:rPr>
          <w:lang w:val="en-GB"/>
        </w:rPr>
        <w:t xml:space="preserve">Disclaimer: The information in this document is current at the time of printing, may be subject to change and should not be relied upon. Please visit </w:t>
      </w:r>
      <w:r>
        <w:rPr>
          <w:lang w:val="en-GB"/>
        </w:rPr>
        <w:t xml:space="preserve">the </w:t>
      </w:r>
      <w:hyperlink r:id="rId21" w:history="1">
        <w:r w:rsidRPr="006A1CB6">
          <w:rPr>
            <w:rStyle w:val="Hyperlink"/>
            <w:lang w:val="en-GB"/>
          </w:rPr>
          <w:t>VicGrid website</w:t>
        </w:r>
      </w:hyperlink>
      <w:r>
        <w:rPr>
          <w:lang w:val="en-GB"/>
        </w:rPr>
        <w:t xml:space="preserve"> </w:t>
      </w:r>
      <w:r w:rsidRPr="00105F9E">
        <w:rPr>
          <w:lang w:val="en-GB"/>
        </w:rPr>
        <w:t>for the latest updates</w:t>
      </w:r>
      <w:r>
        <w:rPr>
          <w:lang w:val="en-GB"/>
        </w:rPr>
        <w:t>.</w:t>
      </w:r>
    </w:p>
    <w:p w14:paraId="14FD3F07" w14:textId="77777777" w:rsidR="00524D9F" w:rsidRPr="00524D9F" w:rsidRDefault="00524D9F" w:rsidP="009F7FE8"/>
    <w:sectPr w:rsidR="00524D9F" w:rsidRPr="00524D9F" w:rsidSect="00E826E3">
      <w:headerReference w:type="even" r:id="rId22"/>
      <w:headerReference w:type="default" r:id="rId23"/>
      <w:footerReference w:type="even" r:id="rId24"/>
      <w:footerReference w:type="default" r:id="rId25"/>
      <w:headerReference w:type="first" r:id="rId26"/>
      <w:footerReference w:type="first" r:id="rId27"/>
      <w:type w:val="continuous"/>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E8F9C" w14:textId="77777777" w:rsidR="004C55F6" w:rsidRDefault="004C55F6" w:rsidP="009F7FE8">
      <w:r>
        <w:separator/>
      </w:r>
    </w:p>
  </w:endnote>
  <w:endnote w:type="continuationSeparator" w:id="0">
    <w:p w14:paraId="50298B06" w14:textId="77777777" w:rsidR="004C55F6" w:rsidRDefault="004C55F6" w:rsidP="009F7FE8">
      <w:r>
        <w:continuationSeparator/>
      </w:r>
    </w:p>
  </w:endnote>
  <w:endnote w:type="continuationNotice" w:id="1">
    <w:p w14:paraId="4CF9FB45" w14:textId="77777777" w:rsidR="004C55F6" w:rsidRDefault="004C55F6" w:rsidP="009F7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86D6" w14:textId="29402292" w:rsidR="00F44F1E" w:rsidRDefault="00C509C6" w:rsidP="009F7FE8">
    <w:pPr>
      <w:pStyle w:val="Footer"/>
    </w:pPr>
    <w:r>
      <w:rPr>
        <w:noProof/>
      </w:rPr>
      <mc:AlternateContent>
        <mc:Choice Requires="wps">
          <w:drawing>
            <wp:anchor distT="0" distB="0" distL="0" distR="0" simplePos="0" relativeHeight="251658242" behindDoc="0" locked="0" layoutInCell="1" allowOverlap="1" wp14:anchorId="1C7AF5EF" wp14:editId="05B0ECF0">
              <wp:simplePos x="635" y="635"/>
              <wp:positionH relativeFrom="page">
                <wp:align>center</wp:align>
              </wp:positionH>
              <wp:positionV relativeFrom="page">
                <wp:align>bottom</wp:align>
              </wp:positionV>
              <wp:extent cx="570865" cy="374650"/>
              <wp:effectExtent l="0" t="0" r="635" b="0"/>
              <wp:wrapNone/>
              <wp:docPr id="550498370"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222839B1" w14:textId="7C3A0840" w:rsidR="00C509C6" w:rsidRPr="00C509C6" w:rsidRDefault="00C509C6" w:rsidP="009F7FE8">
                          <w:r w:rsidRPr="00C509C6">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1C7AF5EF" id="_x0000_t202" coordsize="21600,21600" o:spt="202" path="m,l,21600r21600,l21600,xe">
              <v:stroke joinstyle="miter"/>
              <v:path gradientshapeok="t" o:connecttype="rect"/>
            </v:shapetype>
            <v:shape id="Text Box 9" o:spid="_x0000_s1028" type="#_x0000_t202" alt="OFFICIAL " style="position:absolute;margin-left:0;margin-top:0;width:44.95pt;height:2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AO2DwIAABwEAAAOAAAAZHJzL2Uyb0RvYy54bWysU02P2jAQvVfqf7B8Lwm0sN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" filled="f" stroked="f">
              <v:textbox style="mso-fit-shape-to-text:t" inset="0,0,0,15pt">
                <w:txbxContent>
                  <w:p w14:paraId="222839B1" w14:textId="7C3A0840" w:rsidR="00C509C6" w:rsidRPr="00C509C6" w:rsidRDefault="00C509C6" w:rsidP="009F7FE8">
                    <w:r w:rsidRPr="00C509C6">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7856A" w14:textId="5DAE6B04" w:rsidR="00A82D2F" w:rsidRPr="003F3879" w:rsidRDefault="00C509C6" w:rsidP="009F7FE8">
    <w:pPr>
      <w:pStyle w:val="SmallBodyText"/>
      <w:rPr>
        <w:lang w:val="en-US"/>
      </w:rPr>
    </w:pPr>
    <w:r>
      <w:rPr>
        <w:noProof/>
        <w:lang w:val="en-US"/>
      </w:rPr>
      <mc:AlternateContent>
        <mc:Choice Requires="wps">
          <w:drawing>
            <wp:anchor distT="0" distB="0" distL="0" distR="0" simplePos="0" relativeHeight="251658243" behindDoc="0" locked="0" layoutInCell="1" allowOverlap="1" wp14:anchorId="074C6960" wp14:editId="282A0DCD">
              <wp:simplePos x="724395" y="10046525"/>
              <wp:positionH relativeFrom="page">
                <wp:align>center</wp:align>
              </wp:positionH>
              <wp:positionV relativeFrom="page">
                <wp:align>bottom</wp:align>
              </wp:positionV>
              <wp:extent cx="570865" cy="374650"/>
              <wp:effectExtent l="0" t="0" r="635" b="0"/>
              <wp:wrapNone/>
              <wp:docPr id="1106848027"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732EEF15" w14:textId="6A96ED84" w:rsidR="00C509C6" w:rsidRPr="00C509C6" w:rsidRDefault="00C509C6" w:rsidP="009F7FE8">
                          <w:r w:rsidRPr="00C509C6">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74C6960" id="_x0000_t202" coordsize="21600,21600" o:spt="202" path="m,l,21600r21600,l21600,xe">
              <v:stroke joinstyle="miter"/>
              <v:path gradientshapeok="t" o:connecttype="rect"/>
            </v:shapetype>
            <v:shape id="Text Box 10" o:spid="_x0000_s1029" type="#_x0000_t202" alt="OFFICIAL " style="position:absolute;margin-left:0;margin-top:0;width:44.95pt;height:2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GLDwIAABwEAAAOAAAAZHJzL2Uyb0RvYy54bWysU01v2zAMvQ/YfxB0X+x0S9o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" filled="f" stroked="f">
              <v:textbox style="mso-fit-shape-to-text:t" inset="0,0,0,15pt">
                <w:txbxContent>
                  <w:p w14:paraId="732EEF15" w14:textId="6A96ED84" w:rsidR="00C509C6" w:rsidRPr="00C509C6" w:rsidRDefault="00C509C6" w:rsidP="009F7FE8">
                    <w:r w:rsidRPr="00C509C6">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A438A" w14:textId="6FB22C63" w:rsidR="00F44F1E" w:rsidRDefault="00C509C6" w:rsidP="009F7FE8">
    <w:pPr>
      <w:pStyle w:val="Footer"/>
    </w:pPr>
    <w:r>
      <w:rPr>
        <w:noProof/>
      </w:rPr>
      <mc:AlternateContent>
        <mc:Choice Requires="wps">
          <w:drawing>
            <wp:anchor distT="0" distB="0" distL="0" distR="0" simplePos="0" relativeHeight="251658241" behindDoc="0" locked="0" layoutInCell="1" allowOverlap="1" wp14:anchorId="215DBDDD" wp14:editId="766F5709">
              <wp:simplePos x="635" y="635"/>
              <wp:positionH relativeFrom="page">
                <wp:align>center</wp:align>
              </wp:positionH>
              <wp:positionV relativeFrom="page">
                <wp:align>bottom</wp:align>
              </wp:positionV>
              <wp:extent cx="570865" cy="374650"/>
              <wp:effectExtent l="0" t="0" r="635" b="0"/>
              <wp:wrapNone/>
              <wp:docPr id="845533517"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35333744" w14:textId="08DC077E" w:rsidR="00C509C6" w:rsidRPr="00C509C6" w:rsidRDefault="00C509C6" w:rsidP="009F7FE8">
                          <w:r w:rsidRPr="00C509C6">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15DBDDD" id="_x0000_t202" coordsize="21600,21600" o:spt="202" path="m,l,21600r21600,l21600,xe">
              <v:stroke joinstyle="miter"/>
              <v:path gradientshapeok="t" o:connecttype="rect"/>
            </v:shapetype>
            <v:shape id="Text Box 8" o:spid="_x0000_s1031" type="#_x0000_t202" alt="OFFICIAL " style="position:absolute;margin-left:0;margin-top:0;width:44.95pt;height:2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4GDwIAABwEAAAOAAAAZHJzL2Uyb0RvYy54bWysU01v2zAMvQ/YfxB0X+x0S9o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" filled="f" stroked="f">
              <v:textbox style="mso-fit-shape-to-text:t" inset="0,0,0,15pt">
                <w:txbxContent>
                  <w:p w14:paraId="35333744" w14:textId="08DC077E" w:rsidR="00C509C6" w:rsidRPr="00C509C6" w:rsidRDefault="00C509C6" w:rsidP="009F7FE8">
                    <w:r w:rsidRPr="00C509C6">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FF3B0" w14:textId="77777777" w:rsidR="004C55F6" w:rsidRDefault="004C55F6" w:rsidP="009F7FE8">
      <w:r>
        <w:separator/>
      </w:r>
    </w:p>
  </w:footnote>
  <w:footnote w:type="continuationSeparator" w:id="0">
    <w:p w14:paraId="332B02B0" w14:textId="77777777" w:rsidR="004C55F6" w:rsidRDefault="004C55F6" w:rsidP="009F7FE8">
      <w:r>
        <w:continuationSeparator/>
      </w:r>
    </w:p>
  </w:footnote>
  <w:footnote w:type="continuationNotice" w:id="1">
    <w:p w14:paraId="36A04525" w14:textId="77777777" w:rsidR="004C55F6" w:rsidRDefault="004C55F6" w:rsidP="009F7FE8"/>
  </w:footnote>
  <w:footnote w:id="2">
    <w:p w14:paraId="5F50D0AD" w14:textId="5E94481D" w:rsidR="009A404A" w:rsidRDefault="009A404A" w:rsidP="009F7FE8">
      <w:pPr>
        <w:pStyle w:val="FootnoteText"/>
      </w:pPr>
      <w:r>
        <w:rPr>
          <w:rStyle w:val="FootnoteReference"/>
        </w:rPr>
        <w:footnoteRef/>
      </w:r>
      <w:r>
        <w:t xml:space="preserve"> </w:t>
      </w:r>
      <w:r w:rsidR="005F350C" w:rsidRPr="005F350C">
        <w:t xml:space="preserve">The Brolga is listed as an endangered </w:t>
      </w:r>
      <w:r w:rsidR="005F350C" w:rsidRPr="00BE4C15">
        <w:t>species under the Flora and Fauna Guarantee Act 1998 (Vic)</w:t>
      </w:r>
      <w:r w:rsidR="005F350C" w:rsidRPr="005F350C">
        <w:t xml:space="preserve"> and is at high risk of extinction in Victoria. Brolga flocking areas are areas mapped by DEECA which provide important Brolga habitat for Brolgas to drink, roost and feed during drier months until breeding. The Victorian Government’s Handbook for the Development of Renewable Energy in Victoria includes specific guidance for wind facilities and the Victorian Brolga, including avoiding Brolga flocking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A1C1" w14:textId="124767BC" w:rsidR="00C509C6" w:rsidRDefault="00C509C6" w:rsidP="009F7FE8">
    <w:pPr>
      <w:pStyle w:val="Header"/>
    </w:pPr>
    <w:r>
      <w:rPr>
        <w:noProof/>
      </w:rPr>
      <mc:AlternateContent>
        <mc:Choice Requires="wps">
          <w:drawing>
            <wp:anchor distT="0" distB="0" distL="0" distR="0" simplePos="0" relativeHeight="251658244" behindDoc="0" locked="0" layoutInCell="1" allowOverlap="1" wp14:anchorId="58635DCE" wp14:editId="7CE8E487">
              <wp:simplePos x="635" y="635"/>
              <wp:positionH relativeFrom="page">
                <wp:align>center</wp:align>
              </wp:positionH>
              <wp:positionV relativeFrom="page">
                <wp:align>top</wp:align>
              </wp:positionV>
              <wp:extent cx="570865" cy="374650"/>
              <wp:effectExtent l="0" t="0" r="635" b="6350"/>
              <wp:wrapNone/>
              <wp:docPr id="2032374795"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5171F50B" w14:textId="1BD293F2" w:rsidR="00C509C6" w:rsidRPr="00C509C6" w:rsidRDefault="00C509C6" w:rsidP="009F7FE8">
                          <w:r w:rsidRPr="00C509C6">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8635DCE" id="_x0000_t202" coordsize="21600,21600" o:spt="202" path="m,l,21600r21600,l21600,xe">
              <v:stroke joinstyle="miter"/>
              <v:path gradientshapeok="t" o:connecttype="rect"/>
            </v:shapetype>
            <v:shape id="Text Box 6" o:spid="_x0000_s1026" type="#_x0000_t202" alt="OFFICIAL " style="position:absolute;margin-left:0;margin-top:0;width:44.95pt;height:2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y9CwIAABUEAAAOAAAAZHJzL2Uyb0RvYy54bWysU01v2zAMvQ/YfxB0X+x0S9o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" filled="f" stroked="f">
              <v:textbox style="mso-fit-shape-to-text:t" inset="0,15pt,0,0">
                <w:txbxContent>
                  <w:p w14:paraId="5171F50B" w14:textId="1BD293F2" w:rsidR="00C509C6" w:rsidRPr="00C509C6" w:rsidRDefault="00C509C6" w:rsidP="009F7FE8">
                    <w:r w:rsidRPr="00C509C6">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E5391" w14:textId="03114189" w:rsidR="00A82D2F" w:rsidRDefault="00C509C6" w:rsidP="009F7FE8">
    <w:pPr>
      <w:pStyle w:val="Header"/>
    </w:pPr>
    <w:r>
      <w:rPr>
        <w:noProof/>
      </w:rPr>
      <mc:AlternateContent>
        <mc:Choice Requires="wps">
          <w:drawing>
            <wp:anchor distT="0" distB="0" distL="0" distR="0" simplePos="0" relativeHeight="251658240" behindDoc="0" locked="0" layoutInCell="1" allowOverlap="1" wp14:anchorId="480BDA45" wp14:editId="6FFCC0C6">
              <wp:simplePos x="724395" y="451262"/>
              <wp:positionH relativeFrom="page">
                <wp:align>center</wp:align>
              </wp:positionH>
              <wp:positionV relativeFrom="page">
                <wp:align>top</wp:align>
              </wp:positionV>
              <wp:extent cx="570865" cy="374650"/>
              <wp:effectExtent l="0" t="0" r="635" b="6350"/>
              <wp:wrapNone/>
              <wp:docPr id="980732359" name="Text Box 7"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0BC59A9B" w14:textId="36C8E687" w:rsidR="00C509C6" w:rsidRPr="00C509C6" w:rsidRDefault="00C509C6" w:rsidP="009F7FE8">
                          <w:r w:rsidRPr="00C509C6">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80BDA45" id="_x0000_t202" coordsize="21600,21600" o:spt="202" path="m,l,21600r21600,l21600,xe">
              <v:stroke joinstyle="miter"/>
              <v:path gradientshapeok="t" o:connecttype="rect"/>
            </v:shapetype>
            <v:shape id="Text Box 7" o:spid="_x0000_s1027" type="#_x0000_t202" alt="OFFICIAL " style="position:absolute;margin-left:0;margin-top:0;width:44.95pt;height:2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VEDQIAABwEAAAOAAAAZHJzL2Uyb0RvYy54bWysU01v2zAMvQ/YfxB0X+x0S9o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" filled="f" stroked="f">
              <v:textbox style="mso-fit-shape-to-text:t" inset="0,15pt,0,0">
                <w:txbxContent>
                  <w:p w14:paraId="0BC59A9B" w14:textId="36C8E687" w:rsidR="00C509C6" w:rsidRPr="00C509C6" w:rsidRDefault="00C509C6" w:rsidP="009F7FE8">
                    <w:r w:rsidRPr="00C509C6">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D99E0" w14:textId="79BA585C" w:rsidR="00C509C6" w:rsidRDefault="00C509C6" w:rsidP="009F7FE8">
    <w:pPr>
      <w:pStyle w:val="Header"/>
    </w:pPr>
    <w:r>
      <w:rPr>
        <w:noProof/>
      </w:rPr>
      <mc:AlternateContent>
        <mc:Choice Requires="wps">
          <w:drawing>
            <wp:anchor distT="0" distB="0" distL="0" distR="0" simplePos="0" relativeHeight="251658245" behindDoc="0" locked="0" layoutInCell="1" allowOverlap="1" wp14:anchorId="7CDCB4CF" wp14:editId="62565769">
              <wp:simplePos x="635" y="635"/>
              <wp:positionH relativeFrom="page">
                <wp:align>center</wp:align>
              </wp:positionH>
              <wp:positionV relativeFrom="page">
                <wp:align>top</wp:align>
              </wp:positionV>
              <wp:extent cx="570865" cy="374650"/>
              <wp:effectExtent l="0" t="0" r="635" b="6350"/>
              <wp:wrapNone/>
              <wp:docPr id="1034740940" name="Text Box 5"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374650"/>
                      </a:xfrm>
                      <a:prstGeom prst="rect">
                        <a:avLst/>
                      </a:prstGeom>
                      <a:noFill/>
                      <a:ln>
                        <a:noFill/>
                      </a:ln>
                    </wps:spPr>
                    <wps:txbx>
                      <w:txbxContent>
                        <w:p w14:paraId="20AB50ED" w14:textId="674C501D" w:rsidR="00C509C6" w:rsidRPr="00C509C6" w:rsidRDefault="00C509C6" w:rsidP="009F7FE8">
                          <w:r w:rsidRPr="00C509C6">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CDCB4CF" id="_x0000_t202" coordsize="21600,21600" o:spt="202" path="m,l,21600r21600,l21600,xe">
              <v:stroke joinstyle="miter"/>
              <v:path gradientshapeok="t" o:connecttype="rect"/>
            </v:shapetype>
            <v:shape id="Text Box 5" o:spid="_x0000_s1030" type="#_x0000_t202" alt="OFFICIAL " style="position:absolute;margin-left:0;margin-top:0;width:44.95pt;height:2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2PDwIAABwEAAAOAAAAZHJzL2Uyb0RvYy54bWysU01v2zAMvQ/YfxB0X+x0Td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" filled="f" stroked="f">
              <v:textbox style="mso-fit-shape-to-text:t" inset="0,15pt,0,0">
                <w:txbxContent>
                  <w:p w14:paraId="20AB50ED" w14:textId="674C501D" w:rsidR="00C509C6" w:rsidRPr="00C509C6" w:rsidRDefault="00C509C6" w:rsidP="009F7FE8">
                    <w:r w:rsidRPr="00C509C6">
                      <w:t xml:space="preserve">OFFICIAL </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onOLKh15b7UlPB" int2:id="AKxJOa6t">
      <int2:state int2:value="Rejected" int2:type="spell"/>
    </int2:textHash>
    <int2:textHash int2:hashCode="FY8Juyj8NpvEit" int2:id="DDU7VuLL">
      <int2:state int2:value="Rejected" int2:type="spell"/>
    </int2:textHash>
    <int2:textHash int2:hashCode="MHJbvm5f8KhT8u" int2:id="Gzz9aV2X">
      <int2:state int2:value="Rejected" int2:type="spell"/>
    </int2:textHash>
    <int2:textHash int2:hashCode="urPaU1Ei37O90I" int2:id="HKNwuxcn">
      <int2:state int2:value="Rejected" int2:type="spell"/>
    </int2:textHash>
    <int2:textHash int2:hashCode="9kitnh+dj/uIJF" int2:id="VcReHGKk">
      <int2:state int2:value="Rejected" int2:type="spell"/>
    </int2:textHash>
    <int2:textHash int2:hashCode="lKUMS4tvbuRLd7" int2:id="nNiNQffm">
      <int2:state int2:value="Rejected" int2:type="spell"/>
    </int2:textHash>
    <int2:textHash int2:hashCode="j9WsIBJfcFs1bX" int2:id="rhX4dXFL">
      <int2:state int2:value="Rejected" int2:type="spell"/>
    </int2:textHash>
    <int2:textHash int2:hashCode="VuVxbX9ScDEeyp" int2:id="rpFcjKl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5DEF7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31401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203CDB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2915BB"/>
    <w:multiLevelType w:val="hybridMultilevel"/>
    <w:tmpl w:val="260C0EA6"/>
    <w:lvl w:ilvl="0" w:tplc="E6282F8A">
      <w:start w:val="1"/>
      <w:numFmt w:val="bulle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E810ED6"/>
    <w:multiLevelType w:val="hybridMultilevel"/>
    <w:tmpl w:val="B2DEA18C"/>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6" w15:restartNumberingAfterBreak="0">
    <w:nsid w:val="11FA4EED"/>
    <w:multiLevelType w:val="hybridMultilevel"/>
    <w:tmpl w:val="27DC81CE"/>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7" w15:restartNumberingAfterBreak="0">
    <w:nsid w:val="12A859D4"/>
    <w:multiLevelType w:val="hybridMultilevel"/>
    <w:tmpl w:val="E7740D80"/>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8" w15:restartNumberingAfterBreak="0">
    <w:nsid w:val="16190364"/>
    <w:multiLevelType w:val="hybridMultilevel"/>
    <w:tmpl w:val="87681C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DEE735C"/>
    <w:multiLevelType w:val="hybridMultilevel"/>
    <w:tmpl w:val="9CF29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BA098F"/>
    <w:multiLevelType w:val="hybridMultilevel"/>
    <w:tmpl w:val="C4BA9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4B73752"/>
    <w:multiLevelType w:val="hybridMultilevel"/>
    <w:tmpl w:val="5C104582"/>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12" w15:restartNumberingAfterBreak="0">
    <w:nsid w:val="24FF7AE0"/>
    <w:multiLevelType w:val="multilevel"/>
    <w:tmpl w:val="5B8E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2258AB"/>
    <w:multiLevelType w:val="hybridMultilevel"/>
    <w:tmpl w:val="BD889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D53B3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6FE6EC5"/>
    <w:multiLevelType w:val="hybridMultilevel"/>
    <w:tmpl w:val="8654E256"/>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16" w15:restartNumberingAfterBreak="0">
    <w:nsid w:val="3B920F28"/>
    <w:multiLevelType w:val="multilevel"/>
    <w:tmpl w:val="3566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FC210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F793C4F"/>
    <w:multiLevelType w:val="hybridMultilevel"/>
    <w:tmpl w:val="BCAA5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A37F12"/>
    <w:multiLevelType w:val="hybridMultilevel"/>
    <w:tmpl w:val="6818F7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CAC26BB"/>
    <w:multiLevelType w:val="hybridMultilevel"/>
    <w:tmpl w:val="3704F1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1F575EB"/>
    <w:multiLevelType w:val="hybridMultilevel"/>
    <w:tmpl w:val="0BFAB108"/>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22" w15:restartNumberingAfterBreak="0">
    <w:nsid w:val="53540EC6"/>
    <w:multiLevelType w:val="hybridMultilevel"/>
    <w:tmpl w:val="DEFAA1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260E93"/>
    <w:multiLevelType w:val="hybridMultilevel"/>
    <w:tmpl w:val="A3D49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A077E7E"/>
    <w:multiLevelType w:val="hybridMultilevel"/>
    <w:tmpl w:val="17D6BB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7B50F4"/>
    <w:multiLevelType w:val="hybridMultilevel"/>
    <w:tmpl w:val="BF00E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3463E70"/>
    <w:multiLevelType w:val="multilevel"/>
    <w:tmpl w:val="1D88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3C26565"/>
    <w:multiLevelType w:val="hybridMultilevel"/>
    <w:tmpl w:val="2354A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9671F2"/>
    <w:multiLevelType w:val="hybridMultilevel"/>
    <w:tmpl w:val="20DCE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9B4F6E"/>
    <w:multiLevelType w:val="hybridMultilevel"/>
    <w:tmpl w:val="EF4CB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613235"/>
    <w:multiLevelType w:val="hybridMultilevel"/>
    <w:tmpl w:val="1390F0F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9A213D2"/>
    <w:multiLevelType w:val="hybridMultilevel"/>
    <w:tmpl w:val="4D18F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E92077E"/>
    <w:multiLevelType w:val="hybridMultilevel"/>
    <w:tmpl w:val="A6582422"/>
    <w:lvl w:ilvl="0" w:tplc="0C09000F">
      <w:start w:val="1"/>
      <w:numFmt w:val="decimal"/>
      <w:lvlText w:val="%1."/>
      <w:lvlJc w:val="left"/>
      <w:pPr>
        <w:ind w:left="360" w:hanging="360"/>
      </w:pPr>
      <w:rPr>
        <w:rFonts w:hint="default"/>
      </w:rPr>
    </w:lvl>
    <w:lvl w:ilvl="1" w:tplc="FFFFFFFF">
      <w:start w:val="1"/>
      <w:numFmt w:val="bullet"/>
      <w:lvlText w:val="o"/>
      <w:lvlJc w:val="left"/>
      <w:pPr>
        <w:ind w:left="910" w:hanging="360"/>
      </w:pPr>
      <w:rPr>
        <w:rFonts w:ascii="Courier New" w:hAnsi="Courier New" w:cs="Courier New" w:hint="default"/>
      </w:rPr>
    </w:lvl>
    <w:lvl w:ilvl="2" w:tplc="FFFFFFFF">
      <w:start w:val="1"/>
      <w:numFmt w:val="bullet"/>
      <w:lvlText w:val=""/>
      <w:lvlJc w:val="left"/>
      <w:pPr>
        <w:ind w:left="1630" w:hanging="360"/>
      </w:pPr>
      <w:rPr>
        <w:rFonts w:ascii="Wingdings" w:hAnsi="Wingdings" w:hint="default"/>
      </w:rPr>
    </w:lvl>
    <w:lvl w:ilvl="3" w:tplc="FFFFFFFF" w:tentative="1">
      <w:start w:val="1"/>
      <w:numFmt w:val="bullet"/>
      <w:lvlText w:val=""/>
      <w:lvlJc w:val="left"/>
      <w:pPr>
        <w:ind w:left="2350" w:hanging="360"/>
      </w:pPr>
      <w:rPr>
        <w:rFonts w:ascii="Symbol" w:hAnsi="Symbol" w:hint="default"/>
      </w:rPr>
    </w:lvl>
    <w:lvl w:ilvl="4" w:tplc="FFFFFFFF" w:tentative="1">
      <w:start w:val="1"/>
      <w:numFmt w:val="bullet"/>
      <w:lvlText w:val="o"/>
      <w:lvlJc w:val="left"/>
      <w:pPr>
        <w:ind w:left="3070" w:hanging="360"/>
      </w:pPr>
      <w:rPr>
        <w:rFonts w:ascii="Courier New" w:hAnsi="Courier New" w:cs="Courier New" w:hint="default"/>
      </w:rPr>
    </w:lvl>
    <w:lvl w:ilvl="5" w:tplc="FFFFFFFF" w:tentative="1">
      <w:start w:val="1"/>
      <w:numFmt w:val="bullet"/>
      <w:lvlText w:val=""/>
      <w:lvlJc w:val="left"/>
      <w:pPr>
        <w:ind w:left="3790" w:hanging="360"/>
      </w:pPr>
      <w:rPr>
        <w:rFonts w:ascii="Wingdings" w:hAnsi="Wingdings" w:hint="default"/>
      </w:rPr>
    </w:lvl>
    <w:lvl w:ilvl="6" w:tplc="FFFFFFFF" w:tentative="1">
      <w:start w:val="1"/>
      <w:numFmt w:val="bullet"/>
      <w:lvlText w:val=""/>
      <w:lvlJc w:val="left"/>
      <w:pPr>
        <w:ind w:left="4510" w:hanging="360"/>
      </w:pPr>
      <w:rPr>
        <w:rFonts w:ascii="Symbol" w:hAnsi="Symbol" w:hint="default"/>
      </w:rPr>
    </w:lvl>
    <w:lvl w:ilvl="7" w:tplc="FFFFFFFF" w:tentative="1">
      <w:start w:val="1"/>
      <w:numFmt w:val="bullet"/>
      <w:lvlText w:val="o"/>
      <w:lvlJc w:val="left"/>
      <w:pPr>
        <w:ind w:left="5230" w:hanging="360"/>
      </w:pPr>
      <w:rPr>
        <w:rFonts w:ascii="Courier New" w:hAnsi="Courier New" w:cs="Courier New" w:hint="default"/>
      </w:rPr>
    </w:lvl>
    <w:lvl w:ilvl="8" w:tplc="FFFFFFFF" w:tentative="1">
      <w:start w:val="1"/>
      <w:numFmt w:val="bullet"/>
      <w:lvlText w:val=""/>
      <w:lvlJc w:val="left"/>
      <w:pPr>
        <w:ind w:left="5950" w:hanging="360"/>
      </w:pPr>
      <w:rPr>
        <w:rFonts w:ascii="Wingdings" w:hAnsi="Wingdings" w:hint="default"/>
      </w:rPr>
    </w:lvl>
  </w:abstractNum>
  <w:abstractNum w:abstractNumId="33" w15:restartNumberingAfterBreak="0">
    <w:nsid w:val="7FD8466A"/>
    <w:multiLevelType w:val="multilevel"/>
    <w:tmpl w:val="39FC0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4810405">
    <w:abstractNumId w:val="4"/>
  </w:num>
  <w:num w:numId="2" w16cid:durableId="601499963">
    <w:abstractNumId w:val="3"/>
  </w:num>
  <w:num w:numId="3" w16cid:durableId="261107961">
    <w:abstractNumId w:val="32"/>
  </w:num>
  <w:num w:numId="4" w16cid:durableId="2030334310">
    <w:abstractNumId w:val="11"/>
  </w:num>
  <w:num w:numId="5" w16cid:durableId="1940678585">
    <w:abstractNumId w:val="7"/>
  </w:num>
  <w:num w:numId="6" w16cid:durableId="650183132">
    <w:abstractNumId w:val="6"/>
  </w:num>
  <w:num w:numId="7" w16cid:durableId="2091612207">
    <w:abstractNumId w:val="21"/>
  </w:num>
  <w:num w:numId="8" w16cid:durableId="1285430756">
    <w:abstractNumId w:val="5"/>
  </w:num>
  <w:num w:numId="9" w16cid:durableId="1404525935">
    <w:abstractNumId w:val="15"/>
  </w:num>
  <w:num w:numId="10" w16cid:durableId="1336104581">
    <w:abstractNumId w:val="27"/>
  </w:num>
  <w:num w:numId="11" w16cid:durableId="1190143045">
    <w:abstractNumId w:val="9"/>
  </w:num>
  <w:num w:numId="12" w16cid:durableId="224728213">
    <w:abstractNumId w:val="22"/>
  </w:num>
  <w:num w:numId="13" w16cid:durableId="1104114314">
    <w:abstractNumId w:val="24"/>
  </w:num>
  <w:num w:numId="14" w16cid:durableId="1845123504">
    <w:abstractNumId w:val="29"/>
  </w:num>
  <w:num w:numId="15" w16cid:durableId="742024609">
    <w:abstractNumId w:val="13"/>
  </w:num>
  <w:num w:numId="16" w16cid:durableId="2127693784">
    <w:abstractNumId w:val="33"/>
  </w:num>
  <w:num w:numId="17" w16cid:durableId="112753938">
    <w:abstractNumId w:val="12"/>
  </w:num>
  <w:num w:numId="18" w16cid:durableId="109323110">
    <w:abstractNumId w:val="26"/>
  </w:num>
  <w:num w:numId="19" w16cid:durableId="1001851520">
    <w:abstractNumId w:val="16"/>
  </w:num>
  <w:num w:numId="20" w16cid:durableId="276839427">
    <w:abstractNumId w:val="28"/>
  </w:num>
  <w:num w:numId="21" w16cid:durableId="185949792">
    <w:abstractNumId w:val="19"/>
  </w:num>
  <w:num w:numId="22" w16cid:durableId="852301207">
    <w:abstractNumId w:val="31"/>
  </w:num>
  <w:num w:numId="23" w16cid:durableId="1638334583">
    <w:abstractNumId w:val="8"/>
  </w:num>
  <w:num w:numId="24" w16cid:durableId="1152872516">
    <w:abstractNumId w:val="10"/>
  </w:num>
  <w:num w:numId="25" w16cid:durableId="1969626846">
    <w:abstractNumId w:val="25"/>
  </w:num>
  <w:num w:numId="26" w16cid:durableId="969092654">
    <w:abstractNumId w:val="23"/>
  </w:num>
  <w:num w:numId="27" w16cid:durableId="651564888">
    <w:abstractNumId w:val="20"/>
  </w:num>
  <w:num w:numId="28" w16cid:durableId="1621035588">
    <w:abstractNumId w:val="30"/>
  </w:num>
  <w:num w:numId="29" w16cid:durableId="1515262759">
    <w:abstractNumId w:val="1"/>
  </w:num>
  <w:num w:numId="30" w16cid:durableId="1406997216">
    <w:abstractNumId w:val="2"/>
  </w:num>
  <w:num w:numId="31" w16cid:durableId="1699811543">
    <w:abstractNumId w:val="18"/>
  </w:num>
  <w:num w:numId="32" w16cid:durableId="109402166">
    <w:abstractNumId w:val="0"/>
  </w:num>
  <w:num w:numId="33" w16cid:durableId="886914658">
    <w:abstractNumId w:val="17"/>
  </w:num>
  <w:num w:numId="34" w16cid:durableId="672152022">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QwsrAwMzIyMDM0N7JQ0lEKTi0uzszPAykwqQUA+KOcXSwAAAA="/>
  </w:docVars>
  <w:rsids>
    <w:rsidRoot w:val="0040275A"/>
    <w:rsid w:val="00000853"/>
    <w:rsid w:val="000018DA"/>
    <w:rsid w:val="0000549F"/>
    <w:rsid w:val="00006B81"/>
    <w:rsid w:val="000104D1"/>
    <w:rsid w:val="0001191D"/>
    <w:rsid w:val="00011EA5"/>
    <w:rsid w:val="00015876"/>
    <w:rsid w:val="00022E1C"/>
    <w:rsid w:val="000268C0"/>
    <w:rsid w:val="00027023"/>
    <w:rsid w:val="00031193"/>
    <w:rsid w:val="00032049"/>
    <w:rsid w:val="000332B2"/>
    <w:rsid w:val="000335DD"/>
    <w:rsid w:val="00036282"/>
    <w:rsid w:val="00041424"/>
    <w:rsid w:val="00041590"/>
    <w:rsid w:val="00041FE9"/>
    <w:rsid w:val="00043FE1"/>
    <w:rsid w:val="000448C2"/>
    <w:rsid w:val="0004589C"/>
    <w:rsid w:val="000511DF"/>
    <w:rsid w:val="00054297"/>
    <w:rsid w:val="000565A3"/>
    <w:rsid w:val="000578B7"/>
    <w:rsid w:val="000650C4"/>
    <w:rsid w:val="00074328"/>
    <w:rsid w:val="00077A9F"/>
    <w:rsid w:val="00081F77"/>
    <w:rsid w:val="00091B4A"/>
    <w:rsid w:val="00092ED3"/>
    <w:rsid w:val="00094835"/>
    <w:rsid w:val="00094FE6"/>
    <w:rsid w:val="000969AF"/>
    <w:rsid w:val="000A0683"/>
    <w:rsid w:val="000A6810"/>
    <w:rsid w:val="000A6D4B"/>
    <w:rsid w:val="000A79E7"/>
    <w:rsid w:val="000B1D27"/>
    <w:rsid w:val="000B55A7"/>
    <w:rsid w:val="000B5C4F"/>
    <w:rsid w:val="000B6E26"/>
    <w:rsid w:val="000B6F71"/>
    <w:rsid w:val="000C00CE"/>
    <w:rsid w:val="000C02A8"/>
    <w:rsid w:val="000C0668"/>
    <w:rsid w:val="000C1848"/>
    <w:rsid w:val="000C2144"/>
    <w:rsid w:val="000C3E27"/>
    <w:rsid w:val="000C4B21"/>
    <w:rsid w:val="000C513A"/>
    <w:rsid w:val="000C6A18"/>
    <w:rsid w:val="000D0D8B"/>
    <w:rsid w:val="000D2CFC"/>
    <w:rsid w:val="000D34ED"/>
    <w:rsid w:val="000D4C15"/>
    <w:rsid w:val="000D66AC"/>
    <w:rsid w:val="000E0D2E"/>
    <w:rsid w:val="000E1096"/>
    <w:rsid w:val="000E4E7D"/>
    <w:rsid w:val="000E7D0E"/>
    <w:rsid w:val="000F10C7"/>
    <w:rsid w:val="000F2EE6"/>
    <w:rsid w:val="000F47FF"/>
    <w:rsid w:val="000F58A8"/>
    <w:rsid w:val="000F6083"/>
    <w:rsid w:val="000F6FB1"/>
    <w:rsid w:val="000F703B"/>
    <w:rsid w:val="001027AA"/>
    <w:rsid w:val="00103D93"/>
    <w:rsid w:val="00105F9E"/>
    <w:rsid w:val="00111423"/>
    <w:rsid w:val="00114260"/>
    <w:rsid w:val="0011599C"/>
    <w:rsid w:val="00116618"/>
    <w:rsid w:val="00120411"/>
    <w:rsid w:val="001221B0"/>
    <w:rsid w:val="00124D23"/>
    <w:rsid w:val="00126A86"/>
    <w:rsid w:val="001317BB"/>
    <w:rsid w:val="00134BE1"/>
    <w:rsid w:val="001360DB"/>
    <w:rsid w:val="00136F27"/>
    <w:rsid w:val="00137108"/>
    <w:rsid w:val="001405B2"/>
    <w:rsid w:val="001405ED"/>
    <w:rsid w:val="00140D2D"/>
    <w:rsid w:val="0014187E"/>
    <w:rsid w:val="00141EF5"/>
    <w:rsid w:val="00142F12"/>
    <w:rsid w:val="00142FFA"/>
    <w:rsid w:val="00144210"/>
    <w:rsid w:val="00144DD0"/>
    <w:rsid w:val="00145F0F"/>
    <w:rsid w:val="00146101"/>
    <w:rsid w:val="00150E77"/>
    <w:rsid w:val="00154800"/>
    <w:rsid w:val="00154BE6"/>
    <w:rsid w:val="00161D5F"/>
    <w:rsid w:val="00167F55"/>
    <w:rsid w:val="00170B17"/>
    <w:rsid w:val="00173E72"/>
    <w:rsid w:val="00176805"/>
    <w:rsid w:val="00177237"/>
    <w:rsid w:val="00180845"/>
    <w:rsid w:val="00182FCF"/>
    <w:rsid w:val="00183F4D"/>
    <w:rsid w:val="001844D0"/>
    <w:rsid w:val="00184809"/>
    <w:rsid w:val="00185D87"/>
    <w:rsid w:val="00186787"/>
    <w:rsid w:val="001913A0"/>
    <w:rsid w:val="0019183A"/>
    <w:rsid w:val="00191FFD"/>
    <w:rsid w:val="0019266C"/>
    <w:rsid w:val="00193E64"/>
    <w:rsid w:val="001A1828"/>
    <w:rsid w:val="001A244D"/>
    <w:rsid w:val="001A3D31"/>
    <w:rsid w:val="001A590F"/>
    <w:rsid w:val="001A677F"/>
    <w:rsid w:val="001A6EA8"/>
    <w:rsid w:val="001A756C"/>
    <w:rsid w:val="001A7E5B"/>
    <w:rsid w:val="001B31B4"/>
    <w:rsid w:val="001C1700"/>
    <w:rsid w:val="001C29C9"/>
    <w:rsid w:val="001C3222"/>
    <w:rsid w:val="001C357D"/>
    <w:rsid w:val="001C3B81"/>
    <w:rsid w:val="001C5AAE"/>
    <w:rsid w:val="001C7E3C"/>
    <w:rsid w:val="001D3602"/>
    <w:rsid w:val="001D498D"/>
    <w:rsid w:val="001D594D"/>
    <w:rsid w:val="001D59A0"/>
    <w:rsid w:val="001D646F"/>
    <w:rsid w:val="001E0157"/>
    <w:rsid w:val="001E101C"/>
    <w:rsid w:val="001E1A31"/>
    <w:rsid w:val="001E411A"/>
    <w:rsid w:val="001E579E"/>
    <w:rsid w:val="001E5DDB"/>
    <w:rsid w:val="001E60E0"/>
    <w:rsid w:val="001E765D"/>
    <w:rsid w:val="001E7DD0"/>
    <w:rsid w:val="001F0CA0"/>
    <w:rsid w:val="001F19B4"/>
    <w:rsid w:val="001F247D"/>
    <w:rsid w:val="001F28FE"/>
    <w:rsid w:val="001F2A69"/>
    <w:rsid w:val="001F43F7"/>
    <w:rsid w:val="001F4426"/>
    <w:rsid w:val="001F5354"/>
    <w:rsid w:val="001F5A48"/>
    <w:rsid w:val="001F61BA"/>
    <w:rsid w:val="001F789D"/>
    <w:rsid w:val="00203387"/>
    <w:rsid w:val="002033B8"/>
    <w:rsid w:val="002037F3"/>
    <w:rsid w:val="00206A89"/>
    <w:rsid w:val="00207179"/>
    <w:rsid w:val="00210006"/>
    <w:rsid w:val="002107A0"/>
    <w:rsid w:val="002122D1"/>
    <w:rsid w:val="0021392A"/>
    <w:rsid w:val="00213AC4"/>
    <w:rsid w:val="00215E5D"/>
    <w:rsid w:val="00216D09"/>
    <w:rsid w:val="00221A65"/>
    <w:rsid w:val="00226DE3"/>
    <w:rsid w:val="0023326A"/>
    <w:rsid w:val="00233D91"/>
    <w:rsid w:val="00234551"/>
    <w:rsid w:val="00234FB6"/>
    <w:rsid w:val="00241D34"/>
    <w:rsid w:val="00241EDF"/>
    <w:rsid w:val="0024245A"/>
    <w:rsid w:val="002443C7"/>
    <w:rsid w:val="0024502A"/>
    <w:rsid w:val="002451CD"/>
    <w:rsid w:val="0024604A"/>
    <w:rsid w:val="00246695"/>
    <w:rsid w:val="00246D3F"/>
    <w:rsid w:val="002472B3"/>
    <w:rsid w:val="0024790D"/>
    <w:rsid w:val="002562ED"/>
    <w:rsid w:val="0025650C"/>
    <w:rsid w:val="00261BF3"/>
    <w:rsid w:val="00265FB4"/>
    <w:rsid w:val="00266AD6"/>
    <w:rsid w:val="002750E9"/>
    <w:rsid w:val="002826B6"/>
    <w:rsid w:val="00283CEB"/>
    <w:rsid w:val="00293EF9"/>
    <w:rsid w:val="002948AE"/>
    <w:rsid w:val="00294D69"/>
    <w:rsid w:val="00297347"/>
    <w:rsid w:val="002A2983"/>
    <w:rsid w:val="002A2DC9"/>
    <w:rsid w:val="002A7815"/>
    <w:rsid w:val="002A7EC2"/>
    <w:rsid w:val="002B3882"/>
    <w:rsid w:val="002B437F"/>
    <w:rsid w:val="002B536B"/>
    <w:rsid w:val="002B694F"/>
    <w:rsid w:val="002C1777"/>
    <w:rsid w:val="002C2415"/>
    <w:rsid w:val="002C3F25"/>
    <w:rsid w:val="002C6C99"/>
    <w:rsid w:val="002D1613"/>
    <w:rsid w:val="002D1864"/>
    <w:rsid w:val="002D225E"/>
    <w:rsid w:val="002D4016"/>
    <w:rsid w:val="002D44AE"/>
    <w:rsid w:val="002D491B"/>
    <w:rsid w:val="002D5AD2"/>
    <w:rsid w:val="002D7563"/>
    <w:rsid w:val="002E0083"/>
    <w:rsid w:val="002E0FDA"/>
    <w:rsid w:val="002E117E"/>
    <w:rsid w:val="002E1275"/>
    <w:rsid w:val="002E1787"/>
    <w:rsid w:val="002E39BE"/>
    <w:rsid w:val="002F01F5"/>
    <w:rsid w:val="002F0FC3"/>
    <w:rsid w:val="002F2245"/>
    <w:rsid w:val="002F2D17"/>
    <w:rsid w:val="002F5D50"/>
    <w:rsid w:val="00300443"/>
    <w:rsid w:val="00301152"/>
    <w:rsid w:val="0030146E"/>
    <w:rsid w:val="0030574D"/>
    <w:rsid w:val="0031016F"/>
    <w:rsid w:val="0031182C"/>
    <w:rsid w:val="00311F7D"/>
    <w:rsid w:val="00313BED"/>
    <w:rsid w:val="00325244"/>
    <w:rsid w:val="00331C92"/>
    <w:rsid w:val="00332D01"/>
    <w:rsid w:val="00335A37"/>
    <w:rsid w:val="00336E40"/>
    <w:rsid w:val="003415E8"/>
    <w:rsid w:val="00342D62"/>
    <w:rsid w:val="00343A03"/>
    <w:rsid w:val="00347433"/>
    <w:rsid w:val="003532EA"/>
    <w:rsid w:val="00353A9B"/>
    <w:rsid w:val="00353DA2"/>
    <w:rsid w:val="0035416A"/>
    <w:rsid w:val="0035786D"/>
    <w:rsid w:val="00362073"/>
    <w:rsid w:val="00365EAF"/>
    <w:rsid w:val="003700FA"/>
    <w:rsid w:val="00370A40"/>
    <w:rsid w:val="003710AD"/>
    <w:rsid w:val="00372DC1"/>
    <w:rsid w:val="00373748"/>
    <w:rsid w:val="00374756"/>
    <w:rsid w:val="00376E10"/>
    <w:rsid w:val="00380B09"/>
    <w:rsid w:val="00382489"/>
    <w:rsid w:val="00387580"/>
    <w:rsid w:val="0038784A"/>
    <w:rsid w:val="00390BA1"/>
    <w:rsid w:val="0039192A"/>
    <w:rsid w:val="00391B3E"/>
    <w:rsid w:val="0039364D"/>
    <w:rsid w:val="00394014"/>
    <w:rsid w:val="0039476C"/>
    <w:rsid w:val="0039536A"/>
    <w:rsid w:val="00396C0D"/>
    <w:rsid w:val="00397BBB"/>
    <w:rsid w:val="003A2C22"/>
    <w:rsid w:val="003A3616"/>
    <w:rsid w:val="003A66C5"/>
    <w:rsid w:val="003A69C2"/>
    <w:rsid w:val="003A72E4"/>
    <w:rsid w:val="003B0D2B"/>
    <w:rsid w:val="003B1702"/>
    <w:rsid w:val="003B2EFE"/>
    <w:rsid w:val="003C107E"/>
    <w:rsid w:val="003C1767"/>
    <w:rsid w:val="003C6B83"/>
    <w:rsid w:val="003C7B05"/>
    <w:rsid w:val="003C7BE9"/>
    <w:rsid w:val="003D182C"/>
    <w:rsid w:val="003D27A2"/>
    <w:rsid w:val="003D2E67"/>
    <w:rsid w:val="003D3251"/>
    <w:rsid w:val="003D4801"/>
    <w:rsid w:val="003D60A4"/>
    <w:rsid w:val="003D67A2"/>
    <w:rsid w:val="003E12EC"/>
    <w:rsid w:val="003E1799"/>
    <w:rsid w:val="003E5BDB"/>
    <w:rsid w:val="003E6A3C"/>
    <w:rsid w:val="003F0583"/>
    <w:rsid w:val="003F3879"/>
    <w:rsid w:val="003F3C0E"/>
    <w:rsid w:val="003F44A2"/>
    <w:rsid w:val="003F743F"/>
    <w:rsid w:val="00400281"/>
    <w:rsid w:val="0040275A"/>
    <w:rsid w:val="004028C4"/>
    <w:rsid w:val="004057E6"/>
    <w:rsid w:val="00406FA6"/>
    <w:rsid w:val="00411853"/>
    <w:rsid w:val="0041370A"/>
    <w:rsid w:val="00416A54"/>
    <w:rsid w:val="004249B3"/>
    <w:rsid w:val="004262A3"/>
    <w:rsid w:val="004333EB"/>
    <w:rsid w:val="00436B72"/>
    <w:rsid w:val="00437058"/>
    <w:rsid w:val="00437A75"/>
    <w:rsid w:val="00440DAB"/>
    <w:rsid w:val="00441951"/>
    <w:rsid w:val="0044680C"/>
    <w:rsid w:val="0045148D"/>
    <w:rsid w:val="00452BD4"/>
    <w:rsid w:val="00453522"/>
    <w:rsid w:val="004535AA"/>
    <w:rsid w:val="004565DB"/>
    <w:rsid w:val="0046054F"/>
    <w:rsid w:val="00461CAA"/>
    <w:rsid w:val="004636FB"/>
    <w:rsid w:val="0046593E"/>
    <w:rsid w:val="00467B5C"/>
    <w:rsid w:val="00470F06"/>
    <w:rsid w:val="00472D95"/>
    <w:rsid w:val="00475F7F"/>
    <w:rsid w:val="00476BB0"/>
    <w:rsid w:val="0048151F"/>
    <w:rsid w:val="004819EB"/>
    <w:rsid w:val="00483D7A"/>
    <w:rsid w:val="00485024"/>
    <w:rsid w:val="0048602B"/>
    <w:rsid w:val="004865AA"/>
    <w:rsid w:val="0049171E"/>
    <w:rsid w:val="0049273D"/>
    <w:rsid w:val="00495A8A"/>
    <w:rsid w:val="004977E2"/>
    <w:rsid w:val="004A34DB"/>
    <w:rsid w:val="004A778F"/>
    <w:rsid w:val="004B0291"/>
    <w:rsid w:val="004B4399"/>
    <w:rsid w:val="004B460B"/>
    <w:rsid w:val="004B48BA"/>
    <w:rsid w:val="004B70A2"/>
    <w:rsid w:val="004C0EE1"/>
    <w:rsid w:val="004C0F19"/>
    <w:rsid w:val="004C55F6"/>
    <w:rsid w:val="004C6B92"/>
    <w:rsid w:val="004C7ADD"/>
    <w:rsid w:val="004D0A80"/>
    <w:rsid w:val="004D4C93"/>
    <w:rsid w:val="004D56D4"/>
    <w:rsid w:val="004D7308"/>
    <w:rsid w:val="004E03EC"/>
    <w:rsid w:val="004E4097"/>
    <w:rsid w:val="004E4839"/>
    <w:rsid w:val="004E493D"/>
    <w:rsid w:val="004F0B81"/>
    <w:rsid w:val="004F4C1B"/>
    <w:rsid w:val="004F505B"/>
    <w:rsid w:val="004F5D62"/>
    <w:rsid w:val="004F68CC"/>
    <w:rsid w:val="005006EB"/>
    <w:rsid w:val="00502F91"/>
    <w:rsid w:val="00503C22"/>
    <w:rsid w:val="00511F71"/>
    <w:rsid w:val="00513B25"/>
    <w:rsid w:val="00514573"/>
    <w:rsid w:val="00514C6C"/>
    <w:rsid w:val="00516708"/>
    <w:rsid w:val="005207F9"/>
    <w:rsid w:val="00520D7F"/>
    <w:rsid w:val="00520E16"/>
    <w:rsid w:val="005210DA"/>
    <w:rsid w:val="005212F2"/>
    <w:rsid w:val="0052200D"/>
    <w:rsid w:val="00522023"/>
    <w:rsid w:val="00522EA1"/>
    <w:rsid w:val="00524D9F"/>
    <w:rsid w:val="00526C3E"/>
    <w:rsid w:val="005274EC"/>
    <w:rsid w:val="00530E85"/>
    <w:rsid w:val="005310A5"/>
    <w:rsid w:val="00531BB7"/>
    <w:rsid w:val="005329E1"/>
    <w:rsid w:val="0053321B"/>
    <w:rsid w:val="00533784"/>
    <w:rsid w:val="0053566D"/>
    <w:rsid w:val="0053632F"/>
    <w:rsid w:val="00536FF4"/>
    <w:rsid w:val="00540D5E"/>
    <w:rsid w:val="005434BD"/>
    <w:rsid w:val="005440EB"/>
    <w:rsid w:val="005442C9"/>
    <w:rsid w:val="00552A20"/>
    <w:rsid w:val="00553BAC"/>
    <w:rsid w:val="00553F09"/>
    <w:rsid w:val="00554741"/>
    <w:rsid w:val="00554B95"/>
    <w:rsid w:val="005568D5"/>
    <w:rsid w:val="00557399"/>
    <w:rsid w:val="00565F7C"/>
    <w:rsid w:val="00566766"/>
    <w:rsid w:val="00571303"/>
    <w:rsid w:val="0057211C"/>
    <w:rsid w:val="00576B52"/>
    <w:rsid w:val="00581401"/>
    <w:rsid w:val="00583112"/>
    <w:rsid w:val="0058363E"/>
    <w:rsid w:val="005837E1"/>
    <w:rsid w:val="00583DC2"/>
    <w:rsid w:val="005903D5"/>
    <w:rsid w:val="00593465"/>
    <w:rsid w:val="00593782"/>
    <w:rsid w:val="005938AF"/>
    <w:rsid w:val="00594446"/>
    <w:rsid w:val="00597340"/>
    <w:rsid w:val="00597968"/>
    <w:rsid w:val="005A144C"/>
    <w:rsid w:val="005A1A90"/>
    <w:rsid w:val="005A331B"/>
    <w:rsid w:val="005A45CD"/>
    <w:rsid w:val="005A5D6D"/>
    <w:rsid w:val="005B137C"/>
    <w:rsid w:val="005B43F0"/>
    <w:rsid w:val="005B5971"/>
    <w:rsid w:val="005B76DD"/>
    <w:rsid w:val="005B7DAD"/>
    <w:rsid w:val="005C112F"/>
    <w:rsid w:val="005C443C"/>
    <w:rsid w:val="005C516E"/>
    <w:rsid w:val="005D2E71"/>
    <w:rsid w:val="005D47AA"/>
    <w:rsid w:val="005D524C"/>
    <w:rsid w:val="005E0978"/>
    <w:rsid w:val="005E5E95"/>
    <w:rsid w:val="005F1219"/>
    <w:rsid w:val="005F350C"/>
    <w:rsid w:val="005F647F"/>
    <w:rsid w:val="00604BC5"/>
    <w:rsid w:val="00610C0A"/>
    <w:rsid w:val="00613501"/>
    <w:rsid w:val="00613CCF"/>
    <w:rsid w:val="006140F8"/>
    <w:rsid w:val="006156BB"/>
    <w:rsid w:val="00615ACA"/>
    <w:rsid w:val="00617C5F"/>
    <w:rsid w:val="006210D1"/>
    <w:rsid w:val="00623644"/>
    <w:rsid w:val="00623872"/>
    <w:rsid w:val="006242EA"/>
    <w:rsid w:val="006248A4"/>
    <w:rsid w:val="006279E4"/>
    <w:rsid w:val="00633B05"/>
    <w:rsid w:val="00633DBD"/>
    <w:rsid w:val="00641390"/>
    <w:rsid w:val="00641407"/>
    <w:rsid w:val="0064193D"/>
    <w:rsid w:val="00643561"/>
    <w:rsid w:val="00644E4F"/>
    <w:rsid w:val="00650E23"/>
    <w:rsid w:val="00651C3B"/>
    <w:rsid w:val="00653030"/>
    <w:rsid w:val="00653B5D"/>
    <w:rsid w:val="00654A33"/>
    <w:rsid w:val="006574CE"/>
    <w:rsid w:val="00661A6C"/>
    <w:rsid w:val="00661DAB"/>
    <w:rsid w:val="00662ADB"/>
    <w:rsid w:val="00663427"/>
    <w:rsid w:val="00663D16"/>
    <w:rsid w:val="0066475E"/>
    <w:rsid w:val="00664803"/>
    <w:rsid w:val="0066582C"/>
    <w:rsid w:val="00675862"/>
    <w:rsid w:val="0067624F"/>
    <w:rsid w:val="0068460A"/>
    <w:rsid w:val="00684999"/>
    <w:rsid w:val="0068681C"/>
    <w:rsid w:val="00686C20"/>
    <w:rsid w:val="00690926"/>
    <w:rsid w:val="00690FBD"/>
    <w:rsid w:val="006913EE"/>
    <w:rsid w:val="00693403"/>
    <w:rsid w:val="0069555A"/>
    <w:rsid w:val="00695DDA"/>
    <w:rsid w:val="00697754"/>
    <w:rsid w:val="006A05C9"/>
    <w:rsid w:val="006A2F2F"/>
    <w:rsid w:val="006A3DDA"/>
    <w:rsid w:val="006A58AB"/>
    <w:rsid w:val="006A74A3"/>
    <w:rsid w:val="006A79D9"/>
    <w:rsid w:val="006A7C19"/>
    <w:rsid w:val="006A7C42"/>
    <w:rsid w:val="006B60E3"/>
    <w:rsid w:val="006B7C4E"/>
    <w:rsid w:val="006C00AC"/>
    <w:rsid w:val="006C039B"/>
    <w:rsid w:val="006C058A"/>
    <w:rsid w:val="006C08C2"/>
    <w:rsid w:val="006C0EEF"/>
    <w:rsid w:val="006C316F"/>
    <w:rsid w:val="006C3F08"/>
    <w:rsid w:val="006C643B"/>
    <w:rsid w:val="006D0C75"/>
    <w:rsid w:val="006D1B9A"/>
    <w:rsid w:val="006D29C6"/>
    <w:rsid w:val="006D2A93"/>
    <w:rsid w:val="006D41B1"/>
    <w:rsid w:val="006D53C2"/>
    <w:rsid w:val="006E00BC"/>
    <w:rsid w:val="006E037D"/>
    <w:rsid w:val="006E236D"/>
    <w:rsid w:val="006E2DC4"/>
    <w:rsid w:val="006E3A53"/>
    <w:rsid w:val="006E4423"/>
    <w:rsid w:val="006E586D"/>
    <w:rsid w:val="006E6FF5"/>
    <w:rsid w:val="006E71C0"/>
    <w:rsid w:val="006E7887"/>
    <w:rsid w:val="006F0471"/>
    <w:rsid w:val="006F07DA"/>
    <w:rsid w:val="006F1310"/>
    <w:rsid w:val="006F3364"/>
    <w:rsid w:val="006F36FF"/>
    <w:rsid w:val="006F3F36"/>
    <w:rsid w:val="006F75C4"/>
    <w:rsid w:val="00702592"/>
    <w:rsid w:val="007031A3"/>
    <w:rsid w:val="00703238"/>
    <w:rsid w:val="0070453B"/>
    <w:rsid w:val="00704988"/>
    <w:rsid w:val="007058AF"/>
    <w:rsid w:val="007059F8"/>
    <w:rsid w:val="00706116"/>
    <w:rsid w:val="007107F7"/>
    <w:rsid w:val="00716A89"/>
    <w:rsid w:val="00716D40"/>
    <w:rsid w:val="007204EA"/>
    <w:rsid w:val="007252BC"/>
    <w:rsid w:val="007252F1"/>
    <w:rsid w:val="00725B4F"/>
    <w:rsid w:val="00726468"/>
    <w:rsid w:val="007264B5"/>
    <w:rsid w:val="007313F8"/>
    <w:rsid w:val="0073479A"/>
    <w:rsid w:val="00737774"/>
    <w:rsid w:val="00740351"/>
    <w:rsid w:val="00742777"/>
    <w:rsid w:val="00743FA5"/>
    <w:rsid w:val="00744838"/>
    <w:rsid w:val="00745E6B"/>
    <w:rsid w:val="007469B3"/>
    <w:rsid w:val="007470FA"/>
    <w:rsid w:val="00747E69"/>
    <w:rsid w:val="007527CE"/>
    <w:rsid w:val="00752D37"/>
    <w:rsid w:val="007539DC"/>
    <w:rsid w:val="007542AC"/>
    <w:rsid w:val="007546DC"/>
    <w:rsid w:val="00756DCF"/>
    <w:rsid w:val="00760E30"/>
    <w:rsid w:val="00763C75"/>
    <w:rsid w:val="007645B0"/>
    <w:rsid w:val="0076623B"/>
    <w:rsid w:val="00766C40"/>
    <w:rsid w:val="00767308"/>
    <w:rsid w:val="00771DF4"/>
    <w:rsid w:val="007727BA"/>
    <w:rsid w:val="0077513D"/>
    <w:rsid w:val="00775E83"/>
    <w:rsid w:val="00776240"/>
    <w:rsid w:val="00776FDE"/>
    <w:rsid w:val="00781664"/>
    <w:rsid w:val="00792826"/>
    <w:rsid w:val="00793C0F"/>
    <w:rsid w:val="00793EF1"/>
    <w:rsid w:val="00795FB5"/>
    <w:rsid w:val="00796BC6"/>
    <w:rsid w:val="007A0483"/>
    <w:rsid w:val="007A2BE7"/>
    <w:rsid w:val="007A40DF"/>
    <w:rsid w:val="007B1E81"/>
    <w:rsid w:val="007B23BA"/>
    <w:rsid w:val="007B2C35"/>
    <w:rsid w:val="007B3B4C"/>
    <w:rsid w:val="007B424E"/>
    <w:rsid w:val="007B5A42"/>
    <w:rsid w:val="007B5C41"/>
    <w:rsid w:val="007B61CA"/>
    <w:rsid w:val="007B6938"/>
    <w:rsid w:val="007C02C2"/>
    <w:rsid w:val="007C040F"/>
    <w:rsid w:val="007C04EC"/>
    <w:rsid w:val="007C15EB"/>
    <w:rsid w:val="007C32BE"/>
    <w:rsid w:val="007C367E"/>
    <w:rsid w:val="007C4666"/>
    <w:rsid w:val="007C7D28"/>
    <w:rsid w:val="007D0F38"/>
    <w:rsid w:val="007D3609"/>
    <w:rsid w:val="007D44EB"/>
    <w:rsid w:val="007D732F"/>
    <w:rsid w:val="007E15AC"/>
    <w:rsid w:val="007E30F1"/>
    <w:rsid w:val="007E3CD4"/>
    <w:rsid w:val="007E66B4"/>
    <w:rsid w:val="007E7CB5"/>
    <w:rsid w:val="007F064B"/>
    <w:rsid w:val="007F08A7"/>
    <w:rsid w:val="007F0B95"/>
    <w:rsid w:val="007F19D7"/>
    <w:rsid w:val="007F1F73"/>
    <w:rsid w:val="007F6597"/>
    <w:rsid w:val="007F7AFB"/>
    <w:rsid w:val="0080188D"/>
    <w:rsid w:val="00803617"/>
    <w:rsid w:val="0080586F"/>
    <w:rsid w:val="00806A1A"/>
    <w:rsid w:val="008079D5"/>
    <w:rsid w:val="00807FE5"/>
    <w:rsid w:val="00810EC8"/>
    <w:rsid w:val="008116F1"/>
    <w:rsid w:val="0081254F"/>
    <w:rsid w:val="00812870"/>
    <w:rsid w:val="00812A9F"/>
    <w:rsid w:val="00812F1A"/>
    <w:rsid w:val="00813D4E"/>
    <w:rsid w:val="00814307"/>
    <w:rsid w:val="00815482"/>
    <w:rsid w:val="008155F3"/>
    <w:rsid w:val="0081724B"/>
    <w:rsid w:val="0082670A"/>
    <w:rsid w:val="00827B1B"/>
    <w:rsid w:val="008315C3"/>
    <w:rsid w:val="00832A94"/>
    <w:rsid w:val="0083607F"/>
    <w:rsid w:val="0083609B"/>
    <w:rsid w:val="008369B6"/>
    <w:rsid w:val="008370A3"/>
    <w:rsid w:val="00842065"/>
    <w:rsid w:val="00843CED"/>
    <w:rsid w:val="00843F4A"/>
    <w:rsid w:val="00844995"/>
    <w:rsid w:val="00850769"/>
    <w:rsid w:val="00853AF5"/>
    <w:rsid w:val="008543EC"/>
    <w:rsid w:val="00857097"/>
    <w:rsid w:val="008575C7"/>
    <w:rsid w:val="008576B1"/>
    <w:rsid w:val="00857FC8"/>
    <w:rsid w:val="008620E7"/>
    <w:rsid w:val="0086273E"/>
    <w:rsid w:val="008673DA"/>
    <w:rsid w:val="008713B4"/>
    <w:rsid w:val="00873FA1"/>
    <w:rsid w:val="008776C7"/>
    <w:rsid w:val="00880353"/>
    <w:rsid w:val="00880FDA"/>
    <w:rsid w:val="00881C96"/>
    <w:rsid w:val="0088379C"/>
    <w:rsid w:val="008838F5"/>
    <w:rsid w:val="00885667"/>
    <w:rsid w:val="0088644E"/>
    <w:rsid w:val="00890E99"/>
    <w:rsid w:val="0089186D"/>
    <w:rsid w:val="008957E4"/>
    <w:rsid w:val="0089737A"/>
    <w:rsid w:val="00897555"/>
    <w:rsid w:val="008A03F7"/>
    <w:rsid w:val="008A17C2"/>
    <w:rsid w:val="008A1D2C"/>
    <w:rsid w:val="008A1E48"/>
    <w:rsid w:val="008A39D9"/>
    <w:rsid w:val="008A3A4E"/>
    <w:rsid w:val="008A58ED"/>
    <w:rsid w:val="008A6E90"/>
    <w:rsid w:val="008B0ED8"/>
    <w:rsid w:val="008B0FAB"/>
    <w:rsid w:val="008B1043"/>
    <w:rsid w:val="008B19B0"/>
    <w:rsid w:val="008B3041"/>
    <w:rsid w:val="008B4C23"/>
    <w:rsid w:val="008B660D"/>
    <w:rsid w:val="008B7318"/>
    <w:rsid w:val="008C109D"/>
    <w:rsid w:val="008C185A"/>
    <w:rsid w:val="008C3BD0"/>
    <w:rsid w:val="008C49FC"/>
    <w:rsid w:val="008C5085"/>
    <w:rsid w:val="008C544C"/>
    <w:rsid w:val="008D06B8"/>
    <w:rsid w:val="008D75A7"/>
    <w:rsid w:val="008E2B04"/>
    <w:rsid w:val="008E2B35"/>
    <w:rsid w:val="008E3F85"/>
    <w:rsid w:val="008E49C5"/>
    <w:rsid w:val="008F1315"/>
    <w:rsid w:val="008F24AD"/>
    <w:rsid w:val="008F2F88"/>
    <w:rsid w:val="008F382B"/>
    <w:rsid w:val="008F62B3"/>
    <w:rsid w:val="009035D5"/>
    <w:rsid w:val="00903D31"/>
    <w:rsid w:val="009056FB"/>
    <w:rsid w:val="00906947"/>
    <w:rsid w:val="00907B10"/>
    <w:rsid w:val="00907E73"/>
    <w:rsid w:val="00910775"/>
    <w:rsid w:val="009121FE"/>
    <w:rsid w:val="00913930"/>
    <w:rsid w:val="00913B78"/>
    <w:rsid w:val="00915918"/>
    <w:rsid w:val="00920657"/>
    <w:rsid w:val="00920FDD"/>
    <w:rsid w:val="0092283C"/>
    <w:rsid w:val="0092331A"/>
    <w:rsid w:val="0092612E"/>
    <w:rsid w:val="00927CB6"/>
    <w:rsid w:val="00933760"/>
    <w:rsid w:val="00936636"/>
    <w:rsid w:val="0093665F"/>
    <w:rsid w:val="00937070"/>
    <w:rsid w:val="00937D86"/>
    <w:rsid w:val="0094083C"/>
    <w:rsid w:val="00940C45"/>
    <w:rsid w:val="00941583"/>
    <w:rsid w:val="00946DA9"/>
    <w:rsid w:val="00951E38"/>
    <w:rsid w:val="009549E4"/>
    <w:rsid w:val="00954AA0"/>
    <w:rsid w:val="00955E32"/>
    <w:rsid w:val="00956331"/>
    <w:rsid w:val="0095751A"/>
    <w:rsid w:val="009624F2"/>
    <w:rsid w:val="00962691"/>
    <w:rsid w:val="009631FC"/>
    <w:rsid w:val="009637FA"/>
    <w:rsid w:val="00970A13"/>
    <w:rsid w:val="00971E8C"/>
    <w:rsid w:val="00972E27"/>
    <w:rsid w:val="0097306D"/>
    <w:rsid w:val="009730BB"/>
    <w:rsid w:val="009761EF"/>
    <w:rsid w:val="0097637C"/>
    <w:rsid w:val="00976704"/>
    <w:rsid w:val="00977AD0"/>
    <w:rsid w:val="009845A7"/>
    <w:rsid w:val="00986AFE"/>
    <w:rsid w:val="00990305"/>
    <w:rsid w:val="009915B1"/>
    <w:rsid w:val="00992547"/>
    <w:rsid w:val="009958A2"/>
    <w:rsid w:val="009962FA"/>
    <w:rsid w:val="00996692"/>
    <w:rsid w:val="009978B6"/>
    <w:rsid w:val="009A404A"/>
    <w:rsid w:val="009A4DFD"/>
    <w:rsid w:val="009B0E85"/>
    <w:rsid w:val="009B10C8"/>
    <w:rsid w:val="009B1534"/>
    <w:rsid w:val="009B1635"/>
    <w:rsid w:val="009B2BA7"/>
    <w:rsid w:val="009C11F2"/>
    <w:rsid w:val="009C35F2"/>
    <w:rsid w:val="009C605F"/>
    <w:rsid w:val="009D1665"/>
    <w:rsid w:val="009D1E88"/>
    <w:rsid w:val="009D1F83"/>
    <w:rsid w:val="009D39F3"/>
    <w:rsid w:val="009D4B5A"/>
    <w:rsid w:val="009D4D2E"/>
    <w:rsid w:val="009D5006"/>
    <w:rsid w:val="009D628E"/>
    <w:rsid w:val="009E001E"/>
    <w:rsid w:val="009E0E3C"/>
    <w:rsid w:val="009E385D"/>
    <w:rsid w:val="009E4986"/>
    <w:rsid w:val="009E60A2"/>
    <w:rsid w:val="009E6C85"/>
    <w:rsid w:val="009E6F46"/>
    <w:rsid w:val="009F1260"/>
    <w:rsid w:val="009F2BE9"/>
    <w:rsid w:val="009F488A"/>
    <w:rsid w:val="009F7FE8"/>
    <w:rsid w:val="00A01B03"/>
    <w:rsid w:val="00A0265B"/>
    <w:rsid w:val="00A045FC"/>
    <w:rsid w:val="00A06676"/>
    <w:rsid w:val="00A068AB"/>
    <w:rsid w:val="00A06C3B"/>
    <w:rsid w:val="00A06F82"/>
    <w:rsid w:val="00A11BEF"/>
    <w:rsid w:val="00A11E2F"/>
    <w:rsid w:val="00A2206D"/>
    <w:rsid w:val="00A2293D"/>
    <w:rsid w:val="00A25998"/>
    <w:rsid w:val="00A32624"/>
    <w:rsid w:val="00A332ED"/>
    <w:rsid w:val="00A344D5"/>
    <w:rsid w:val="00A35C04"/>
    <w:rsid w:val="00A37D73"/>
    <w:rsid w:val="00A41FF0"/>
    <w:rsid w:val="00A432D0"/>
    <w:rsid w:val="00A43768"/>
    <w:rsid w:val="00A44CB0"/>
    <w:rsid w:val="00A46EA2"/>
    <w:rsid w:val="00A50E15"/>
    <w:rsid w:val="00A5302F"/>
    <w:rsid w:val="00A54C35"/>
    <w:rsid w:val="00A56B77"/>
    <w:rsid w:val="00A56BD4"/>
    <w:rsid w:val="00A57121"/>
    <w:rsid w:val="00A60F46"/>
    <w:rsid w:val="00A62211"/>
    <w:rsid w:val="00A624C9"/>
    <w:rsid w:val="00A6287E"/>
    <w:rsid w:val="00A62B08"/>
    <w:rsid w:val="00A638DE"/>
    <w:rsid w:val="00A63ECB"/>
    <w:rsid w:val="00A657EE"/>
    <w:rsid w:val="00A704B7"/>
    <w:rsid w:val="00A7165F"/>
    <w:rsid w:val="00A73280"/>
    <w:rsid w:val="00A743C4"/>
    <w:rsid w:val="00A75544"/>
    <w:rsid w:val="00A75F45"/>
    <w:rsid w:val="00A81B2F"/>
    <w:rsid w:val="00A81FB6"/>
    <w:rsid w:val="00A8255E"/>
    <w:rsid w:val="00A82D2F"/>
    <w:rsid w:val="00A83EDC"/>
    <w:rsid w:val="00A87AFB"/>
    <w:rsid w:val="00A87B5D"/>
    <w:rsid w:val="00A909DE"/>
    <w:rsid w:val="00A928BA"/>
    <w:rsid w:val="00A93878"/>
    <w:rsid w:val="00A93D59"/>
    <w:rsid w:val="00A9503B"/>
    <w:rsid w:val="00A9551B"/>
    <w:rsid w:val="00A95A62"/>
    <w:rsid w:val="00A95D1C"/>
    <w:rsid w:val="00A97328"/>
    <w:rsid w:val="00AA05AE"/>
    <w:rsid w:val="00AA19EB"/>
    <w:rsid w:val="00AA25D7"/>
    <w:rsid w:val="00AA3238"/>
    <w:rsid w:val="00AA3FCA"/>
    <w:rsid w:val="00AA4751"/>
    <w:rsid w:val="00AA507F"/>
    <w:rsid w:val="00AA76DC"/>
    <w:rsid w:val="00AB0180"/>
    <w:rsid w:val="00AB21D3"/>
    <w:rsid w:val="00AB3141"/>
    <w:rsid w:val="00AB3714"/>
    <w:rsid w:val="00AB4B3A"/>
    <w:rsid w:val="00AC079B"/>
    <w:rsid w:val="00AC51CD"/>
    <w:rsid w:val="00AC6199"/>
    <w:rsid w:val="00AC629B"/>
    <w:rsid w:val="00AC6552"/>
    <w:rsid w:val="00AC6A79"/>
    <w:rsid w:val="00AD29E2"/>
    <w:rsid w:val="00AD36FE"/>
    <w:rsid w:val="00AD3DCD"/>
    <w:rsid w:val="00AD4CA7"/>
    <w:rsid w:val="00AD7303"/>
    <w:rsid w:val="00AE0907"/>
    <w:rsid w:val="00AE33EA"/>
    <w:rsid w:val="00AE343A"/>
    <w:rsid w:val="00AE5FE7"/>
    <w:rsid w:val="00AE683F"/>
    <w:rsid w:val="00AE6916"/>
    <w:rsid w:val="00AF040D"/>
    <w:rsid w:val="00AF1A1D"/>
    <w:rsid w:val="00AF23DA"/>
    <w:rsid w:val="00AF39DA"/>
    <w:rsid w:val="00AF638F"/>
    <w:rsid w:val="00B0021B"/>
    <w:rsid w:val="00B0605A"/>
    <w:rsid w:val="00B07AC3"/>
    <w:rsid w:val="00B10F38"/>
    <w:rsid w:val="00B14A83"/>
    <w:rsid w:val="00B16707"/>
    <w:rsid w:val="00B16BF5"/>
    <w:rsid w:val="00B17DBE"/>
    <w:rsid w:val="00B17F02"/>
    <w:rsid w:val="00B22F09"/>
    <w:rsid w:val="00B23298"/>
    <w:rsid w:val="00B2500F"/>
    <w:rsid w:val="00B27476"/>
    <w:rsid w:val="00B31274"/>
    <w:rsid w:val="00B33531"/>
    <w:rsid w:val="00B349A0"/>
    <w:rsid w:val="00B36A08"/>
    <w:rsid w:val="00B414A0"/>
    <w:rsid w:val="00B4432B"/>
    <w:rsid w:val="00B4449E"/>
    <w:rsid w:val="00B449D6"/>
    <w:rsid w:val="00B465D6"/>
    <w:rsid w:val="00B50001"/>
    <w:rsid w:val="00B529C9"/>
    <w:rsid w:val="00B54460"/>
    <w:rsid w:val="00B54971"/>
    <w:rsid w:val="00B556A8"/>
    <w:rsid w:val="00B56135"/>
    <w:rsid w:val="00B6144F"/>
    <w:rsid w:val="00B64454"/>
    <w:rsid w:val="00B65A75"/>
    <w:rsid w:val="00B65AC7"/>
    <w:rsid w:val="00B65D18"/>
    <w:rsid w:val="00B664D9"/>
    <w:rsid w:val="00B66B4F"/>
    <w:rsid w:val="00B8593B"/>
    <w:rsid w:val="00B85AC1"/>
    <w:rsid w:val="00B85AC6"/>
    <w:rsid w:val="00B86027"/>
    <w:rsid w:val="00B862D6"/>
    <w:rsid w:val="00B875BA"/>
    <w:rsid w:val="00B87860"/>
    <w:rsid w:val="00B903CF"/>
    <w:rsid w:val="00B91493"/>
    <w:rsid w:val="00B930DB"/>
    <w:rsid w:val="00B94415"/>
    <w:rsid w:val="00B94528"/>
    <w:rsid w:val="00B94DEA"/>
    <w:rsid w:val="00B95AAA"/>
    <w:rsid w:val="00BA2FC7"/>
    <w:rsid w:val="00BA3547"/>
    <w:rsid w:val="00BA35F9"/>
    <w:rsid w:val="00BA48E5"/>
    <w:rsid w:val="00BA547B"/>
    <w:rsid w:val="00BA54E9"/>
    <w:rsid w:val="00BA6E5A"/>
    <w:rsid w:val="00BA7980"/>
    <w:rsid w:val="00BB2343"/>
    <w:rsid w:val="00BB28AD"/>
    <w:rsid w:val="00BB48A0"/>
    <w:rsid w:val="00BB552E"/>
    <w:rsid w:val="00BB59BD"/>
    <w:rsid w:val="00BB5E2B"/>
    <w:rsid w:val="00BB6004"/>
    <w:rsid w:val="00BB7AE4"/>
    <w:rsid w:val="00BB7CC2"/>
    <w:rsid w:val="00BC0D97"/>
    <w:rsid w:val="00BC199A"/>
    <w:rsid w:val="00BC3C99"/>
    <w:rsid w:val="00BC491C"/>
    <w:rsid w:val="00BC4FA3"/>
    <w:rsid w:val="00BC5815"/>
    <w:rsid w:val="00BC65BA"/>
    <w:rsid w:val="00BD0693"/>
    <w:rsid w:val="00BD253E"/>
    <w:rsid w:val="00BD3729"/>
    <w:rsid w:val="00BD4A24"/>
    <w:rsid w:val="00BDEE6C"/>
    <w:rsid w:val="00BE4C15"/>
    <w:rsid w:val="00BE56F8"/>
    <w:rsid w:val="00BF1501"/>
    <w:rsid w:val="00BF2EE2"/>
    <w:rsid w:val="00BF32E8"/>
    <w:rsid w:val="00BF7C90"/>
    <w:rsid w:val="00C0032F"/>
    <w:rsid w:val="00C02E95"/>
    <w:rsid w:val="00C03C43"/>
    <w:rsid w:val="00C05B2C"/>
    <w:rsid w:val="00C07D15"/>
    <w:rsid w:val="00C138CE"/>
    <w:rsid w:val="00C150BE"/>
    <w:rsid w:val="00C172CE"/>
    <w:rsid w:val="00C178E7"/>
    <w:rsid w:val="00C17F59"/>
    <w:rsid w:val="00C2184E"/>
    <w:rsid w:val="00C21939"/>
    <w:rsid w:val="00C2278D"/>
    <w:rsid w:val="00C22BF7"/>
    <w:rsid w:val="00C22C90"/>
    <w:rsid w:val="00C27355"/>
    <w:rsid w:val="00C371F9"/>
    <w:rsid w:val="00C40A50"/>
    <w:rsid w:val="00C418E5"/>
    <w:rsid w:val="00C437FA"/>
    <w:rsid w:val="00C460ED"/>
    <w:rsid w:val="00C4680E"/>
    <w:rsid w:val="00C46FD3"/>
    <w:rsid w:val="00C509C6"/>
    <w:rsid w:val="00C50D3A"/>
    <w:rsid w:val="00C5219C"/>
    <w:rsid w:val="00C56184"/>
    <w:rsid w:val="00C65EB8"/>
    <w:rsid w:val="00C67FA3"/>
    <w:rsid w:val="00C70D03"/>
    <w:rsid w:val="00C72672"/>
    <w:rsid w:val="00C739CB"/>
    <w:rsid w:val="00C81B2C"/>
    <w:rsid w:val="00C835B7"/>
    <w:rsid w:val="00C85105"/>
    <w:rsid w:val="00C8536B"/>
    <w:rsid w:val="00C86920"/>
    <w:rsid w:val="00C900BD"/>
    <w:rsid w:val="00C91581"/>
    <w:rsid w:val="00C91C23"/>
    <w:rsid w:val="00C938BD"/>
    <w:rsid w:val="00CA008D"/>
    <w:rsid w:val="00CA0D3B"/>
    <w:rsid w:val="00CA0E2C"/>
    <w:rsid w:val="00CA1D72"/>
    <w:rsid w:val="00CA7462"/>
    <w:rsid w:val="00CB1E2A"/>
    <w:rsid w:val="00CB21AB"/>
    <w:rsid w:val="00CB2D86"/>
    <w:rsid w:val="00CB2E9D"/>
    <w:rsid w:val="00CB4C94"/>
    <w:rsid w:val="00CB71C5"/>
    <w:rsid w:val="00CB727D"/>
    <w:rsid w:val="00CB7A7C"/>
    <w:rsid w:val="00CB7D4A"/>
    <w:rsid w:val="00CC077E"/>
    <w:rsid w:val="00CC0FDE"/>
    <w:rsid w:val="00CC131C"/>
    <w:rsid w:val="00CC24E0"/>
    <w:rsid w:val="00CC2B58"/>
    <w:rsid w:val="00CC331A"/>
    <w:rsid w:val="00CC5781"/>
    <w:rsid w:val="00CC77A2"/>
    <w:rsid w:val="00CC7DCD"/>
    <w:rsid w:val="00CD45A6"/>
    <w:rsid w:val="00CD4D78"/>
    <w:rsid w:val="00CD5F66"/>
    <w:rsid w:val="00CD6EF4"/>
    <w:rsid w:val="00CD77AC"/>
    <w:rsid w:val="00CE0090"/>
    <w:rsid w:val="00CE0957"/>
    <w:rsid w:val="00CE225F"/>
    <w:rsid w:val="00CE397A"/>
    <w:rsid w:val="00CE3D6B"/>
    <w:rsid w:val="00CE5873"/>
    <w:rsid w:val="00CE6F64"/>
    <w:rsid w:val="00CE7579"/>
    <w:rsid w:val="00CE7A5B"/>
    <w:rsid w:val="00CF11A8"/>
    <w:rsid w:val="00CF14CC"/>
    <w:rsid w:val="00CF22D3"/>
    <w:rsid w:val="00CF3479"/>
    <w:rsid w:val="00CF359C"/>
    <w:rsid w:val="00CF441B"/>
    <w:rsid w:val="00CF6635"/>
    <w:rsid w:val="00CF67B4"/>
    <w:rsid w:val="00CF72E9"/>
    <w:rsid w:val="00CF78BB"/>
    <w:rsid w:val="00D022E1"/>
    <w:rsid w:val="00D023D7"/>
    <w:rsid w:val="00D04193"/>
    <w:rsid w:val="00D04CEE"/>
    <w:rsid w:val="00D051C3"/>
    <w:rsid w:val="00D06824"/>
    <w:rsid w:val="00D152C4"/>
    <w:rsid w:val="00D15C3C"/>
    <w:rsid w:val="00D16080"/>
    <w:rsid w:val="00D16105"/>
    <w:rsid w:val="00D16119"/>
    <w:rsid w:val="00D20AB9"/>
    <w:rsid w:val="00D21C22"/>
    <w:rsid w:val="00D22B14"/>
    <w:rsid w:val="00D23339"/>
    <w:rsid w:val="00D24B2F"/>
    <w:rsid w:val="00D254E0"/>
    <w:rsid w:val="00D25874"/>
    <w:rsid w:val="00D31E81"/>
    <w:rsid w:val="00D31F49"/>
    <w:rsid w:val="00D33100"/>
    <w:rsid w:val="00D37A40"/>
    <w:rsid w:val="00D40311"/>
    <w:rsid w:val="00D40C4B"/>
    <w:rsid w:val="00D428EE"/>
    <w:rsid w:val="00D42C3C"/>
    <w:rsid w:val="00D43425"/>
    <w:rsid w:val="00D43E27"/>
    <w:rsid w:val="00D52842"/>
    <w:rsid w:val="00D529A6"/>
    <w:rsid w:val="00D532BD"/>
    <w:rsid w:val="00D53B63"/>
    <w:rsid w:val="00D61B43"/>
    <w:rsid w:val="00D62DB9"/>
    <w:rsid w:val="00D63F2E"/>
    <w:rsid w:val="00D6665C"/>
    <w:rsid w:val="00D672D5"/>
    <w:rsid w:val="00D71095"/>
    <w:rsid w:val="00D717DF"/>
    <w:rsid w:val="00D728D8"/>
    <w:rsid w:val="00D74FBC"/>
    <w:rsid w:val="00D77502"/>
    <w:rsid w:val="00D84009"/>
    <w:rsid w:val="00D85877"/>
    <w:rsid w:val="00D86220"/>
    <w:rsid w:val="00D87E79"/>
    <w:rsid w:val="00D912AE"/>
    <w:rsid w:val="00D91E2C"/>
    <w:rsid w:val="00D934AC"/>
    <w:rsid w:val="00D94256"/>
    <w:rsid w:val="00DA4551"/>
    <w:rsid w:val="00DA56E3"/>
    <w:rsid w:val="00DB0641"/>
    <w:rsid w:val="00DB06BD"/>
    <w:rsid w:val="00DB0D08"/>
    <w:rsid w:val="00DB2F5E"/>
    <w:rsid w:val="00DB381C"/>
    <w:rsid w:val="00DB4A23"/>
    <w:rsid w:val="00DB6D47"/>
    <w:rsid w:val="00DB7A01"/>
    <w:rsid w:val="00DC2564"/>
    <w:rsid w:val="00DC2F1C"/>
    <w:rsid w:val="00DC50C6"/>
    <w:rsid w:val="00DC6214"/>
    <w:rsid w:val="00DC719D"/>
    <w:rsid w:val="00DC77B4"/>
    <w:rsid w:val="00DC7F43"/>
    <w:rsid w:val="00DD2391"/>
    <w:rsid w:val="00DD5C44"/>
    <w:rsid w:val="00DD61FA"/>
    <w:rsid w:val="00DD62B9"/>
    <w:rsid w:val="00DD6731"/>
    <w:rsid w:val="00DE48C4"/>
    <w:rsid w:val="00DE632D"/>
    <w:rsid w:val="00DE6CB1"/>
    <w:rsid w:val="00DE6FC1"/>
    <w:rsid w:val="00DE7BEF"/>
    <w:rsid w:val="00DF17E7"/>
    <w:rsid w:val="00DF236D"/>
    <w:rsid w:val="00DF3C28"/>
    <w:rsid w:val="00DF6CE9"/>
    <w:rsid w:val="00DF7B2E"/>
    <w:rsid w:val="00E0010C"/>
    <w:rsid w:val="00E00B12"/>
    <w:rsid w:val="00E03386"/>
    <w:rsid w:val="00E10FCD"/>
    <w:rsid w:val="00E144DA"/>
    <w:rsid w:val="00E17758"/>
    <w:rsid w:val="00E20DD8"/>
    <w:rsid w:val="00E215EF"/>
    <w:rsid w:val="00E22691"/>
    <w:rsid w:val="00E23EDC"/>
    <w:rsid w:val="00E23FFE"/>
    <w:rsid w:val="00E243A9"/>
    <w:rsid w:val="00E24442"/>
    <w:rsid w:val="00E25EC0"/>
    <w:rsid w:val="00E26CEE"/>
    <w:rsid w:val="00E30748"/>
    <w:rsid w:val="00E30BC9"/>
    <w:rsid w:val="00E3104C"/>
    <w:rsid w:val="00E32DC0"/>
    <w:rsid w:val="00E35529"/>
    <w:rsid w:val="00E40425"/>
    <w:rsid w:val="00E407CB"/>
    <w:rsid w:val="00E47D86"/>
    <w:rsid w:val="00E500E9"/>
    <w:rsid w:val="00E5096D"/>
    <w:rsid w:val="00E512B9"/>
    <w:rsid w:val="00E51A06"/>
    <w:rsid w:val="00E560C6"/>
    <w:rsid w:val="00E56515"/>
    <w:rsid w:val="00E566B8"/>
    <w:rsid w:val="00E63A93"/>
    <w:rsid w:val="00E65AE2"/>
    <w:rsid w:val="00E665ED"/>
    <w:rsid w:val="00E703F8"/>
    <w:rsid w:val="00E72796"/>
    <w:rsid w:val="00E74E45"/>
    <w:rsid w:val="00E7568E"/>
    <w:rsid w:val="00E75703"/>
    <w:rsid w:val="00E75A68"/>
    <w:rsid w:val="00E80496"/>
    <w:rsid w:val="00E82654"/>
    <w:rsid w:val="00E826E3"/>
    <w:rsid w:val="00E82B98"/>
    <w:rsid w:val="00E837AB"/>
    <w:rsid w:val="00E83AAC"/>
    <w:rsid w:val="00E848BD"/>
    <w:rsid w:val="00E85052"/>
    <w:rsid w:val="00E85232"/>
    <w:rsid w:val="00E86332"/>
    <w:rsid w:val="00E875EB"/>
    <w:rsid w:val="00E91E5E"/>
    <w:rsid w:val="00E936E7"/>
    <w:rsid w:val="00E940ED"/>
    <w:rsid w:val="00E973FC"/>
    <w:rsid w:val="00E9741F"/>
    <w:rsid w:val="00E97579"/>
    <w:rsid w:val="00EA1BFF"/>
    <w:rsid w:val="00EA4FBD"/>
    <w:rsid w:val="00EA591B"/>
    <w:rsid w:val="00EC640F"/>
    <w:rsid w:val="00EC68D0"/>
    <w:rsid w:val="00ED0BDC"/>
    <w:rsid w:val="00ED0C5C"/>
    <w:rsid w:val="00ED542D"/>
    <w:rsid w:val="00ED7205"/>
    <w:rsid w:val="00ED83B6"/>
    <w:rsid w:val="00EE05FF"/>
    <w:rsid w:val="00EE0E67"/>
    <w:rsid w:val="00EE2F1F"/>
    <w:rsid w:val="00EE30B2"/>
    <w:rsid w:val="00EE3727"/>
    <w:rsid w:val="00EE5900"/>
    <w:rsid w:val="00EE61E3"/>
    <w:rsid w:val="00EF058E"/>
    <w:rsid w:val="00EF36A6"/>
    <w:rsid w:val="00EF3B8C"/>
    <w:rsid w:val="00EF41AB"/>
    <w:rsid w:val="00EF5483"/>
    <w:rsid w:val="00EF5987"/>
    <w:rsid w:val="00EF761B"/>
    <w:rsid w:val="00F007CB"/>
    <w:rsid w:val="00F0254C"/>
    <w:rsid w:val="00F04BFF"/>
    <w:rsid w:val="00F05703"/>
    <w:rsid w:val="00F06BA8"/>
    <w:rsid w:val="00F10828"/>
    <w:rsid w:val="00F11C05"/>
    <w:rsid w:val="00F12827"/>
    <w:rsid w:val="00F15EE1"/>
    <w:rsid w:val="00F16272"/>
    <w:rsid w:val="00F16F31"/>
    <w:rsid w:val="00F1794A"/>
    <w:rsid w:val="00F22B09"/>
    <w:rsid w:val="00F22F9F"/>
    <w:rsid w:val="00F233A0"/>
    <w:rsid w:val="00F2349F"/>
    <w:rsid w:val="00F2450E"/>
    <w:rsid w:val="00F27839"/>
    <w:rsid w:val="00F27AC7"/>
    <w:rsid w:val="00F30A28"/>
    <w:rsid w:val="00F30A48"/>
    <w:rsid w:val="00F36493"/>
    <w:rsid w:val="00F40957"/>
    <w:rsid w:val="00F415E3"/>
    <w:rsid w:val="00F436AF"/>
    <w:rsid w:val="00F442D6"/>
    <w:rsid w:val="00F4497F"/>
    <w:rsid w:val="00F44F1E"/>
    <w:rsid w:val="00F509A1"/>
    <w:rsid w:val="00F50B59"/>
    <w:rsid w:val="00F51A50"/>
    <w:rsid w:val="00F54737"/>
    <w:rsid w:val="00F553EB"/>
    <w:rsid w:val="00F61CAB"/>
    <w:rsid w:val="00F62092"/>
    <w:rsid w:val="00F622FD"/>
    <w:rsid w:val="00F62421"/>
    <w:rsid w:val="00F740CE"/>
    <w:rsid w:val="00F75EAB"/>
    <w:rsid w:val="00F80BCF"/>
    <w:rsid w:val="00F821E5"/>
    <w:rsid w:val="00F83F87"/>
    <w:rsid w:val="00F84EEB"/>
    <w:rsid w:val="00F85FB8"/>
    <w:rsid w:val="00F868F7"/>
    <w:rsid w:val="00F86934"/>
    <w:rsid w:val="00F926DC"/>
    <w:rsid w:val="00F9486D"/>
    <w:rsid w:val="00F95556"/>
    <w:rsid w:val="00F972DD"/>
    <w:rsid w:val="00F97E7D"/>
    <w:rsid w:val="00F97F3B"/>
    <w:rsid w:val="00FA0BC6"/>
    <w:rsid w:val="00FA308D"/>
    <w:rsid w:val="00FA3BB8"/>
    <w:rsid w:val="00FA4B51"/>
    <w:rsid w:val="00FB06E6"/>
    <w:rsid w:val="00FB14D3"/>
    <w:rsid w:val="00FB2F2A"/>
    <w:rsid w:val="00FB3E4D"/>
    <w:rsid w:val="00FB4133"/>
    <w:rsid w:val="00FB49C3"/>
    <w:rsid w:val="00FB7D29"/>
    <w:rsid w:val="00FC355F"/>
    <w:rsid w:val="00FD2455"/>
    <w:rsid w:val="00FD3847"/>
    <w:rsid w:val="00FD5309"/>
    <w:rsid w:val="00FD5CA9"/>
    <w:rsid w:val="00FD6645"/>
    <w:rsid w:val="00FD77F7"/>
    <w:rsid w:val="00FD7E97"/>
    <w:rsid w:val="00FE2BBC"/>
    <w:rsid w:val="00FE3FCB"/>
    <w:rsid w:val="00FE5D6A"/>
    <w:rsid w:val="00FE5E23"/>
    <w:rsid w:val="00FE6161"/>
    <w:rsid w:val="00FE76E9"/>
    <w:rsid w:val="00FF1412"/>
    <w:rsid w:val="00FF198F"/>
    <w:rsid w:val="00FF2AC9"/>
    <w:rsid w:val="00FF56BF"/>
    <w:rsid w:val="00FF56F3"/>
    <w:rsid w:val="01289D17"/>
    <w:rsid w:val="0170F8B8"/>
    <w:rsid w:val="01C16B37"/>
    <w:rsid w:val="0262708F"/>
    <w:rsid w:val="0268CC53"/>
    <w:rsid w:val="027F35D4"/>
    <w:rsid w:val="035619F0"/>
    <w:rsid w:val="03604B53"/>
    <w:rsid w:val="036F8107"/>
    <w:rsid w:val="03814289"/>
    <w:rsid w:val="03860C8F"/>
    <w:rsid w:val="03ED63A3"/>
    <w:rsid w:val="041ADE08"/>
    <w:rsid w:val="05CA0ACB"/>
    <w:rsid w:val="05EC112B"/>
    <w:rsid w:val="06368447"/>
    <w:rsid w:val="0644DE25"/>
    <w:rsid w:val="0690B707"/>
    <w:rsid w:val="084108CF"/>
    <w:rsid w:val="089D79B6"/>
    <w:rsid w:val="09BFAD9E"/>
    <w:rsid w:val="0A2A6103"/>
    <w:rsid w:val="0A63892D"/>
    <w:rsid w:val="0A816E9A"/>
    <w:rsid w:val="0AE21F66"/>
    <w:rsid w:val="0AF4FE5A"/>
    <w:rsid w:val="0B2409BA"/>
    <w:rsid w:val="0B2D946D"/>
    <w:rsid w:val="0BE4735D"/>
    <w:rsid w:val="0C2844DD"/>
    <w:rsid w:val="0C429A77"/>
    <w:rsid w:val="0C4CCEAF"/>
    <w:rsid w:val="0CC9753A"/>
    <w:rsid w:val="0D0042B2"/>
    <w:rsid w:val="0D07C6CB"/>
    <w:rsid w:val="0D1AB75F"/>
    <w:rsid w:val="0D4A4BD3"/>
    <w:rsid w:val="0D79F246"/>
    <w:rsid w:val="0DC74487"/>
    <w:rsid w:val="0E235FFC"/>
    <w:rsid w:val="0E28772B"/>
    <w:rsid w:val="0E9E2CE7"/>
    <w:rsid w:val="0F0F1D72"/>
    <w:rsid w:val="0F5AD470"/>
    <w:rsid w:val="0F93EF13"/>
    <w:rsid w:val="109B7055"/>
    <w:rsid w:val="10C10897"/>
    <w:rsid w:val="10D4FCC6"/>
    <w:rsid w:val="10E3E292"/>
    <w:rsid w:val="1107C226"/>
    <w:rsid w:val="1108F135"/>
    <w:rsid w:val="11256039"/>
    <w:rsid w:val="112D2CC7"/>
    <w:rsid w:val="11658C8F"/>
    <w:rsid w:val="11D04373"/>
    <w:rsid w:val="12E5E9D6"/>
    <w:rsid w:val="133A95B9"/>
    <w:rsid w:val="1517C4B8"/>
    <w:rsid w:val="155076C6"/>
    <w:rsid w:val="158DAD31"/>
    <w:rsid w:val="15A360EA"/>
    <w:rsid w:val="15EBE8B2"/>
    <w:rsid w:val="161AC014"/>
    <w:rsid w:val="163E33DC"/>
    <w:rsid w:val="164B49D6"/>
    <w:rsid w:val="16BCE9BA"/>
    <w:rsid w:val="172FC083"/>
    <w:rsid w:val="176CDB85"/>
    <w:rsid w:val="17A114ED"/>
    <w:rsid w:val="17F760A1"/>
    <w:rsid w:val="181B1A2D"/>
    <w:rsid w:val="188EC2A6"/>
    <w:rsid w:val="18CCBC45"/>
    <w:rsid w:val="18F881A4"/>
    <w:rsid w:val="19AEB26A"/>
    <w:rsid w:val="19DC4294"/>
    <w:rsid w:val="19EBF5D4"/>
    <w:rsid w:val="1A99C7EA"/>
    <w:rsid w:val="1AE418F7"/>
    <w:rsid w:val="1AF1C1DD"/>
    <w:rsid w:val="1AFB5DFD"/>
    <w:rsid w:val="1B24178D"/>
    <w:rsid w:val="1CB373D2"/>
    <w:rsid w:val="1D08E31A"/>
    <w:rsid w:val="1D2A3FD6"/>
    <w:rsid w:val="1D397F39"/>
    <w:rsid w:val="1D7877A3"/>
    <w:rsid w:val="1DEC2438"/>
    <w:rsid w:val="1EFF4CA0"/>
    <w:rsid w:val="1F3E51B8"/>
    <w:rsid w:val="1FC4D55E"/>
    <w:rsid w:val="1FF8C871"/>
    <w:rsid w:val="1FFE68F8"/>
    <w:rsid w:val="200CD970"/>
    <w:rsid w:val="2033A775"/>
    <w:rsid w:val="2069C1DB"/>
    <w:rsid w:val="206C80FC"/>
    <w:rsid w:val="208A9D94"/>
    <w:rsid w:val="2094E067"/>
    <w:rsid w:val="20EE473F"/>
    <w:rsid w:val="20FF9A08"/>
    <w:rsid w:val="210B3A7D"/>
    <w:rsid w:val="2111C439"/>
    <w:rsid w:val="2182F5A0"/>
    <w:rsid w:val="21B0CEEE"/>
    <w:rsid w:val="21B887EF"/>
    <w:rsid w:val="21D7E900"/>
    <w:rsid w:val="221768C6"/>
    <w:rsid w:val="225B2F17"/>
    <w:rsid w:val="22B695BE"/>
    <w:rsid w:val="22BD6043"/>
    <w:rsid w:val="22D32A69"/>
    <w:rsid w:val="22EEA0CA"/>
    <w:rsid w:val="230167DC"/>
    <w:rsid w:val="230A44C3"/>
    <w:rsid w:val="232E0A96"/>
    <w:rsid w:val="2370C243"/>
    <w:rsid w:val="23B6E30C"/>
    <w:rsid w:val="240BADBE"/>
    <w:rsid w:val="241B4A0C"/>
    <w:rsid w:val="24817233"/>
    <w:rsid w:val="249116ED"/>
    <w:rsid w:val="2494F248"/>
    <w:rsid w:val="24AAAB5C"/>
    <w:rsid w:val="24D039C2"/>
    <w:rsid w:val="2569BA6B"/>
    <w:rsid w:val="25883EE7"/>
    <w:rsid w:val="25C360C6"/>
    <w:rsid w:val="261E2970"/>
    <w:rsid w:val="269C3948"/>
    <w:rsid w:val="26AEDA58"/>
    <w:rsid w:val="26F2E28B"/>
    <w:rsid w:val="275D9B90"/>
    <w:rsid w:val="276A1678"/>
    <w:rsid w:val="27F7F23C"/>
    <w:rsid w:val="281241D2"/>
    <w:rsid w:val="287EC5BB"/>
    <w:rsid w:val="29B131CC"/>
    <w:rsid w:val="29EE65F2"/>
    <w:rsid w:val="2A67BFA8"/>
    <w:rsid w:val="2A72CCB9"/>
    <w:rsid w:val="2A955B32"/>
    <w:rsid w:val="2BE0BF4D"/>
    <w:rsid w:val="2BEAC3DF"/>
    <w:rsid w:val="2BEC5DEF"/>
    <w:rsid w:val="2C6C0084"/>
    <w:rsid w:val="2CC3E624"/>
    <w:rsid w:val="2D1579B0"/>
    <w:rsid w:val="2DAC4A7E"/>
    <w:rsid w:val="2E5EC178"/>
    <w:rsid w:val="2E6A0785"/>
    <w:rsid w:val="2EECD242"/>
    <w:rsid w:val="2EEE902C"/>
    <w:rsid w:val="2F65E688"/>
    <w:rsid w:val="2F990EE7"/>
    <w:rsid w:val="30132A4F"/>
    <w:rsid w:val="3071BD96"/>
    <w:rsid w:val="30AFA5E9"/>
    <w:rsid w:val="30CC65E9"/>
    <w:rsid w:val="30EAFC0E"/>
    <w:rsid w:val="30FAFED0"/>
    <w:rsid w:val="31084B91"/>
    <w:rsid w:val="318F5132"/>
    <w:rsid w:val="31A2BC58"/>
    <w:rsid w:val="31F056B5"/>
    <w:rsid w:val="3228077A"/>
    <w:rsid w:val="323AA5D6"/>
    <w:rsid w:val="32C9BD36"/>
    <w:rsid w:val="338EA515"/>
    <w:rsid w:val="339AB37E"/>
    <w:rsid w:val="343D7E19"/>
    <w:rsid w:val="344BF270"/>
    <w:rsid w:val="346838AA"/>
    <w:rsid w:val="349F5C85"/>
    <w:rsid w:val="35109035"/>
    <w:rsid w:val="351487F0"/>
    <w:rsid w:val="351D63B8"/>
    <w:rsid w:val="35B552FA"/>
    <w:rsid w:val="367214BA"/>
    <w:rsid w:val="36ABC006"/>
    <w:rsid w:val="370FF248"/>
    <w:rsid w:val="3719B406"/>
    <w:rsid w:val="377EADEA"/>
    <w:rsid w:val="37CF4970"/>
    <w:rsid w:val="37F725C9"/>
    <w:rsid w:val="38002268"/>
    <w:rsid w:val="38388CB4"/>
    <w:rsid w:val="3899E2F5"/>
    <w:rsid w:val="38A991B9"/>
    <w:rsid w:val="38C4A2AF"/>
    <w:rsid w:val="39BE0974"/>
    <w:rsid w:val="3A48415D"/>
    <w:rsid w:val="3A5C3C7E"/>
    <w:rsid w:val="3AADF551"/>
    <w:rsid w:val="3ABB1DB3"/>
    <w:rsid w:val="3B249415"/>
    <w:rsid w:val="3B57E990"/>
    <w:rsid w:val="3B8C08DB"/>
    <w:rsid w:val="3C0BC5CF"/>
    <w:rsid w:val="3C83181E"/>
    <w:rsid w:val="3CCE65A5"/>
    <w:rsid w:val="3DC5EFAC"/>
    <w:rsid w:val="3DDFC00C"/>
    <w:rsid w:val="3E47AF1E"/>
    <w:rsid w:val="3E4C374B"/>
    <w:rsid w:val="3ECD80D0"/>
    <w:rsid w:val="3EFAC00E"/>
    <w:rsid w:val="3F913210"/>
    <w:rsid w:val="3FC5E922"/>
    <w:rsid w:val="401794AE"/>
    <w:rsid w:val="4041F28F"/>
    <w:rsid w:val="4097B108"/>
    <w:rsid w:val="40CC371D"/>
    <w:rsid w:val="40E5F0E3"/>
    <w:rsid w:val="4123BC34"/>
    <w:rsid w:val="41463287"/>
    <w:rsid w:val="4170B5AD"/>
    <w:rsid w:val="41980AA1"/>
    <w:rsid w:val="41AF1560"/>
    <w:rsid w:val="41EEB80F"/>
    <w:rsid w:val="422B1E53"/>
    <w:rsid w:val="42F5E709"/>
    <w:rsid w:val="4319AB26"/>
    <w:rsid w:val="43E4E796"/>
    <w:rsid w:val="44148703"/>
    <w:rsid w:val="4450219F"/>
    <w:rsid w:val="458F585D"/>
    <w:rsid w:val="45A0267E"/>
    <w:rsid w:val="45DC53C4"/>
    <w:rsid w:val="46A2B6E8"/>
    <w:rsid w:val="46B05A18"/>
    <w:rsid w:val="46E74903"/>
    <w:rsid w:val="4700D334"/>
    <w:rsid w:val="470EAC27"/>
    <w:rsid w:val="4800E43F"/>
    <w:rsid w:val="48718447"/>
    <w:rsid w:val="4872F998"/>
    <w:rsid w:val="489431B8"/>
    <w:rsid w:val="48E88330"/>
    <w:rsid w:val="4910C749"/>
    <w:rsid w:val="49561ADD"/>
    <w:rsid w:val="49B204B3"/>
    <w:rsid w:val="4A17FFA7"/>
    <w:rsid w:val="4A3AECA9"/>
    <w:rsid w:val="4B05E44D"/>
    <w:rsid w:val="4B0AA9F5"/>
    <w:rsid w:val="4B102BA4"/>
    <w:rsid w:val="4B7FBA74"/>
    <w:rsid w:val="4C3B9058"/>
    <w:rsid w:val="4CCCE48D"/>
    <w:rsid w:val="4D5C6E72"/>
    <w:rsid w:val="4DFAC4DC"/>
    <w:rsid w:val="4E747896"/>
    <w:rsid w:val="4F0C1B9B"/>
    <w:rsid w:val="4F8F945C"/>
    <w:rsid w:val="4F9A437B"/>
    <w:rsid w:val="5007B674"/>
    <w:rsid w:val="504458BC"/>
    <w:rsid w:val="51805A73"/>
    <w:rsid w:val="51BAF000"/>
    <w:rsid w:val="52230800"/>
    <w:rsid w:val="5236B4B2"/>
    <w:rsid w:val="523FF93D"/>
    <w:rsid w:val="529181C8"/>
    <w:rsid w:val="5316FF90"/>
    <w:rsid w:val="534E8F88"/>
    <w:rsid w:val="53EF0CAF"/>
    <w:rsid w:val="54CEBD8F"/>
    <w:rsid w:val="55AA7C45"/>
    <w:rsid w:val="55E05A54"/>
    <w:rsid w:val="55FDB2C1"/>
    <w:rsid w:val="563C897A"/>
    <w:rsid w:val="567FF0A6"/>
    <w:rsid w:val="573BA32F"/>
    <w:rsid w:val="57CD61DF"/>
    <w:rsid w:val="58576072"/>
    <w:rsid w:val="58B93807"/>
    <w:rsid w:val="58DD2826"/>
    <w:rsid w:val="58F4318C"/>
    <w:rsid w:val="58FB1708"/>
    <w:rsid w:val="59633276"/>
    <w:rsid w:val="596A6292"/>
    <w:rsid w:val="59A4DCAE"/>
    <w:rsid w:val="5A5EB991"/>
    <w:rsid w:val="5A7E2593"/>
    <w:rsid w:val="5A853889"/>
    <w:rsid w:val="5AEE2517"/>
    <w:rsid w:val="5AFD3CD4"/>
    <w:rsid w:val="5B20249D"/>
    <w:rsid w:val="5B94CB94"/>
    <w:rsid w:val="5B9C6137"/>
    <w:rsid w:val="5BA374F8"/>
    <w:rsid w:val="5CE6AE43"/>
    <w:rsid w:val="5D2F7EEF"/>
    <w:rsid w:val="5D5E2842"/>
    <w:rsid w:val="5D9BE388"/>
    <w:rsid w:val="5DBF7606"/>
    <w:rsid w:val="5DD43027"/>
    <w:rsid w:val="5DEF4487"/>
    <w:rsid w:val="5E03898B"/>
    <w:rsid w:val="5E203880"/>
    <w:rsid w:val="5E563762"/>
    <w:rsid w:val="5EA718DA"/>
    <w:rsid w:val="5EB231BE"/>
    <w:rsid w:val="5EB40A9C"/>
    <w:rsid w:val="5EDA87A8"/>
    <w:rsid w:val="5EE9F5A9"/>
    <w:rsid w:val="5EF4CBD1"/>
    <w:rsid w:val="5F0D91D0"/>
    <w:rsid w:val="5F2C5DA8"/>
    <w:rsid w:val="5F2DB0E4"/>
    <w:rsid w:val="5F3DB1A4"/>
    <w:rsid w:val="5FF2F010"/>
    <w:rsid w:val="6033D2D0"/>
    <w:rsid w:val="609CFF52"/>
    <w:rsid w:val="60EB7287"/>
    <w:rsid w:val="6115B8F8"/>
    <w:rsid w:val="617B4C38"/>
    <w:rsid w:val="619A3CEB"/>
    <w:rsid w:val="61C08C00"/>
    <w:rsid w:val="61D1C1A1"/>
    <w:rsid w:val="61D7EB09"/>
    <w:rsid w:val="61FAA5E7"/>
    <w:rsid w:val="6230A384"/>
    <w:rsid w:val="6284B6C5"/>
    <w:rsid w:val="63267315"/>
    <w:rsid w:val="6347DAD5"/>
    <w:rsid w:val="638B952D"/>
    <w:rsid w:val="64CCC40F"/>
    <w:rsid w:val="6510690B"/>
    <w:rsid w:val="6562729F"/>
    <w:rsid w:val="65AB7B82"/>
    <w:rsid w:val="65DFEB57"/>
    <w:rsid w:val="66C64693"/>
    <w:rsid w:val="66CF2009"/>
    <w:rsid w:val="67296AD4"/>
    <w:rsid w:val="6766A143"/>
    <w:rsid w:val="676AD04D"/>
    <w:rsid w:val="6792A1BA"/>
    <w:rsid w:val="679A586B"/>
    <w:rsid w:val="67CF5E32"/>
    <w:rsid w:val="67DF80C6"/>
    <w:rsid w:val="67EF0E14"/>
    <w:rsid w:val="680BED86"/>
    <w:rsid w:val="68341C81"/>
    <w:rsid w:val="6844FA66"/>
    <w:rsid w:val="684E33EA"/>
    <w:rsid w:val="68B30C03"/>
    <w:rsid w:val="698D4C10"/>
    <w:rsid w:val="6990382F"/>
    <w:rsid w:val="6A064806"/>
    <w:rsid w:val="6A28C08E"/>
    <w:rsid w:val="6A377461"/>
    <w:rsid w:val="6A719779"/>
    <w:rsid w:val="6AFC44BE"/>
    <w:rsid w:val="6B1C48B8"/>
    <w:rsid w:val="6B3CA7A6"/>
    <w:rsid w:val="6B44E546"/>
    <w:rsid w:val="6B7BABD7"/>
    <w:rsid w:val="6C3DB909"/>
    <w:rsid w:val="6C574DEC"/>
    <w:rsid w:val="6C596745"/>
    <w:rsid w:val="6CBA19CB"/>
    <w:rsid w:val="6CE4293F"/>
    <w:rsid w:val="6DB55B61"/>
    <w:rsid w:val="6DBA8903"/>
    <w:rsid w:val="6DBEDF41"/>
    <w:rsid w:val="6E934CC5"/>
    <w:rsid w:val="6EDE59AD"/>
    <w:rsid w:val="6F2F3E72"/>
    <w:rsid w:val="6F4BAF98"/>
    <w:rsid w:val="6FC68AEF"/>
    <w:rsid w:val="6FE6B5A7"/>
    <w:rsid w:val="6FFFB8CC"/>
    <w:rsid w:val="70ABCF15"/>
    <w:rsid w:val="70FEC8B9"/>
    <w:rsid w:val="713E9903"/>
    <w:rsid w:val="714644A4"/>
    <w:rsid w:val="71BBD216"/>
    <w:rsid w:val="7228D9A0"/>
    <w:rsid w:val="722B34A9"/>
    <w:rsid w:val="724D7E98"/>
    <w:rsid w:val="72B945F5"/>
    <w:rsid w:val="73624F51"/>
    <w:rsid w:val="7374487B"/>
    <w:rsid w:val="7391AE9A"/>
    <w:rsid w:val="73B423C0"/>
    <w:rsid w:val="746121EA"/>
    <w:rsid w:val="74AAA0C6"/>
    <w:rsid w:val="74D00CEF"/>
    <w:rsid w:val="754D68B7"/>
    <w:rsid w:val="7586B621"/>
    <w:rsid w:val="75919AA8"/>
    <w:rsid w:val="75AAA907"/>
    <w:rsid w:val="75CAC950"/>
    <w:rsid w:val="7601DFED"/>
    <w:rsid w:val="760B7CA1"/>
    <w:rsid w:val="764D21FA"/>
    <w:rsid w:val="7658C835"/>
    <w:rsid w:val="7717C940"/>
    <w:rsid w:val="774117B6"/>
    <w:rsid w:val="77AC4B20"/>
    <w:rsid w:val="77B13A3D"/>
    <w:rsid w:val="785974FD"/>
    <w:rsid w:val="7915F2CA"/>
    <w:rsid w:val="7A37D7CB"/>
    <w:rsid w:val="7A49D187"/>
    <w:rsid w:val="7A65D4FA"/>
    <w:rsid w:val="7AB75B52"/>
    <w:rsid w:val="7B257B08"/>
    <w:rsid w:val="7C47E78F"/>
    <w:rsid w:val="7C7535A6"/>
    <w:rsid w:val="7C7ED5D0"/>
    <w:rsid w:val="7C86E26F"/>
    <w:rsid w:val="7CC91C34"/>
    <w:rsid w:val="7D3FF3E4"/>
    <w:rsid w:val="7D57F1E6"/>
    <w:rsid w:val="7D9F5CE8"/>
    <w:rsid w:val="7DE9E9DB"/>
    <w:rsid w:val="7E3CB525"/>
    <w:rsid w:val="7E779AB2"/>
    <w:rsid w:val="7E8E777F"/>
    <w:rsid w:val="7F3470B6"/>
    <w:rsid w:val="7F427C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02D91"/>
  <w15:chartTrackingRefBased/>
  <w15:docId w15:val="{6B39C856-0608-40F2-ADF8-D052FD6A9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FE8"/>
    <w:pPr>
      <w:spacing w:line="260" w:lineRule="exact"/>
    </w:pPr>
    <w:rPr>
      <w:rFonts w:ascii="Arial" w:hAnsi="Arial"/>
      <w:sz w:val="20"/>
      <w:szCs w:val="22"/>
    </w:rPr>
  </w:style>
  <w:style w:type="paragraph" w:styleId="Heading1">
    <w:name w:val="heading 1"/>
    <w:basedOn w:val="Normal"/>
    <w:next w:val="Normal"/>
    <w:link w:val="Heading1Char"/>
    <w:uiPriority w:val="9"/>
    <w:qFormat/>
    <w:rsid w:val="00E10FCD"/>
    <w:pPr>
      <w:keepNext/>
      <w:keepLines/>
      <w:spacing w:before="240" w:after="0" w:line="259" w:lineRule="auto"/>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E560C6"/>
    <w:pPr>
      <w:keepNext/>
      <w:keepLines/>
      <w:spacing w:before="240" w:after="0" w:line="259" w:lineRule="auto"/>
      <w:outlineLvl w:val="1"/>
    </w:pPr>
    <w:rPr>
      <w:rFonts w:eastAsia="MS PGothic" w:cs="Arial"/>
      <w:color w:val="0172CE"/>
      <w:sz w:val="26"/>
      <w:szCs w:val="26"/>
    </w:rPr>
  </w:style>
  <w:style w:type="paragraph" w:styleId="Heading3">
    <w:name w:val="heading 3"/>
    <w:basedOn w:val="Normal"/>
    <w:next w:val="Normal"/>
    <w:link w:val="Heading3Char"/>
    <w:uiPriority w:val="9"/>
    <w:unhideWhenUsed/>
    <w:qFormat/>
    <w:rsid w:val="007B23BA"/>
    <w:pPr>
      <w:keepNext/>
      <w:keepLines/>
      <w:spacing w:before="160" w:after="80"/>
      <w:outlineLvl w:val="2"/>
    </w:pPr>
    <w:rPr>
      <w:rFonts w:eastAsiaTheme="majorEastAsia" w:cstheme="majorBidi"/>
      <w:color w:val="00559A" w:themeColor="accent1" w:themeShade="BF"/>
      <w:sz w:val="28"/>
      <w:szCs w:val="28"/>
    </w:rPr>
  </w:style>
  <w:style w:type="paragraph" w:styleId="Heading4">
    <w:name w:val="heading 4"/>
    <w:basedOn w:val="Normal"/>
    <w:next w:val="Normal"/>
    <w:link w:val="Heading4Char"/>
    <w:uiPriority w:val="9"/>
    <w:unhideWhenUsed/>
    <w:qFormat/>
    <w:rsid w:val="00CA7462"/>
    <w:pPr>
      <w:keepNext/>
      <w:keepLines/>
      <w:spacing w:before="80" w:after="40"/>
      <w:outlineLvl w:val="3"/>
    </w:pPr>
    <w:rPr>
      <w:rFonts w:eastAsiaTheme="majorEastAsia" w:cstheme="majorBidi"/>
      <w:i/>
      <w:iCs/>
      <w:color w:val="00559A" w:themeColor="accent1" w:themeShade="BF"/>
    </w:rPr>
  </w:style>
  <w:style w:type="paragraph" w:styleId="Heading5">
    <w:name w:val="heading 5"/>
    <w:basedOn w:val="Normal"/>
    <w:next w:val="Normal"/>
    <w:link w:val="Heading5Char"/>
    <w:uiPriority w:val="9"/>
    <w:semiHidden/>
    <w:unhideWhenUsed/>
    <w:qFormat/>
    <w:rsid w:val="00CA7462"/>
    <w:pPr>
      <w:keepNext/>
      <w:keepLines/>
      <w:spacing w:before="80" w:after="40"/>
      <w:outlineLvl w:val="4"/>
    </w:pPr>
    <w:rPr>
      <w:rFonts w:eastAsiaTheme="majorEastAsia" w:cstheme="majorBidi"/>
      <w:color w:val="00559A" w:themeColor="accent1" w:themeShade="BF"/>
    </w:rPr>
  </w:style>
  <w:style w:type="paragraph" w:styleId="Heading6">
    <w:name w:val="heading 6"/>
    <w:basedOn w:val="Normal"/>
    <w:next w:val="Normal"/>
    <w:link w:val="Heading6Char"/>
    <w:uiPriority w:val="9"/>
    <w:semiHidden/>
    <w:unhideWhenUsed/>
    <w:qFormat/>
    <w:rsid w:val="00DD6731"/>
    <w:pPr>
      <w:keepNext/>
      <w:keepLines/>
      <w:spacing w:before="40" w:after="0"/>
      <w:outlineLvl w:val="5"/>
    </w:pPr>
    <w:rPr>
      <w:rFonts w:eastAsiaTheme="majorEastAsia" w:cstheme="majorBidi"/>
      <w:i/>
      <w:iCs/>
      <w:color w:val="0AA3FF" w:themeColor="text1" w:themeTint="A6"/>
    </w:rPr>
  </w:style>
  <w:style w:type="paragraph" w:styleId="Heading7">
    <w:name w:val="heading 7"/>
    <w:basedOn w:val="Normal"/>
    <w:next w:val="Normal"/>
    <w:link w:val="Heading7Char"/>
    <w:uiPriority w:val="9"/>
    <w:semiHidden/>
    <w:unhideWhenUsed/>
    <w:qFormat/>
    <w:rsid w:val="00DD6731"/>
    <w:pPr>
      <w:keepNext/>
      <w:keepLines/>
      <w:spacing w:before="40" w:after="0"/>
      <w:outlineLvl w:val="6"/>
    </w:pPr>
    <w:rPr>
      <w:rFonts w:eastAsiaTheme="majorEastAsia" w:cstheme="majorBidi"/>
      <w:color w:val="0AA3FF" w:themeColor="text1" w:themeTint="A6"/>
    </w:rPr>
  </w:style>
  <w:style w:type="paragraph" w:styleId="Heading8">
    <w:name w:val="heading 8"/>
    <w:basedOn w:val="Normal"/>
    <w:next w:val="Normal"/>
    <w:link w:val="Heading8Char"/>
    <w:uiPriority w:val="9"/>
    <w:semiHidden/>
    <w:unhideWhenUsed/>
    <w:qFormat/>
    <w:rsid w:val="00DD6731"/>
    <w:pPr>
      <w:keepNext/>
      <w:keepLines/>
      <w:spacing w:after="0"/>
      <w:outlineLvl w:val="7"/>
    </w:pPr>
    <w:rPr>
      <w:rFonts w:eastAsiaTheme="majorEastAsia" w:cstheme="majorBidi"/>
      <w:i/>
      <w:iCs/>
      <w:color w:val="0078C0" w:themeColor="text1" w:themeTint="D8"/>
    </w:rPr>
  </w:style>
  <w:style w:type="paragraph" w:styleId="Heading9">
    <w:name w:val="heading 9"/>
    <w:basedOn w:val="Normal"/>
    <w:next w:val="Normal"/>
    <w:link w:val="Heading9Char"/>
    <w:uiPriority w:val="9"/>
    <w:semiHidden/>
    <w:unhideWhenUsed/>
    <w:qFormat/>
    <w:rsid w:val="00DD6731"/>
    <w:pPr>
      <w:keepNext/>
      <w:keepLines/>
      <w:spacing w:after="0"/>
      <w:outlineLvl w:val="8"/>
    </w:pPr>
    <w:rPr>
      <w:rFonts w:eastAsiaTheme="majorEastAsia" w:cstheme="majorBidi"/>
      <w:color w:val="0078C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0FCD"/>
    <w:rPr>
      <w:rFonts w:asciiTheme="majorHAnsi" w:eastAsiaTheme="majorEastAsia" w:hAnsiTheme="majorHAnsi" w:cstheme="majorBidi"/>
      <w:color w:val="00559A" w:themeColor="accent1" w:themeShade="BF"/>
      <w:sz w:val="48"/>
      <w:szCs w:val="32"/>
    </w:rPr>
  </w:style>
  <w:style w:type="paragraph" w:styleId="Title">
    <w:name w:val="Title"/>
    <w:aliases w:val="Document title"/>
    <w:basedOn w:val="Normal"/>
    <w:next w:val="Normal"/>
    <w:link w:val="TitleChar"/>
    <w:uiPriority w:val="10"/>
    <w:qFormat/>
    <w:rsid w:val="009962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Document 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lang w:eastAsia="en-AU"/>
      <w14:ligatures w14:val="none"/>
    </w:rPr>
  </w:style>
  <w:style w:type="paragraph" w:styleId="TOCHeading">
    <w:name w:val="TOC Heading"/>
    <w:basedOn w:val="Normal"/>
    <w:uiPriority w:val="39"/>
    <w:unhideWhenUsed/>
    <w:qFormat/>
    <w:rsid w:val="00CA0E2C"/>
    <w:pPr>
      <w:keepNext/>
      <w:keepLines/>
      <w:spacing w:before="240" w:after="0"/>
    </w:pPr>
    <w:rPr>
      <w:rFonts w:asciiTheme="majorHAnsi" w:eastAsiaTheme="majorEastAsia" w:hAnsiTheme="majorHAnsi" w:cstheme="majorBidi"/>
      <w:color w:val="00559A" w:themeColor="accent1" w:themeShade="BF"/>
      <w:sz w:val="32"/>
      <w:szCs w:val="32"/>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E560C6"/>
    <w:rPr>
      <w:rFonts w:ascii="Arial" w:eastAsia="MS PGothic" w:hAnsi="Arial" w:cs="Arial"/>
      <w:color w:val="0172CE"/>
      <w:sz w:val="26"/>
      <w:szCs w:val="26"/>
    </w:rPr>
  </w:style>
  <w:style w:type="paragraph" w:customStyle="1" w:styleId="Introductioncopy">
    <w:name w:val="Introduction copy"/>
    <w:basedOn w:val="Heading2"/>
    <w:link w:val="IntroductioncopyChar"/>
    <w:qFormat/>
    <w:rsid w:val="007527CE"/>
    <w:pPr>
      <w:spacing w:after="600" w:line="440" w:lineRule="exact"/>
    </w:pPr>
    <w:rPr>
      <w:kern w:val="20"/>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0559A" w:themeColor="accent1" w:themeShade="BF"/>
      <w:kern w:val="20"/>
      <w:sz w:val="32"/>
      <w:szCs w:val="32"/>
      <w:lang w:val="en-US"/>
    </w:rPr>
  </w:style>
  <w:style w:type="paragraph" w:customStyle="1" w:styleId="Bodycopy">
    <w:name w:val="Body copy"/>
    <w:basedOn w:val="Normal"/>
    <w:link w:val="BodycopyChar"/>
    <w:qFormat/>
    <w:rsid w:val="000B6E26"/>
  </w:style>
  <w:style w:type="character" w:customStyle="1" w:styleId="BodycopyChar">
    <w:name w:val="Body copy Char"/>
    <w:basedOn w:val="DefaultParagraphFont"/>
    <w:link w:val="Bodycopy"/>
    <w:rsid w:val="000B6E26"/>
    <w:rPr>
      <w:rFonts w:ascii="Arial" w:hAnsi="Arial"/>
      <w:sz w:val="20"/>
      <w:szCs w:val="22"/>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7B23BA"/>
    <w:rPr>
      <w:rFonts w:eastAsiaTheme="majorEastAsia" w:cstheme="majorBidi"/>
      <w:color w:val="00559A" w:themeColor="accent1" w:themeShade="BF"/>
      <w:sz w:val="28"/>
      <w:szCs w:val="28"/>
    </w:rPr>
  </w:style>
  <w:style w:type="character" w:customStyle="1" w:styleId="Heading4Char">
    <w:name w:val="Heading 4 Char"/>
    <w:basedOn w:val="DefaultParagraphFont"/>
    <w:link w:val="Heading4"/>
    <w:uiPriority w:val="9"/>
    <w:rsid w:val="00CA7462"/>
    <w:rPr>
      <w:rFonts w:eastAsiaTheme="majorEastAsia" w:cstheme="majorBidi"/>
      <w:i/>
      <w:iCs/>
      <w:color w:val="00559A" w:themeColor="accent1" w:themeShade="BF"/>
    </w:rPr>
  </w:style>
  <w:style w:type="character" w:customStyle="1" w:styleId="Heading5Char">
    <w:name w:val="Heading 5 Char"/>
    <w:basedOn w:val="DefaultParagraphFont"/>
    <w:link w:val="Heading5"/>
    <w:uiPriority w:val="9"/>
    <w:semiHidden/>
    <w:rsid w:val="00CA7462"/>
    <w:rPr>
      <w:rFonts w:eastAsiaTheme="majorEastAsia" w:cstheme="majorBidi"/>
      <w:color w:val="00559A" w:themeColor="accent1" w:themeShade="BF"/>
    </w:rPr>
  </w:style>
  <w:style w:type="paragraph" w:styleId="BodyText">
    <w:name w:val="Body Text"/>
    <w:basedOn w:val="Normal"/>
    <w:link w:val="BodyTextChar"/>
    <w:uiPriority w:val="99"/>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uiPriority w:val="99"/>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CA7462"/>
    <w:pPr>
      <w:spacing w:before="120" w:after="120" w:line="240" w:lineRule="atLeast"/>
    </w:pPr>
    <w:rPr>
      <w:rFonts w:eastAsia="Times New Roman" w:cs="Arial"/>
      <w:color w:val="005587" w:themeColor="text1"/>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spacing w:before="120" w:after="120" w:line="240" w:lineRule="atLeast"/>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style>
  <w:style w:type="character" w:customStyle="1" w:styleId="NoSpacingChar">
    <w:name w:val="No Spacing Char"/>
    <w:basedOn w:val="DefaultParagraphFont"/>
    <w:link w:val="NoSpacing"/>
    <w:uiPriority w:val="1"/>
    <w:rsid w:val="00E82654"/>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paragraph" w:customStyle="1" w:styleId="Bulletlist">
    <w:name w:val="Bullet list"/>
    <w:basedOn w:val="Normal"/>
    <w:link w:val="BulletlistChar"/>
    <w:qFormat/>
    <w:rsid w:val="00FB49C3"/>
    <w:pPr>
      <w:keepLines/>
      <w:tabs>
        <w:tab w:val="left" w:pos="340"/>
      </w:tabs>
      <w:spacing w:before="120" w:after="0" w:line="288" w:lineRule="auto"/>
    </w:pPr>
    <w:rPr>
      <w:kern w:val="0"/>
      <w14:ligatures w14:val="none"/>
    </w:rPr>
  </w:style>
  <w:style w:type="paragraph" w:styleId="Subtitle">
    <w:name w:val="Subtitle"/>
    <w:basedOn w:val="Normal"/>
    <w:next w:val="Normal"/>
    <w:link w:val="SubtitleChar"/>
    <w:uiPriority w:val="11"/>
    <w:qFormat/>
    <w:rsid w:val="00A60F46"/>
    <w:pPr>
      <w:numPr>
        <w:ilvl w:val="1"/>
      </w:numPr>
    </w:pPr>
    <w:rPr>
      <w:rFonts w:eastAsiaTheme="majorEastAsia" w:cstheme="majorBidi"/>
      <w:color w:val="0AA3FF" w:themeColor="text1" w:themeTint="A6"/>
      <w:spacing w:val="15"/>
      <w:sz w:val="28"/>
      <w:szCs w:val="28"/>
    </w:rPr>
  </w:style>
  <w:style w:type="character" w:customStyle="1" w:styleId="SubtitleChar">
    <w:name w:val="Subtitle Char"/>
    <w:basedOn w:val="DefaultParagraphFont"/>
    <w:link w:val="Subtitle"/>
    <w:uiPriority w:val="11"/>
    <w:rsid w:val="00A60F46"/>
    <w:rPr>
      <w:rFonts w:eastAsiaTheme="majorEastAsia" w:cstheme="majorBidi"/>
      <w:color w:val="0AA3FF" w:themeColor="text1" w:themeTint="A6"/>
      <w:spacing w:val="15"/>
      <w:sz w:val="28"/>
      <w:szCs w:val="28"/>
    </w:rPr>
  </w:style>
  <w:style w:type="character" w:styleId="Emphasis">
    <w:name w:val="Emphasis"/>
    <w:basedOn w:val="DefaultParagraphFont"/>
    <w:uiPriority w:val="20"/>
    <w:qFormat/>
    <w:rsid w:val="00A60F46"/>
    <w:rPr>
      <w:i/>
      <w:iCs/>
    </w:rPr>
  </w:style>
  <w:style w:type="character" w:styleId="SubtleEmphasis">
    <w:name w:val="Subtle Emphasis"/>
    <w:basedOn w:val="DefaultParagraphFont"/>
    <w:uiPriority w:val="19"/>
    <w:qFormat/>
    <w:rsid w:val="00A60F46"/>
    <w:rPr>
      <w:i/>
      <w:iCs/>
      <w:color w:val="008FE5" w:themeColor="text1" w:themeTint="BF"/>
    </w:rPr>
  </w:style>
  <w:style w:type="paragraph" w:styleId="ListParagraph">
    <w:name w:val="List Paragraph"/>
    <w:basedOn w:val="Normal"/>
    <w:uiPriority w:val="34"/>
    <w:qFormat/>
    <w:rsid w:val="00A60F46"/>
    <w:pPr>
      <w:ind w:left="720"/>
      <w:contextualSpacing/>
    </w:pPr>
  </w:style>
  <w:style w:type="character" w:customStyle="1" w:styleId="BulletlistChar">
    <w:name w:val="Bullet list Char"/>
    <w:basedOn w:val="DefaultParagraphFont"/>
    <w:link w:val="Bulletlist"/>
    <w:rsid w:val="00FB49C3"/>
    <w:rPr>
      <w:rFonts w:ascii="Arial" w:hAnsi="Arial"/>
      <w:kern w:val="0"/>
      <w14:ligatures w14:val="none"/>
    </w:rPr>
  </w:style>
  <w:style w:type="character" w:styleId="Strong">
    <w:name w:val="Strong"/>
    <w:basedOn w:val="DefaultParagraphFont"/>
    <w:uiPriority w:val="22"/>
    <w:qFormat/>
    <w:rsid w:val="00041590"/>
    <w:rPr>
      <w:b/>
      <w:bCs/>
    </w:rPr>
  </w:style>
  <w:style w:type="table" w:styleId="TableGrid">
    <w:name w:val="Table Grid"/>
    <w:basedOn w:val="TableNormal"/>
    <w:uiPriority w:val="39"/>
    <w:rsid w:val="00041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B58"/>
    <w:rPr>
      <w:sz w:val="16"/>
      <w:szCs w:val="16"/>
    </w:rPr>
  </w:style>
  <w:style w:type="paragraph" w:styleId="CommentText">
    <w:name w:val="annotation text"/>
    <w:basedOn w:val="Normal"/>
    <w:link w:val="CommentTextChar"/>
    <w:uiPriority w:val="99"/>
    <w:unhideWhenUsed/>
    <w:rsid w:val="00CC2B58"/>
    <w:pPr>
      <w:spacing w:line="240" w:lineRule="auto"/>
    </w:pPr>
    <w:rPr>
      <w:szCs w:val="20"/>
    </w:rPr>
  </w:style>
  <w:style w:type="character" w:customStyle="1" w:styleId="CommentTextChar">
    <w:name w:val="Comment Text Char"/>
    <w:basedOn w:val="DefaultParagraphFont"/>
    <w:link w:val="CommentText"/>
    <w:uiPriority w:val="99"/>
    <w:rsid w:val="00CC2B58"/>
    <w:rPr>
      <w:sz w:val="20"/>
      <w:szCs w:val="20"/>
    </w:rPr>
  </w:style>
  <w:style w:type="paragraph" w:styleId="CommentSubject">
    <w:name w:val="annotation subject"/>
    <w:basedOn w:val="CommentText"/>
    <w:next w:val="CommentText"/>
    <w:link w:val="CommentSubjectChar"/>
    <w:uiPriority w:val="99"/>
    <w:semiHidden/>
    <w:unhideWhenUsed/>
    <w:rsid w:val="00CC2B58"/>
    <w:rPr>
      <w:b/>
      <w:bCs/>
    </w:rPr>
  </w:style>
  <w:style w:type="character" w:customStyle="1" w:styleId="CommentSubjectChar">
    <w:name w:val="Comment Subject Char"/>
    <w:basedOn w:val="CommentTextChar"/>
    <w:link w:val="CommentSubject"/>
    <w:uiPriority w:val="99"/>
    <w:semiHidden/>
    <w:rsid w:val="00CC2B58"/>
    <w:rPr>
      <w:b/>
      <w:bCs/>
      <w:sz w:val="20"/>
      <w:szCs w:val="20"/>
    </w:rPr>
  </w:style>
  <w:style w:type="character" w:customStyle="1" w:styleId="Heading6Char">
    <w:name w:val="Heading 6 Char"/>
    <w:basedOn w:val="DefaultParagraphFont"/>
    <w:link w:val="Heading6"/>
    <w:uiPriority w:val="9"/>
    <w:semiHidden/>
    <w:rsid w:val="00DD6731"/>
    <w:rPr>
      <w:rFonts w:eastAsiaTheme="majorEastAsia" w:cstheme="majorBidi"/>
      <w:i/>
      <w:iCs/>
      <w:color w:val="0AA3FF" w:themeColor="text1" w:themeTint="A6"/>
    </w:rPr>
  </w:style>
  <w:style w:type="character" w:customStyle="1" w:styleId="Heading7Char">
    <w:name w:val="Heading 7 Char"/>
    <w:basedOn w:val="DefaultParagraphFont"/>
    <w:link w:val="Heading7"/>
    <w:uiPriority w:val="9"/>
    <w:semiHidden/>
    <w:rsid w:val="00DD6731"/>
    <w:rPr>
      <w:rFonts w:eastAsiaTheme="majorEastAsia" w:cstheme="majorBidi"/>
      <w:color w:val="0AA3FF" w:themeColor="text1" w:themeTint="A6"/>
    </w:rPr>
  </w:style>
  <w:style w:type="character" w:customStyle="1" w:styleId="Heading8Char">
    <w:name w:val="Heading 8 Char"/>
    <w:basedOn w:val="DefaultParagraphFont"/>
    <w:link w:val="Heading8"/>
    <w:uiPriority w:val="9"/>
    <w:semiHidden/>
    <w:rsid w:val="00DD6731"/>
    <w:rPr>
      <w:rFonts w:eastAsiaTheme="majorEastAsia" w:cstheme="majorBidi"/>
      <w:i/>
      <w:iCs/>
      <w:color w:val="0078C0" w:themeColor="text1" w:themeTint="D8"/>
    </w:rPr>
  </w:style>
  <w:style w:type="character" w:customStyle="1" w:styleId="Heading9Char">
    <w:name w:val="Heading 9 Char"/>
    <w:basedOn w:val="DefaultParagraphFont"/>
    <w:link w:val="Heading9"/>
    <w:uiPriority w:val="9"/>
    <w:semiHidden/>
    <w:rsid w:val="00DD6731"/>
    <w:rPr>
      <w:rFonts w:eastAsiaTheme="majorEastAsia" w:cstheme="majorBidi"/>
      <w:color w:val="0078C0" w:themeColor="text1" w:themeTint="D8"/>
    </w:rPr>
  </w:style>
  <w:style w:type="character" w:styleId="FollowedHyperlink">
    <w:name w:val="FollowedHyperlink"/>
    <w:basedOn w:val="DefaultParagraphFont"/>
    <w:semiHidden/>
    <w:unhideWhenUsed/>
    <w:rsid w:val="00DD6731"/>
    <w:rPr>
      <w:color w:val="00A9E0" w:themeColor="followedHyperlink"/>
      <w:u w:val="single"/>
    </w:rPr>
  </w:style>
  <w:style w:type="paragraph" w:customStyle="1" w:styleId="msonormal0">
    <w:name w:val="msonormal"/>
    <w:basedOn w:val="Normal"/>
    <w:rsid w:val="00DD6731"/>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styleId="Quote">
    <w:name w:val="Quote"/>
    <w:basedOn w:val="Normal"/>
    <w:next w:val="Normal"/>
    <w:link w:val="QuoteChar"/>
    <w:uiPriority w:val="29"/>
    <w:qFormat/>
    <w:rsid w:val="00DD6731"/>
    <w:pPr>
      <w:spacing w:before="160"/>
      <w:jc w:val="center"/>
    </w:pPr>
    <w:rPr>
      <w:i/>
      <w:iCs/>
      <w:color w:val="008FE5" w:themeColor="text1" w:themeTint="BF"/>
    </w:rPr>
  </w:style>
  <w:style w:type="character" w:customStyle="1" w:styleId="QuoteChar">
    <w:name w:val="Quote Char"/>
    <w:basedOn w:val="DefaultParagraphFont"/>
    <w:link w:val="Quote"/>
    <w:uiPriority w:val="29"/>
    <w:rsid w:val="00DD6731"/>
    <w:rPr>
      <w:i/>
      <w:iCs/>
      <w:color w:val="008FE5" w:themeColor="text1" w:themeTint="BF"/>
    </w:rPr>
  </w:style>
  <w:style w:type="paragraph" w:styleId="IntenseQuote">
    <w:name w:val="Intense Quote"/>
    <w:basedOn w:val="Normal"/>
    <w:next w:val="Normal"/>
    <w:link w:val="IntenseQuoteChar"/>
    <w:uiPriority w:val="30"/>
    <w:qFormat/>
    <w:rsid w:val="00DD6731"/>
    <w:pPr>
      <w:pBdr>
        <w:top w:val="single" w:sz="4" w:space="10" w:color="00559A" w:themeColor="accent1" w:themeShade="BF"/>
        <w:bottom w:val="single" w:sz="4" w:space="10" w:color="00559A" w:themeColor="accent1" w:themeShade="BF"/>
      </w:pBdr>
      <w:spacing w:before="360" w:after="360"/>
      <w:ind w:left="864" w:right="864"/>
      <w:jc w:val="center"/>
    </w:pPr>
    <w:rPr>
      <w:i/>
      <w:iCs/>
      <w:color w:val="00559A" w:themeColor="accent1" w:themeShade="BF"/>
    </w:rPr>
  </w:style>
  <w:style w:type="character" w:customStyle="1" w:styleId="IntenseQuoteChar">
    <w:name w:val="Intense Quote Char"/>
    <w:basedOn w:val="DefaultParagraphFont"/>
    <w:link w:val="IntenseQuote"/>
    <w:uiPriority w:val="30"/>
    <w:rsid w:val="00DD6731"/>
    <w:rPr>
      <w:i/>
      <w:iCs/>
      <w:color w:val="00559A" w:themeColor="accent1" w:themeShade="BF"/>
    </w:rPr>
  </w:style>
  <w:style w:type="character" w:styleId="IntenseEmphasis">
    <w:name w:val="Intense Emphasis"/>
    <w:basedOn w:val="DefaultParagraphFont"/>
    <w:uiPriority w:val="21"/>
    <w:qFormat/>
    <w:rsid w:val="00DD6731"/>
    <w:rPr>
      <w:i/>
      <w:iCs/>
      <w:color w:val="00559A" w:themeColor="accent1" w:themeShade="BF"/>
    </w:rPr>
  </w:style>
  <w:style w:type="character" w:styleId="IntenseReference">
    <w:name w:val="Intense Reference"/>
    <w:basedOn w:val="DefaultParagraphFont"/>
    <w:uiPriority w:val="32"/>
    <w:qFormat/>
    <w:rsid w:val="00DD6731"/>
    <w:rPr>
      <w:b/>
      <w:bCs/>
      <w:smallCaps/>
      <w:color w:val="00559A" w:themeColor="accent1" w:themeShade="BF"/>
      <w:spacing w:val="5"/>
    </w:rPr>
  </w:style>
  <w:style w:type="character" w:styleId="Mention">
    <w:name w:val="Mention"/>
    <w:basedOn w:val="DefaultParagraphFont"/>
    <w:uiPriority w:val="99"/>
    <w:unhideWhenUsed/>
    <w:rsid w:val="00BB552E"/>
    <w:rPr>
      <w:color w:val="2B579A"/>
      <w:shd w:val="clear" w:color="auto" w:fill="E1DFDD"/>
    </w:rPr>
  </w:style>
  <w:style w:type="paragraph" w:customStyle="1" w:styleId="BodyCopyBody">
    <w:name w:val="Body Copy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customStyle="1" w:styleId="BodyBulletBlueTextBlackBody">
    <w:name w:val="Body Bullet Blue Text Black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57" w:line="270" w:lineRule="atLeast"/>
      <w:ind w:left="227" w:hanging="227"/>
      <w:textAlignment w:val="center"/>
    </w:pPr>
    <w:rPr>
      <w:rFonts w:ascii="VIC" w:hAnsi="VIC" w:cs="VIC"/>
      <w:color w:val="000000"/>
      <w:kern w:val="0"/>
      <w:sz w:val="19"/>
      <w:szCs w:val="19"/>
      <w:lang w:val="en-GB"/>
    </w:rPr>
  </w:style>
  <w:style w:type="paragraph" w:customStyle="1" w:styleId="TableBodycopyBody">
    <w:name w:val="Table Body copy (Body)"/>
    <w:basedOn w:val="BodyCopyBody"/>
    <w:uiPriority w:val="99"/>
    <w:rsid w:val="009637FA"/>
    <w:pPr>
      <w:spacing w:after="57"/>
    </w:pPr>
    <w:rPr>
      <w:color w:val="004B7C"/>
    </w:rPr>
  </w:style>
  <w:style w:type="paragraph" w:customStyle="1" w:styleId="BodyCopyRegular95pt135ptBody">
    <w:name w:val="Body Copy Regular 9.5pt/13.5pt (Body)"/>
    <w:basedOn w:val="Normal"/>
    <w:uiPriority w:val="99"/>
    <w:rsid w:val="009637FA"/>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hAnsi="VIC" w:cs="VIC"/>
      <w:color w:val="000000"/>
      <w:kern w:val="0"/>
      <w:sz w:val="19"/>
      <w:szCs w:val="19"/>
      <w:lang w:val="en-GB"/>
    </w:rPr>
  </w:style>
  <w:style w:type="paragraph" w:styleId="Caption">
    <w:name w:val="caption"/>
    <w:basedOn w:val="Normal"/>
    <w:next w:val="Normal"/>
    <w:uiPriority w:val="35"/>
    <w:unhideWhenUsed/>
    <w:qFormat/>
    <w:rsid w:val="00D04CEE"/>
    <w:pPr>
      <w:spacing w:after="200" w:line="240" w:lineRule="auto"/>
    </w:pPr>
    <w:rPr>
      <w:i/>
      <w:iCs/>
      <w:color w:val="0172CE" w:themeColor="text2"/>
      <w:sz w:val="18"/>
      <w:szCs w:val="18"/>
    </w:rPr>
  </w:style>
  <w:style w:type="paragraph" w:styleId="Revision">
    <w:name w:val="Revision"/>
    <w:hidden/>
    <w:uiPriority w:val="99"/>
    <w:semiHidden/>
    <w:rsid w:val="0019183A"/>
    <w:pPr>
      <w:spacing w:after="0" w:line="240" w:lineRule="auto"/>
    </w:pPr>
    <w:rPr>
      <w:sz w:val="20"/>
    </w:rPr>
  </w:style>
  <w:style w:type="paragraph" w:styleId="TOC4">
    <w:name w:val="toc 4"/>
    <w:basedOn w:val="Normal"/>
    <w:next w:val="Normal"/>
    <w:autoRedefine/>
    <w:uiPriority w:val="39"/>
    <w:unhideWhenUsed/>
    <w:rsid w:val="000D34ED"/>
    <w:pPr>
      <w:spacing w:after="100"/>
      <w:ind w:left="720"/>
    </w:pPr>
    <w:rPr>
      <w:rFonts w:eastAsiaTheme="minorEastAsia"/>
      <w:lang w:eastAsia="en-AU"/>
    </w:rPr>
  </w:style>
  <w:style w:type="paragraph" w:styleId="TOC5">
    <w:name w:val="toc 5"/>
    <w:basedOn w:val="Normal"/>
    <w:next w:val="Normal"/>
    <w:autoRedefine/>
    <w:uiPriority w:val="39"/>
    <w:unhideWhenUsed/>
    <w:rsid w:val="000D34ED"/>
    <w:pPr>
      <w:spacing w:after="100"/>
      <w:ind w:left="960"/>
    </w:pPr>
    <w:rPr>
      <w:rFonts w:eastAsiaTheme="minorEastAsia"/>
      <w:lang w:eastAsia="en-AU"/>
    </w:rPr>
  </w:style>
  <w:style w:type="paragraph" w:styleId="TOC6">
    <w:name w:val="toc 6"/>
    <w:basedOn w:val="Normal"/>
    <w:next w:val="Normal"/>
    <w:autoRedefine/>
    <w:uiPriority w:val="39"/>
    <w:unhideWhenUsed/>
    <w:rsid w:val="000D34ED"/>
    <w:pPr>
      <w:spacing w:after="100"/>
      <w:ind w:left="1200"/>
    </w:pPr>
    <w:rPr>
      <w:rFonts w:eastAsiaTheme="minorEastAsia"/>
      <w:lang w:eastAsia="en-AU"/>
    </w:rPr>
  </w:style>
  <w:style w:type="paragraph" w:styleId="TOC7">
    <w:name w:val="toc 7"/>
    <w:basedOn w:val="Normal"/>
    <w:next w:val="Normal"/>
    <w:autoRedefine/>
    <w:uiPriority w:val="39"/>
    <w:unhideWhenUsed/>
    <w:rsid w:val="000D34ED"/>
    <w:pPr>
      <w:spacing w:after="100"/>
      <w:ind w:left="1440"/>
    </w:pPr>
    <w:rPr>
      <w:rFonts w:eastAsiaTheme="minorEastAsia"/>
      <w:lang w:eastAsia="en-AU"/>
    </w:rPr>
  </w:style>
  <w:style w:type="paragraph" w:styleId="TOC8">
    <w:name w:val="toc 8"/>
    <w:basedOn w:val="Normal"/>
    <w:next w:val="Normal"/>
    <w:autoRedefine/>
    <w:uiPriority w:val="39"/>
    <w:unhideWhenUsed/>
    <w:rsid w:val="000D34ED"/>
    <w:pPr>
      <w:spacing w:after="100"/>
      <w:ind w:left="1680"/>
    </w:pPr>
    <w:rPr>
      <w:rFonts w:eastAsiaTheme="minorEastAsia"/>
      <w:lang w:eastAsia="en-AU"/>
    </w:rPr>
  </w:style>
  <w:style w:type="paragraph" w:styleId="TOC9">
    <w:name w:val="toc 9"/>
    <w:basedOn w:val="Normal"/>
    <w:next w:val="Normal"/>
    <w:autoRedefine/>
    <w:uiPriority w:val="39"/>
    <w:unhideWhenUsed/>
    <w:rsid w:val="000D34ED"/>
    <w:pPr>
      <w:spacing w:after="100"/>
      <w:ind w:left="1920"/>
    </w:pPr>
    <w:rPr>
      <w:rFonts w:eastAsiaTheme="minorEastAsia"/>
      <w:lang w:eastAsia="en-AU"/>
    </w:rPr>
  </w:style>
  <w:style w:type="character" w:customStyle="1" w:styleId="contentcontrolboundarysink">
    <w:name w:val="contentcontrolboundarysink"/>
    <w:basedOn w:val="DefaultParagraphFont"/>
    <w:rsid w:val="00D71095"/>
  </w:style>
  <w:style w:type="character" w:customStyle="1" w:styleId="normaltextrun">
    <w:name w:val="normaltextrun"/>
    <w:basedOn w:val="DefaultParagraphFont"/>
    <w:rsid w:val="00D71095"/>
  </w:style>
  <w:style w:type="character" w:customStyle="1" w:styleId="eop">
    <w:name w:val="eop"/>
    <w:basedOn w:val="DefaultParagraphFont"/>
    <w:rsid w:val="00D71095"/>
  </w:style>
  <w:style w:type="paragraph" w:customStyle="1" w:styleId="Pa4">
    <w:name w:val="Pa4"/>
    <w:basedOn w:val="Normal"/>
    <w:next w:val="Normal"/>
    <w:uiPriority w:val="99"/>
    <w:rsid w:val="00767308"/>
    <w:pPr>
      <w:autoSpaceDE w:val="0"/>
      <w:autoSpaceDN w:val="0"/>
      <w:adjustRightInd w:val="0"/>
      <w:spacing w:after="0" w:line="191" w:lineRule="atLeast"/>
    </w:pPr>
    <w:rPr>
      <w:rFonts w:ascii="VIC" w:hAnsi="VIC"/>
      <w:kern w:val="0"/>
    </w:rPr>
  </w:style>
  <w:style w:type="character" w:customStyle="1" w:styleId="findhit">
    <w:name w:val="findhit"/>
    <w:basedOn w:val="DefaultParagraphFont"/>
    <w:rsid w:val="00006B81"/>
  </w:style>
  <w:style w:type="paragraph" w:customStyle="1" w:styleId="paragraph">
    <w:name w:val="paragraph"/>
    <w:basedOn w:val="Normal"/>
    <w:rsid w:val="00006B81"/>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paragraph" w:customStyle="1" w:styleId="Default">
    <w:name w:val="Default"/>
    <w:rsid w:val="00B64454"/>
    <w:pPr>
      <w:autoSpaceDE w:val="0"/>
      <w:autoSpaceDN w:val="0"/>
      <w:adjustRightInd w:val="0"/>
      <w:spacing w:after="0" w:line="240" w:lineRule="auto"/>
    </w:pPr>
    <w:rPr>
      <w:rFonts w:ascii="VIC" w:hAnsi="VIC" w:cs="VIC"/>
      <w:color w:val="000000"/>
      <w:kern w:val="0"/>
    </w:rPr>
  </w:style>
  <w:style w:type="paragraph" w:styleId="FootnoteText">
    <w:name w:val="footnote text"/>
    <w:basedOn w:val="Normal"/>
    <w:link w:val="FootnoteTextChar"/>
    <w:uiPriority w:val="99"/>
    <w:unhideWhenUsed/>
    <w:rsid w:val="009A404A"/>
    <w:pPr>
      <w:spacing w:after="0" w:line="240" w:lineRule="auto"/>
    </w:pPr>
    <w:rPr>
      <w:szCs w:val="20"/>
    </w:rPr>
  </w:style>
  <w:style w:type="character" w:customStyle="1" w:styleId="FootnoteTextChar">
    <w:name w:val="Footnote Text Char"/>
    <w:basedOn w:val="DefaultParagraphFont"/>
    <w:link w:val="FootnoteText"/>
    <w:uiPriority w:val="99"/>
    <w:rsid w:val="009A404A"/>
    <w:rPr>
      <w:sz w:val="20"/>
      <w:szCs w:val="20"/>
    </w:rPr>
  </w:style>
  <w:style w:type="character" w:styleId="FootnoteReference">
    <w:name w:val="footnote reference"/>
    <w:basedOn w:val="DefaultParagraphFont"/>
    <w:uiPriority w:val="99"/>
    <w:semiHidden/>
    <w:unhideWhenUsed/>
    <w:rsid w:val="009A404A"/>
    <w:rPr>
      <w:vertAlign w:val="superscript"/>
    </w:rPr>
  </w:style>
  <w:style w:type="paragraph" w:customStyle="1" w:styleId="Pa1">
    <w:name w:val="Pa1"/>
    <w:basedOn w:val="Default"/>
    <w:next w:val="Default"/>
    <w:uiPriority w:val="99"/>
    <w:rsid w:val="005E5E95"/>
    <w:pPr>
      <w:spacing w:line="21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310">
      <w:bodyDiv w:val="1"/>
      <w:marLeft w:val="0"/>
      <w:marRight w:val="0"/>
      <w:marTop w:val="0"/>
      <w:marBottom w:val="0"/>
      <w:divBdr>
        <w:top w:val="none" w:sz="0" w:space="0" w:color="auto"/>
        <w:left w:val="none" w:sz="0" w:space="0" w:color="auto"/>
        <w:bottom w:val="none" w:sz="0" w:space="0" w:color="auto"/>
        <w:right w:val="none" w:sz="0" w:space="0" w:color="auto"/>
      </w:divBdr>
    </w:div>
    <w:div w:id="83649129">
      <w:bodyDiv w:val="1"/>
      <w:marLeft w:val="0"/>
      <w:marRight w:val="0"/>
      <w:marTop w:val="0"/>
      <w:marBottom w:val="0"/>
      <w:divBdr>
        <w:top w:val="none" w:sz="0" w:space="0" w:color="auto"/>
        <w:left w:val="none" w:sz="0" w:space="0" w:color="auto"/>
        <w:bottom w:val="none" w:sz="0" w:space="0" w:color="auto"/>
        <w:right w:val="none" w:sz="0" w:space="0" w:color="auto"/>
      </w:divBdr>
    </w:div>
    <w:div w:id="85805636">
      <w:bodyDiv w:val="1"/>
      <w:marLeft w:val="0"/>
      <w:marRight w:val="0"/>
      <w:marTop w:val="0"/>
      <w:marBottom w:val="0"/>
      <w:divBdr>
        <w:top w:val="none" w:sz="0" w:space="0" w:color="auto"/>
        <w:left w:val="none" w:sz="0" w:space="0" w:color="auto"/>
        <w:bottom w:val="none" w:sz="0" w:space="0" w:color="auto"/>
        <w:right w:val="none" w:sz="0" w:space="0" w:color="auto"/>
      </w:divBdr>
    </w:div>
    <w:div w:id="138378062">
      <w:bodyDiv w:val="1"/>
      <w:marLeft w:val="0"/>
      <w:marRight w:val="0"/>
      <w:marTop w:val="0"/>
      <w:marBottom w:val="0"/>
      <w:divBdr>
        <w:top w:val="none" w:sz="0" w:space="0" w:color="auto"/>
        <w:left w:val="none" w:sz="0" w:space="0" w:color="auto"/>
        <w:bottom w:val="none" w:sz="0" w:space="0" w:color="auto"/>
        <w:right w:val="none" w:sz="0" w:space="0" w:color="auto"/>
      </w:divBdr>
    </w:div>
    <w:div w:id="223830838">
      <w:bodyDiv w:val="1"/>
      <w:marLeft w:val="0"/>
      <w:marRight w:val="0"/>
      <w:marTop w:val="0"/>
      <w:marBottom w:val="0"/>
      <w:divBdr>
        <w:top w:val="none" w:sz="0" w:space="0" w:color="auto"/>
        <w:left w:val="none" w:sz="0" w:space="0" w:color="auto"/>
        <w:bottom w:val="none" w:sz="0" w:space="0" w:color="auto"/>
        <w:right w:val="none" w:sz="0" w:space="0" w:color="auto"/>
      </w:divBdr>
    </w:div>
    <w:div w:id="253710495">
      <w:bodyDiv w:val="1"/>
      <w:marLeft w:val="0"/>
      <w:marRight w:val="0"/>
      <w:marTop w:val="0"/>
      <w:marBottom w:val="0"/>
      <w:divBdr>
        <w:top w:val="none" w:sz="0" w:space="0" w:color="auto"/>
        <w:left w:val="none" w:sz="0" w:space="0" w:color="auto"/>
        <w:bottom w:val="none" w:sz="0" w:space="0" w:color="auto"/>
        <w:right w:val="none" w:sz="0" w:space="0" w:color="auto"/>
      </w:divBdr>
      <w:divsChild>
        <w:div w:id="385567415">
          <w:marLeft w:val="0"/>
          <w:marRight w:val="0"/>
          <w:marTop w:val="0"/>
          <w:marBottom w:val="0"/>
          <w:divBdr>
            <w:top w:val="none" w:sz="0" w:space="0" w:color="auto"/>
            <w:left w:val="none" w:sz="0" w:space="0" w:color="auto"/>
            <w:bottom w:val="none" w:sz="0" w:space="0" w:color="auto"/>
            <w:right w:val="none" w:sz="0" w:space="0" w:color="auto"/>
          </w:divBdr>
          <w:divsChild>
            <w:div w:id="1391273977">
              <w:marLeft w:val="0"/>
              <w:marRight w:val="0"/>
              <w:marTop w:val="0"/>
              <w:marBottom w:val="0"/>
              <w:divBdr>
                <w:top w:val="none" w:sz="0" w:space="0" w:color="auto"/>
                <w:left w:val="none" w:sz="0" w:space="0" w:color="auto"/>
                <w:bottom w:val="none" w:sz="0" w:space="0" w:color="auto"/>
                <w:right w:val="none" w:sz="0" w:space="0" w:color="auto"/>
              </w:divBdr>
            </w:div>
          </w:divsChild>
        </w:div>
        <w:div w:id="672144258">
          <w:marLeft w:val="0"/>
          <w:marRight w:val="0"/>
          <w:marTop w:val="0"/>
          <w:marBottom w:val="0"/>
          <w:divBdr>
            <w:top w:val="none" w:sz="0" w:space="0" w:color="auto"/>
            <w:left w:val="none" w:sz="0" w:space="0" w:color="auto"/>
            <w:bottom w:val="none" w:sz="0" w:space="0" w:color="auto"/>
            <w:right w:val="none" w:sz="0" w:space="0" w:color="auto"/>
          </w:divBdr>
          <w:divsChild>
            <w:div w:id="20096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4483">
      <w:bodyDiv w:val="1"/>
      <w:marLeft w:val="0"/>
      <w:marRight w:val="0"/>
      <w:marTop w:val="0"/>
      <w:marBottom w:val="0"/>
      <w:divBdr>
        <w:top w:val="none" w:sz="0" w:space="0" w:color="auto"/>
        <w:left w:val="none" w:sz="0" w:space="0" w:color="auto"/>
        <w:bottom w:val="none" w:sz="0" w:space="0" w:color="auto"/>
        <w:right w:val="none" w:sz="0" w:space="0" w:color="auto"/>
      </w:divBdr>
    </w:div>
    <w:div w:id="598872323">
      <w:bodyDiv w:val="1"/>
      <w:marLeft w:val="0"/>
      <w:marRight w:val="0"/>
      <w:marTop w:val="0"/>
      <w:marBottom w:val="0"/>
      <w:divBdr>
        <w:top w:val="none" w:sz="0" w:space="0" w:color="auto"/>
        <w:left w:val="none" w:sz="0" w:space="0" w:color="auto"/>
        <w:bottom w:val="none" w:sz="0" w:space="0" w:color="auto"/>
        <w:right w:val="none" w:sz="0" w:space="0" w:color="auto"/>
      </w:divBdr>
    </w:div>
    <w:div w:id="699860716">
      <w:bodyDiv w:val="1"/>
      <w:marLeft w:val="0"/>
      <w:marRight w:val="0"/>
      <w:marTop w:val="0"/>
      <w:marBottom w:val="0"/>
      <w:divBdr>
        <w:top w:val="none" w:sz="0" w:space="0" w:color="auto"/>
        <w:left w:val="none" w:sz="0" w:space="0" w:color="auto"/>
        <w:bottom w:val="none" w:sz="0" w:space="0" w:color="auto"/>
        <w:right w:val="none" w:sz="0" w:space="0" w:color="auto"/>
      </w:divBdr>
    </w:div>
    <w:div w:id="916743461">
      <w:bodyDiv w:val="1"/>
      <w:marLeft w:val="0"/>
      <w:marRight w:val="0"/>
      <w:marTop w:val="0"/>
      <w:marBottom w:val="0"/>
      <w:divBdr>
        <w:top w:val="none" w:sz="0" w:space="0" w:color="auto"/>
        <w:left w:val="none" w:sz="0" w:space="0" w:color="auto"/>
        <w:bottom w:val="none" w:sz="0" w:space="0" w:color="auto"/>
        <w:right w:val="none" w:sz="0" w:space="0" w:color="auto"/>
      </w:divBdr>
    </w:div>
    <w:div w:id="939030113">
      <w:bodyDiv w:val="1"/>
      <w:marLeft w:val="0"/>
      <w:marRight w:val="0"/>
      <w:marTop w:val="0"/>
      <w:marBottom w:val="0"/>
      <w:divBdr>
        <w:top w:val="none" w:sz="0" w:space="0" w:color="auto"/>
        <w:left w:val="none" w:sz="0" w:space="0" w:color="auto"/>
        <w:bottom w:val="none" w:sz="0" w:space="0" w:color="auto"/>
        <w:right w:val="none" w:sz="0" w:space="0" w:color="auto"/>
      </w:divBdr>
    </w:div>
    <w:div w:id="1225292620">
      <w:bodyDiv w:val="1"/>
      <w:marLeft w:val="0"/>
      <w:marRight w:val="0"/>
      <w:marTop w:val="0"/>
      <w:marBottom w:val="0"/>
      <w:divBdr>
        <w:top w:val="none" w:sz="0" w:space="0" w:color="auto"/>
        <w:left w:val="none" w:sz="0" w:space="0" w:color="auto"/>
        <w:bottom w:val="none" w:sz="0" w:space="0" w:color="auto"/>
        <w:right w:val="none" w:sz="0" w:space="0" w:color="auto"/>
      </w:divBdr>
    </w:div>
    <w:div w:id="1533108252">
      <w:bodyDiv w:val="1"/>
      <w:marLeft w:val="0"/>
      <w:marRight w:val="0"/>
      <w:marTop w:val="0"/>
      <w:marBottom w:val="0"/>
      <w:divBdr>
        <w:top w:val="none" w:sz="0" w:space="0" w:color="auto"/>
        <w:left w:val="none" w:sz="0" w:space="0" w:color="auto"/>
        <w:bottom w:val="none" w:sz="0" w:space="0" w:color="auto"/>
        <w:right w:val="none" w:sz="0" w:space="0" w:color="auto"/>
      </w:divBdr>
    </w:div>
    <w:div w:id="1599211966">
      <w:bodyDiv w:val="1"/>
      <w:marLeft w:val="0"/>
      <w:marRight w:val="0"/>
      <w:marTop w:val="0"/>
      <w:marBottom w:val="0"/>
      <w:divBdr>
        <w:top w:val="none" w:sz="0" w:space="0" w:color="auto"/>
        <w:left w:val="none" w:sz="0" w:space="0" w:color="auto"/>
        <w:bottom w:val="none" w:sz="0" w:space="0" w:color="auto"/>
        <w:right w:val="none" w:sz="0" w:space="0" w:color="auto"/>
      </w:divBdr>
    </w:div>
    <w:div w:id="1625960836">
      <w:bodyDiv w:val="1"/>
      <w:marLeft w:val="0"/>
      <w:marRight w:val="0"/>
      <w:marTop w:val="0"/>
      <w:marBottom w:val="0"/>
      <w:divBdr>
        <w:top w:val="none" w:sz="0" w:space="0" w:color="auto"/>
        <w:left w:val="none" w:sz="0" w:space="0" w:color="auto"/>
        <w:bottom w:val="none" w:sz="0" w:space="0" w:color="auto"/>
        <w:right w:val="none" w:sz="0" w:space="0" w:color="auto"/>
      </w:divBdr>
      <w:divsChild>
        <w:div w:id="1063798143">
          <w:marLeft w:val="0"/>
          <w:marRight w:val="0"/>
          <w:marTop w:val="0"/>
          <w:marBottom w:val="0"/>
          <w:divBdr>
            <w:top w:val="none" w:sz="0" w:space="0" w:color="auto"/>
            <w:left w:val="none" w:sz="0" w:space="0" w:color="auto"/>
            <w:bottom w:val="none" w:sz="0" w:space="0" w:color="auto"/>
            <w:right w:val="none" w:sz="0" w:space="0" w:color="auto"/>
          </w:divBdr>
          <w:divsChild>
            <w:div w:id="827400710">
              <w:marLeft w:val="0"/>
              <w:marRight w:val="0"/>
              <w:marTop w:val="0"/>
              <w:marBottom w:val="0"/>
              <w:divBdr>
                <w:top w:val="none" w:sz="0" w:space="0" w:color="auto"/>
                <w:left w:val="none" w:sz="0" w:space="0" w:color="auto"/>
                <w:bottom w:val="none" w:sz="0" w:space="0" w:color="auto"/>
                <w:right w:val="none" w:sz="0" w:space="0" w:color="auto"/>
              </w:divBdr>
            </w:div>
          </w:divsChild>
        </w:div>
        <w:div w:id="1417244371">
          <w:marLeft w:val="0"/>
          <w:marRight w:val="0"/>
          <w:marTop w:val="0"/>
          <w:marBottom w:val="0"/>
          <w:divBdr>
            <w:top w:val="none" w:sz="0" w:space="0" w:color="auto"/>
            <w:left w:val="none" w:sz="0" w:space="0" w:color="auto"/>
            <w:bottom w:val="none" w:sz="0" w:space="0" w:color="auto"/>
            <w:right w:val="none" w:sz="0" w:space="0" w:color="auto"/>
          </w:divBdr>
          <w:divsChild>
            <w:div w:id="6458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664549">
      <w:bodyDiv w:val="1"/>
      <w:marLeft w:val="0"/>
      <w:marRight w:val="0"/>
      <w:marTop w:val="0"/>
      <w:marBottom w:val="0"/>
      <w:divBdr>
        <w:top w:val="none" w:sz="0" w:space="0" w:color="auto"/>
        <w:left w:val="none" w:sz="0" w:space="0" w:color="auto"/>
        <w:bottom w:val="none" w:sz="0" w:space="0" w:color="auto"/>
        <w:right w:val="none" w:sz="0" w:space="0" w:color="auto"/>
      </w:divBdr>
    </w:div>
    <w:div w:id="1901478680">
      <w:bodyDiv w:val="1"/>
      <w:marLeft w:val="0"/>
      <w:marRight w:val="0"/>
      <w:marTop w:val="0"/>
      <w:marBottom w:val="0"/>
      <w:divBdr>
        <w:top w:val="none" w:sz="0" w:space="0" w:color="auto"/>
        <w:left w:val="none" w:sz="0" w:space="0" w:color="auto"/>
        <w:bottom w:val="none" w:sz="0" w:space="0" w:color="auto"/>
        <w:right w:val="none" w:sz="0" w:space="0" w:color="auto"/>
      </w:divBdr>
    </w:div>
    <w:div w:id="1915779742">
      <w:bodyDiv w:val="1"/>
      <w:marLeft w:val="0"/>
      <w:marRight w:val="0"/>
      <w:marTop w:val="0"/>
      <w:marBottom w:val="0"/>
      <w:divBdr>
        <w:top w:val="none" w:sz="0" w:space="0" w:color="auto"/>
        <w:left w:val="none" w:sz="0" w:space="0" w:color="auto"/>
        <w:bottom w:val="none" w:sz="0" w:space="0" w:color="auto"/>
        <w:right w:val="none" w:sz="0" w:space="0" w:color="auto"/>
      </w:divBdr>
    </w:div>
    <w:div w:id="206687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icgrid.com.au/transmission-planning/renewable-energy-zones" TargetMode="External"/><Relationship Id="rId18" Type="http://schemas.openxmlformats.org/officeDocument/2006/relationships/hyperlink" Target="http://www.vicgrid.com.au/industry/access-and-connection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vicgrid.vic.gov.au" TargetMode="External"/><Relationship Id="rId7" Type="http://schemas.openxmlformats.org/officeDocument/2006/relationships/settings" Target="settings.xml"/><Relationship Id="rId12" Type="http://schemas.openxmlformats.org/officeDocument/2006/relationships/hyperlink" Target="../vicgrid.com.au/transmission-planning/renewable-energy-zones" TargetMode="External"/><Relationship Id="rId17" Type="http://schemas.openxmlformats.org/officeDocument/2006/relationships/hyperlink" Target="http://www.vicgrid.com.au/industry/victorian-access-regim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vicgrid.com.au/community/communitybenefits" TargetMode="External"/><Relationship Id="rId20" Type="http://schemas.openxmlformats.org/officeDocument/2006/relationships/hyperlink" Target="http://www.tisnational.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vicgrid.com.au/transmission-planning/renewable-energy-zone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communications.gov.au/accesshub/n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8" ma:contentTypeDescription="Create a new document." ma:contentTypeScope="" ma:versionID="3f479902fdf33373a71ce6cceae9e942">
  <xsd:schema xmlns:xsd="http://www.w3.org/2001/XMLSchema" xmlns:xs="http://www.w3.org/2001/XMLSchema" xmlns:p="http://schemas.microsoft.com/office/2006/metadata/properties" xmlns:ns2="a5f32de4-e402-4188-b034-e71ca7d22e54" xmlns:ns3="d29d9cc1-63f2-470b-bc5a-a83f8e51dbd0" xmlns:ns4="2e53f466-b4e9-4f3e-9330-42ba2c3bdddc" xmlns:ns5="634c93e7-6cc6-4725-9a34-bf1b8bfdf7f0" xmlns:ns6="cd7ece20-477d-409f-9503-25cd697290cc" targetNamespace="http://schemas.microsoft.com/office/2006/metadata/properties" ma:root="true" ma:fieldsID="54a6a713e3dcbb25ec47e812acd20005" ns2:_="" ns3:_="" ns4:_="" ns5:_="" ns6:_="">
    <xsd:import namespace="a5f32de4-e402-4188-b034-e71ca7d22e54"/>
    <xsd:import namespace="d29d9cc1-63f2-470b-bc5a-a83f8e51dbd0"/>
    <xsd:import namespace="2e53f466-b4e9-4f3e-9330-42ba2c3bdddc"/>
    <xsd:import namespace="634c93e7-6cc6-4725-9a34-bf1b8bfdf7f0"/>
    <xsd:import namespace="cd7ece20-477d-409f-9503-25cd697290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3:MediaServiceOCR" minOccurs="0"/>
                <xsd:element ref="ns3:MediaServiceSearchProperties" minOccurs="0"/>
                <xsd:element ref="ns3:MediaServiceDateTaken"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ece20-477d-409f-9503-25cd69729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bbe7b-42e4-4385-af92-1279a69a959a}" ma:internalName="TaxCatchAll" ma:showField="CatchAllData" ma:web="cd7ece20-477d-409f-9503-25cd6972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d7ece20-477d-409f-9503-25cd697290cc" xsi:nil="true"/>
    <lcf76f155ced4ddcb4097134ff3c332f xmlns="634c93e7-6cc6-4725-9a34-bf1b8bfdf7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5E3ECE-497E-41E0-A031-6B0B4F6DF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29d9cc1-63f2-470b-bc5a-a83f8e51dbd0"/>
    <ds:schemaRef ds:uri="2e53f466-b4e9-4f3e-9330-42ba2c3bdddc"/>
    <ds:schemaRef ds:uri="634c93e7-6cc6-4725-9a34-bf1b8bfdf7f0"/>
    <ds:schemaRef ds:uri="cd7ece20-477d-409f-9503-25cd6972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3.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4.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cd7ece20-477d-409f-9503-25cd697290cc"/>
    <ds:schemaRef ds:uri="634c93e7-6cc6-4725-9a34-bf1b8bfdf7f0"/>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2434</Words>
  <Characters>13874</Characters>
  <Application>Microsoft Office Word</Application>
  <DocSecurity>0</DocSecurity>
  <Lines>115</Lines>
  <Paragraphs>32</Paragraphs>
  <ScaleCrop>false</ScaleCrop>
  <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Bishop</dc:creator>
  <cp:keywords/>
  <dc:description/>
  <cp:lastModifiedBy>Kamal Rana (VicGrid)</cp:lastModifiedBy>
  <cp:revision>30</cp:revision>
  <dcterms:created xsi:type="dcterms:W3CDTF">2026-05-29T00:34:00Z</dcterms:created>
  <dcterms:modified xsi:type="dcterms:W3CDTF">2026-06-23T00:35:00Z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c942c74d-fc73-42b1-804e-4d35fdd6af79</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3265d14d,20cff042,41f9291b</vt:lpwstr>
  </property>
  <property fmtid="{D5CDD505-2E9C-101B-9397-08002B2CF9AE}" pid="11" name="ClassificationContentMarkingFooterFontProps">
    <vt:lpwstr>#ff0000,11,Aptos</vt:lpwstr>
  </property>
  <property fmtid="{D5CDD505-2E9C-101B-9397-08002B2CF9AE}" pid="12" name="ClassificationContentMarkingFooterText">
    <vt:lpwstr>OFFICIAL </vt:lpwstr>
  </property>
  <property fmtid="{D5CDD505-2E9C-101B-9397-08002B2CF9AE}" pid="13" name="MSIP_Label_4257e2ab-f512-40e2-9c9a-c64247360765_Enabled">
    <vt:lpwstr>true</vt:lpwstr>
  </property>
  <property fmtid="{D5CDD505-2E9C-101B-9397-08002B2CF9AE}" pid="14" name="MSIP_Label_4257e2ab-f512-40e2-9c9a-c64247360765_SetDate">
    <vt:lpwstr>2025-01-09T04:32:36Z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a6e06188-3f87-4b51-aebc-b230a70244c0</vt:lpwstr>
  </property>
  <property fmtid="{D5CDD505-2E9C-101B-9397-08002B2CF9AE}" pid="19" name="MSIP_Label_4257e2ab-f512-40e2-9c9a-c64247360765_ContentBits">
    <vt:lpwstr>2</vt:lpwstr>
  </property>
  <property fmtid="{D5CDD505-2E9C-101B-9397-08002B2CF9AE}" pid="20" name="ClassificationContentMarkingHeaderShapeIds">
    <vt:lpwstr>3dace4cc,7923940b,3a74c9c7</vt:lpwstr>
  </property>
  <property fmtid="{D5CDD505-2E9C-101B-9397-08002B2CF9AE}" pid="21" name="ClassificationContentMarkingHeaderFontProps">
    <vt:lpwstr>#ff0000,11,Aptos</vt:lpwstr>
  </property>
  <property fmtid="{D5CDD505-2E9C-101B-9397-08002B2CF9AE}" pid="22" name="ClassificationContentMarkingHeaderText">
    <vt:lpwstr>OFFICIAL </vt:lpwstr>
  </property>
  <property fmtid="{D5CDD505-2E9C-101B-9397-08002B2CF9AE}" pid="23" name="MSIP_Label_3e358dd8-9e55-4b08-aa42-b14bea5b1102_Enabled">
    <vt:lpwstr>true</vt:lpwstr>
  </property>
  <property fmtid="{D5CDD505-2E9C-101B-9397-08002B2CF9AE}" pid="24" name="MSIP_Label_3e358dd8-9e55-4b08-aa42-b14bea5b1102_SetDate">
    <vt:lpwstr>2026-05-28T03:56:32Z</vt:lpwstr>
  </property>
  <property fmtid="{D5CDD505-2E9C-101B-9397-08002B2CF9AE}" pid="25" name="MSIP_Label_3e358dd8-9e55-4b08-aa42-b14bea5b1102_Method">
    <vt:lpwstr>Privileged</vt:lpwstr>
  </property>
  <property fmtid="{D5CDD505-2E9C-101B-9397-08002B2CF9AE}" pid="26" name="MSIP_Label_3e358dd8-9e55-4b08-aa42-b14bea5b1102_Name">
    <vt:lpwstr>OFFICIAL (VICGOV)</vt:lpwstr>
  </property>
  <property fmtid="{D5CDD505-2E9C-101B-9397-08002B2CF9AE}" pid="27" name="MSIP_Label_3e358dd8-9e55-4b08-aa42-b14bea5b1102_SiteId">
    <vt:lpwstr>722ea0be-3e1c-4b11-ad6f-9401d6856e24</vt:lpwstr>
  </property>
  <property fmtid="{D5CDD505-2E9C-101B-9397-08002B2CF9AE}" pid="28" name="MSIP_Label_3e358dd8-9e55-4b08-aa42-b14bea5b1102_ActionId">
    <vt:lpwstr>6104f031-11a9-46d3-806e-3f5ff594d474</vt:lpwstr>
  </property>
  <property fmtid="{D5CDD505-2E9C-101B-9397-08002B2CF9AE}" pid="29" name="MSIP_Label_3e358dd8-9e55-4b08-aa42-b14bea5b1102_ContentBits">
    <vt:lpwstr>3</vt:lpwstr>
  </property>
  <property fmtid="{D5CDD505-2E9C-101B-9397-08002B2CF9AE}" pid="30" name="MSIP_Label_3e358dd8-9e55-4b08-aa42-b14bea5b1102_Tag">
    <vt:lpwstr>10, 0, 1, 1</vt:lpwstr>
  </property>
</Properties>
</file>