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5935"/>
      </w:tblGrid>
      <w:tr w:rsidR="00AF3454" w:rsidRPr="00D44CF2" w14:paraId="25AD7F34" w14:textId="77777777" w:rsidTr="15C4C7C9">
        <w:trPr>
          <w:trHeight w:val="3404"/>
        </w:trPr>
        <w:tc>
          <w:tcPr>
            <w:tcW w:w="5935" w:type="dxa"/>
            <w:vAlign w:val="bottom"/>
          </w:tcPr>
          <w:p w14:paraId="438A24AB" w14:textId="0DCCE286" w:rsidR="00AF3454" w:rsidRPr="00D44CF2" w:rsidRDefault="00835F81" w:rsidP="00AF3454">
            <w:pPr>
              <w:pStyle w:val="Cover-Title"/>
            </w:pPr>
            <w:r w:rsidRPr="00D44CF2">
              <w:t>V</w:t>
            </w:r>
            <w:bookmarkStart w:id="0" w:name="_Ref177639370"/>
            <w:bookmarkEnd w:id="0"/>
            <w:r w:rsidRPr="00D44CF2">
              <w:t>ictorian Annual Planning Report</w:t>
            </w:r>
          </w:p>
        </w:tc>
      </w:tr>
      <w:tr w:rsidR="00AF3454" w:rsidRPr="00D44CF2" w14:paraId="6942248F" w14:textId="77777777" w:rsidTr="15C4C7C9">
        <w:trPr>
          <w:trHeight w:val="555"/>
        </w:trPr>
        <w:tc>
          <w:tcPr>
            <w:tcW w:w="5935" w:type="dxa"/>
          </w:tcPr>
          <w:p w14:paraId="0BF5A185" w14:textId="6CD4CDF3" w:rsidR="00AF3454" w:rsidRPr="00D44CF2" w:rsidRDefault="00C83F9A" w:rsidP="00633D7D">
            <w:pPr>
              <w:pStyle w:val="Cover-Month"/>
            </w:pPr>
            <w:r w:rsidRPr="00D44CF2">
              <w:t>October</w:t>
            </w:r>
            <w:r w:rsidR="00633D7D" w:rsidRPr="00D44CF2">
              <w:t xml:space="preserve"> </w:t>
            </w:r>
            <w:r w:rsidR="00835F81" w:rsidRPr="00D44CF2">
              <w:t>202</w:t>
            </w:r>
            <w:r w:rsidR="001A5C10" w:rsidRPr="00D44CF2">
              <w:t>5</w:t>
            </w:r>
          </w:p>
        </w:tc>
      </w:tr>
      <w:tr w:rsidR="00AF3454" w:rsidRPr="00D44CF2" w14:paraId="6FCB8D2D" w14:textId="77777777" w:rsidTr="15C4C7C9">
        <w:trPr>
          <w:trHeight w:val="3226"/>
        </w:trPr>
        <w:tc>
          <w:tcPr>
            <w:tcW w:w="5935" w:type="dxa"/>
          </w:tcPr>
          <w:p w14:paraId="671D72D7" w14:textId="4A5A238C" w:rsidR="00633D7D" w:rsidRPr="00D44CF2" w:rsidRDefault="00C83F9A" w:rsidP="00C83F9A">
            <w:pPr>
              <w:pStyle w:val="Subtitle"/>
            </w:pPr>
            <w:r w:rsidRPr="00D44CF2">
              <w:t xml:space="preserve">Published by AEMO Victorian Planning under its declared network functions in Victoria </w:t>
            </w:r>
          </w:p>
        </w:tc>
      </w:tr>
    </w:tbl>
    <w:p w14:paraId="6EF3E6D7" w14:textId="77777777" w:rsidR="00AF3454" w:rsidRPr="00D44CF2" w:rsidRDefault="00AF3454" w:rsidP="00845F17">
      <w:pPr>
        <w:pStyle w:val="BodyText"/>
      </w:pPr>
    </w:p>
    <w:p w14:paraId="1DEBAABD" w14:textId="77777777" w:rsidR="00AF3454" w:rsidRPr="00D44CF2" w:rsidRDefault="00AF3454" w:rsidP="00845F17">
      <w:pPr>
        <w:pStyle w:val="BodyText"/>
        <w:sectPr w:rsidR="00AF3454" w:rsidRPr="00D44CF2" w:rsidSect="00AE5141">
          <w:headerReference w:type="default" r:id="rId12"/>
          <w:pgSz w:w="11907" w:h="16840" w:code="9"/>
          <w:pgMar w:top="1985" w:right="907" w:bottom="1418" w:left="907" w:header="788" w:footer="471" w:gutter="0"/>
          <w:cols w:space="708"/>
          <w:docGrid w:linePitch="360"/>
        </w:sectPr>
      </w:pPr>
    </w:p>
    <w:tbl>
      <w:tblPr>
        <w:tblStyle w:val="AEMO-Table1"/>
        <w:tblW w:w="0" w:type="auto"/>
        <w:tblBorders>
          <w:bottom w:val="none" w:sz="0" w:space="0" w:color="auto"/>
          <w:insideH w:val="none" w:sz="0" w:space="0" w:color="auto"/>
        </w:tblBorders>
        <w:tblLook w:val="0600" w:firstRow="0" w:lastRow="0" w:firstColumn="0" w:lastColumn="0" w:noHBand="1" w:noVBand="1"/>
      </w:tblPr>
      <w:tblGrid>
        <w:gridCol w:w="2694"/>
        <w:gridCol w:w="7172"/>
      </w:tblGrid>
      <w:tr w:rsidR="003314FA" w:rsidRPr="00D44CF2" w14:paraId="5D5481DB" w14:textId="77777777" w:rsidTr="009F5BA9">
        <w:tc>
          <w:tcPr>
            <w:tcW w:w="2694" w:type="dxa"/>
          </w:tcPr>
          <w:p w14:paraId="7501C609" w14:textId="77777777" w:rsidR="003314FA" w:rsidRPr="00D44CF2" w:rsidRDefault="003314FA" w:rsidP="009F5BA9">
            <w:pPr>
              <w:pStyle w:val="BodyText"/>
              <w:rPr>
                <w:sz w:val="18"/>
                <w:szCs w:val="22"/>
              </w:rPr>
            </w:pPr>
            <w:r w:rsidRPr="00D44CF2">
              <w:rPr>
                <w:noProof/>
              </w:rPr>
              <w:lastRenderedPageBreak/>
              <w:drawing>
                <wp:inline distT="0" distB="0" distL="0" distR="0" wp14:anchorId="37F66632" wp14:editId="21B08880">
                  <wp:extent cx="1423687" cy="2441763"/>
                  <wp:effectExtent l="0" t="0" r="5080" b="0"/>
                  <wp:docPr id="1004363655" name="Picture 3" descr="A close-up of a colorful design&#10;&#10;Description automatically generated">
                    <a:extLst xmlns:a="http://schemas.openxmlformats.org/drawingml/2006/main">
                      <a:ext uri="{FF2B5EF4-FFF2-40B4-BE49-F238E27FC236}">
                        <a16:creationId xmlns:a16="http://schemas.microsoft.com/office/drawing/2014/main" id="{DEB0EF41-6D0F-98B4-4602-CFBCEDBD3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3655" name="Picture 3" descr="A close-up of a colorful design&#10;&#10;Description automatically generated">
                            <a:extLst>
                              <a:ext uri="{FF2B5EF4-FFF2-40B4-BE49-F238E27FC236}">
                                <a16:creationId xmlns:a16="http://schemas.microsoft.com/office/drawing/2014/main" id="{DEB0EF41-6D0F-98B4-4602-CFBCEDBD3C4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
                          <a:stretch/>
                        </pic:blipFill>
                        <pic:spPr bwMode="auto">
                          <a:xfrm>
                            <a:off x="0" y="0"/>
                            <a:ext cx="1430264" cy="2453044"/>
                          </a:xfrm>
                          <a:prstGeom prst="rect">
                            <a:avLst/>
                          </a:prstGeom>
                          <a:ln>
                            <a:noFill/>
                          </a:ln>
                          <a:extLst>
                            <a:ext uri="{53640926-AAD7-44D8-BBD7-CCE9431645EC}">
                              <a14:shadowObscured xmlns:a14="http://schemas.microsoft.com/office/drawing/2010/main"/>
                            </a:ext>
                          </a:extLst>
                        </pic:spPr>
                      </pic:pic>
                    </a:graphicData>
                  </a:graphic>
                </wp:inline>
              </w:drawing>
            </w:r>
          </w:p>
        </w:tc>
        <w:tc>
          <w:tcPr>
            <w:tcW w:w="7172" w:type="dxa"/>
          </w:tcPr>
          <w:p w14:paraId="60173C02" w14:textId="77777777" w:rsidR="003314FA" w:rsidRPr="00D44CF2" w:rsidRDefault="003314FA" w:rsidP="009F5BA9">
            <w:pPr>
              <w:pStyle w:val="BodyText"/>
              <w:rPr>
                <w:b/>
                <w:bCs/>
                <w:sz w:val="18"/>
                <w:szCs w:val="18"/>
              </w:rPr>
            </w:pPr>
            <w:r w:rsidRPr="00D44CF2">
              <w:rPr>
                <w:b/>
                <w:bCs/>
                <w:sz w:val="18"/>
                <w:szCs w:val="18"/>
              </w:rPr>
              <w:t>We acknowledge the Traditional Custodians of the land, seas and waters across Australia. We honour the wisdom of Aboriginal and Torres Strait Islander Elders past and present and embrace future generations.</w:t>
            </w:r>
          </w:p>
          <w:p w14:paraId="7665F290" w14:textId="77777777" w:rsidR="003314FA" w:rsidRPr="00D44CF2" w:rsidRDefault="003314FA" w:rsidP="009F5BA9">
            <w:pPr>
              <w:pStyle w:val="BodyText"/>
              <w:rPr>
                <w:b/>
                <w:sz w:val="18"/>
                <w:szCs w:val="18"/>
              </w:rPr>
            </w:pPr>
            <w:r w:rsidRPr="00D44CF2">
              <w:rPr>
                <w:b/>
                <w:bCs/>
                <w:sz w:val="18"/>
                <w:szCs w:val="18"/>
              </w:rPr>
              <w:t>We acknowledge that, wherever we work, we do so on Aboriginal and Torres Strait Islander lands. We pay respect to the world's oldest continuing culture and First Nations peoples' deep and continuing connection to Country; and hope that our work can benefit both people and Country.</w:t>
            </w:r>
          </w:p>
          <w:p w14:paraId="40177659" w14:textId="77777777" w:rsidR="003314FA" w:rsidRPr="00D44CF2" w:rsidRDefault="003314FA" w:rsidP="009F5BA9">
            <w:pPr>
              <w:pStyle w:val="BodyText"/>
              <w:rPr>
                <w:b/>
                <w:sz w:val="14"/>
                <w:szCs w:val="18"/>
              </w:rPr>
            </w:pPr>
          </w:p>
          <w:p w14:paraId="5F240DDF" w14:textId="77777777" w:rsidR="003314FA" w:rsidRPr="00D44CF2" w:rsidRDefault="003314FA" w:rsidP="009F5BA9">
            <w:pPr>
              <w:pStyle w:val="BodyText"/>
              <w:rPr>
                <w:sz w:val="16"/>
                <w:szCs w:val="18"/>
              </w:rPr>
            </w:pPr>
            <w:r w:rsidRPr="00D44CF2">
              <w:rPr>
                <w:sz w:val="16"/>
                <w:szCs w:val="18"/>
              </w:rPr>
              <w:t>'Journey of unity: AEMO's Reconciliation Path' by Lani Balzan</w:t>
            </w:r>
          </w:p>
          <w:p w14:paraId="0535002D" w14:textId="2EEC24A6" w:rsidR="003314FA" w:rsidRPr="00D44CF2" w:rsidRDefault="003314FA" w:rsidP="009F5BA9">
            <w:pPr>
              <w:pStyle w:val="BodyText"/>
              <w:rPr>
                <w:sz w:val="16"/>
                <w:szCs w:val="18"/>
              </w:rPr>
            </w:pPr>
            <w:r w:rsidRPr="00D44CF2">
              <w:rPr>
                <w:sz w:val="16"/>
                <w:szCs w:val="18"/>
              </w:rPr>
              <w:t xml:space="preserve">AEMO Group is proud to have launched its first </w:t>
            </w:r>
            <w:hyperlink r:id="rId14" w:history="1">
              <w:r w:rsidRPr="00D44CF2">
                <w:rPr>
                  <w:rStyle w:val="Hyperlink"/>
                  <w:sz w:val="16"/>
                  <w:szCs w:val="18"/>
                </w:rPr>
                <w:t>Reconciliation Action Plan</w:t>
              </w:r>
            </w:hyperlink>
            <w:r w:rsidRPr="00D44CF2">
              <w:rPr>
                <w:sz w:val="16"/>
                <w:szCs w:val="18"/>
              </w:rPr>
              <w:t xml:space="preserve"> in May 2024. 'Journey of unity: AEMO's Reconciliation Path' was created by Wiradjuri artist Lani Balzan to visually narrate our ongoing journey towards reconciliation</w:t>
            </w:r>
            <w:r w:rsidR="00DA1A6F" w:rsidRPr="00D44CF2">
              <w:rPr>
                <w:sz w:val="16"/>
                <w:szCs w:val="18"/>
              </w:rPr>
              <w:t xml:space="preserve"> – </w:t>
            </w:r>
            <w:r w:rsidRPr="00D44CF2">
              <w:rPr>
                <w:sz w:val="16"/>
                <w:szCs w:val="18"/>
              </w:rPr>
              <w:t>a collaborative endeavour that honours First Nations cultures, fosters mutual understanding, and paves the way for a brighter, more inclusive future.</w:t>
            </w:r>
          </w:p>
        </w:tc>
      </w:tr>
    </w:tbl>
    <w:p w14:paraId="0E06A1A7" w14:textId="77777777" w:rsidR="00BF4A58" w:rsidRPr="00D44CF2" w:rsidRDefault="00BF4A58" w:rsidP="003314FA">
      <w:pPr>
        <w:pStyle w:val="Heading-P2"/>
      </w:pPr>
      <w:r w:rsidRPr="00D44CF2">
        <w:t xml:space="preserve">Important </w:t>
      </w:r>
      <w:r w:rsidR="00977CF8" w:rsidRPr="00D44CF2">
        <w:t>notice</w:t>
      </w:r>
    </w:p>
    <w:p w14:paraId="2F743725" w14:textId="77777777" w:rsidR="00FB07B8" w:rsidRPr="00D44CF2" w:rsidRDefault="00FB07B8" w:rsidP="00FB07B8">
      <w:pPr>
        <w:pStyle w:val="ImportantNotice-Subheading"/>
      </w:pPr>
      <w:r w:rsidRPr="00D44CF2">
        <w:t xml:space="preserve">Purpose </w:t>
      </w:r>
    </w:p>
    <w:p w14:paraId="0841EF29" w14:textId="77777777" w:rsidR="00BA2976" w:rsidRPr="00D44CF2" w:rsidRDefault="00BA2976" w:rsidP="00BA2976">
      <w:pPr>
        <w:pStyle w:val="ImportantNoticeBody"/>
      </w:pPr>
      <w:r w:rsidRPr="00D44CF2">
        <w:t xml:space="preserve">The purpose of this publication is to provide information relating to electricity supply, demand, network capability, and development for Victoria’s electricity transmission declared shared network. </w:t>
      </w:r>
    </w:p>
    <w:p w14:paraId="426529ED" w14:textId="2EB2CA45" w:rsidR="00FB07B8" w:rsidRPr="00D44CF2" w:rsidRDefault="00BA2976" w:rsidP="00BA2976">
      <w:pPr>
        <w:pStyle w:val="ImportantNoticeBody"/>
      </w:pPr>
      <w:r w:rsidRPr="00D44CF2" w:rsidDel="00DD1B54">
        <w:t>AEMO Victorian Planning (</w:t>
      </w:r>
      <w:r w:rsidRPr="00D44CF2">
        <w:t>AVP</w:t>
      </w:r>
      <w:r w:rsidRPr="00D44CF2" w:rsidDel="00DD1B54">
        <w:t>)</w:t>
      </w:r>
      <w:r w:rsidRPr="00D44CF2">
        <w:t xml:space="preserve"> publishes the Victorian Annual Planning Report (VAPR) in accordance with clause 5.12 of the National Electricity Rules. This publication is generally based on information available to AVP as at 30 June </w:t>
      </w:r>
      <w:r w:rsidR="00BB348C" w:rsidRPr="00D44CF2">
        <w:t>202</w:t>
      </w:r>
      <w:r w:rsidR="004830C7" w:rsidRPr="00D44CF2">
        <w:t>5</w:t>
      </w:r>
      <w:r w:rsidRPr="00D44CF2">
        <w:t>, although AVP has incorporated more recent information where practical.</w:t>
      </w:r>
    </w:p>
    <w:p w14:paraId="3E063753" w14:textId="77777777" w:rsidR="00FB07B8" w:rsidRPr="00D44CF2" w:rsidRDefault="00FB07B8" w:rsidP="00FB07B8">
      <w:pPr>
        <w:pStyle w:val="ImportantNotice-Subheading"/>
      </w:pPr>
      <w:r w:rsidRPr="00D44CF2">
        <w:t>Disclaimer</w:t>
      </w:r>
    </w:p>
    <w:p w14:paraId="15EAC622" w14:textId="77777777" w:rsidR="00660CCB" w:rsidRPr="00D44CF2" w:rsidRDefault="00660CCB" w:rsidP="00660CCB">
      <w:pPr>
        <w:pStyle w:val="ImportantNoticeBody"/>
      </w:pPr>
      <w:r w:rsidRPr="00D44CF2">
        <w:t xml:space="preserve">AEMO has made reasonable efforts to ensure the quality of the information in this publication, but cannot guarantee that information, forecasts, and assumptions are accurate, complete or appropriate for your circumstances.  </w:t>
      </w:r>
    </w:p>
    <w:p w14:paraId="6ABFBF4B" w14:textId="77777777" w:rsidR="00660CCB" w:rsidRPr="00D44CF2" w:rsidRDefault="00660CCB" w:rsidP="00660CCB">
      <w:pPr>
        <w:pStyle w:val="ImportantNoticeBody"/>
      </w:pPr>
      <w:r w:rsidRPr="00D44CF2">
        <w:t>Modelling work performed as part of preparing this publication inherently requires assumptions about future behaviours and market interactions, which may result in forecasts that deviate from future conditions. There will usually be differences between estimated and actual results, because events and circumstances frequently do not occur as expected, and those differences may be material.</w:t>
      </w:r>
    </w:p>
    <w:p w14:paraId="0F8536E8" w14:textId="591AA23F" w:rsidR="00FB07B8" w:rsidRPr="00D44CF2" w:rsidRDefault="00660CCB" w:rsidP="00660CCB">
      <w:pPr>
        <w:pStyle w:val="ImportantNoticeBody"/>
      </w:pPr>
      <w:r w:rsidRPr="00D44CF2">
        <w:t>This publication does not include all of the information that an investor, participant, or potential participant in the National Electricity Market might require and does not amount to a recommendation of any investment. Anyone proposing to use the information in this publication (which includes information and forecasts from third parties) should independently verify its accuracy, completeness and suitability for purpose, and obtain independent and specific advice from appropriate experts</w:t>
      </w:r>
      <w:r w:rsidR="00FB07B8" w:rsidRPr="00D44CF2">
        <w:t>.</w:t>
      </w:r>
    </w:p>
    <w:p w14:paraId="04982E43" w14:textId="77777777" w:rsidR="00FB07B8" w:rsidRPr="00D44CF2" w:rsidRDefault="00FB07B8" w:rsidP="00FB07B8">
      <w:pPr>
        <w:pStyle w:val="ImportantNoticeBody"/>
      </w:pPr>
      <w:r w:rsidRPr="00D44CF2">
        <w:t>Accordingly, to the maximum extent permitted by law, AEMO and its officers, employees and consultants involved in the preparation of this document:</w:t>
      </w:r>
    </w:p>
    <w:p w14:paraId="5D337ADB" w14:textId="77777777" w:rsidR="00FB07B8" w:rsidRPr="00D44CF2" w:rsidRDefault="00FB07B8" w:rsidP="00FB07B8">
      <w:pPr>
        <w:pStyle w:val="ImportantNotice-Bullet"/>
        <w:ind w:left="284" w:hanging="218"/>
      </w:pPr>
      <w:r w:rsidRPr="00D44CF2">
        <w:t>make no representation or warranty, express or implied, as to the currency, accuracy, reliability or completeness of the information in this document; and</w:t>
      </w:r>
    </w:p>
    <w:p w14:paraId="1AFD1E72" w14:textId="07A1562C" w:rsidR="00FB07B8" w:rsidRPr="00D44CF2" w:rsidRDefault="00FB07B8" w:rsidP="00FB07B8">
      <w:pPr>
        <w:pStyle w:val="ImportantNotice-Bullet"/>
        <w:ind w:left="284" w:hanging="218"/>
      </w:pPr>
      <w:r w:rsidRPr="00D44CF2">
        <w:t>are not liable (whether by reason of negligence or otherwise) for any statements or representations in this document, or any omissions from it, or for any use or reliance on the information in it.</w:t>
      </w:r>
    </w:p>
    <w:p w14:paraId="7B85AAB1" w14:textId="77777777" w:rsidR="00FB07B8" w:rsidRPr="00D44CF2" w:rsidRDefault="00FB07B8" w:rsidP="00FB07B8">
      <w:pPr>
        <w:pStyle w:val="ImportantNotice-Subheading"/>
      </w:pPr>
      <w:bookmarkStart w:id="1" w:name="_Hlk103342624"/>
      <w:r w:rsidRPr="00D44CF2">
        <w:t>Copyright</w:t>
      </w:r>
    </w:p>
    <w:p w14:paraId="51F239BE" w14:textId="193A2BD1" w:rsidR="00FB07B8" w:rsidRPr="00D44CF2" w:rsidRDefault="00FB07B8" w:rsidP="00FB07B8">
      <w:pPr>
        <w:pStyle w:val="ImportantNoticeBody"/>
      </w:pPr>
      <w:r w:rsidRPr="00D44CF2">
        <w:t>© 202</w:t>
      </w:r>
      <w:r w:rsidR="004830C7" w:rsidRPr="00D44CF2">
        <w:t>5</w:t>
      </w:r>
      <w:r w:rsidRPr="00D44CF2">
        <w:t xml:space="preserve"> Australian Energy Market Operator Limited. The material in this publication may be used in accordance with the </w:t>
      </w:r>
      <w:hyperlink r:id="rId15" w:anchor=":~:text=In%20addition%20to%20the%20uses%20permitted%20under%20copyright,permission%20to%20use%20AEMO%20Material%20in%20this%20way." w:history="1">
        <w:r w:rsidRPr="00D44CF2">
          <w:rPr>
            <w:rStyle w:val="Hyperlink"/>
          </w:rPr>
          <w:t>copyright permissions on AEMO’s website</w:t>
        </w:r>
      </w:hyperlink>
      <w:r w:rsidRPr="00D44CF2">
        <w:t>.</w:t>
      </w:r>
    </w:p>
    <w:bookmarkEnd w:id="1"/>
    <w:p w14:paraId="55F0AF81" w14:textId="77777777" w:rsidR="0090403D" w:rsidRPr="00D44CF2" w:rsidRDefault="0090403D" w:rsidP="009F5BA9">
      <w:pPr>
        <w:pStyle w:val="TableText"/>
        <w:tabs>
          <w:tab w:val="clear" w:pos="1980"/>
          <w:tab w:val="left" w:pos="1944"/>
          <w:tab w:val="left" w:pos="5960"/>
        </w:tabs>
        <w:ind w:left="108"/>
      </w:pPr>
    </w:p>
    <w:p w14:paraId="0D89D291" w14:textId="77777777" w:rsidR="0090403D" w:rsidRPr="00D44CF2" w:rsidRDefault="0090403D" w:rsidP="009F5BA9">
      <w:pPr>
        <w:pStyle w:val="TableText"/>
        <w:tabs>
          <w:tab w:val="clear" w:pos="1980"/>
          <w:tab w:val="left" w:pos="1944"/>
          <w:tab w:val="left" w:pos="5960"/>
        </w:tabs>
        <w:ind w:left="108"/>
      </w:pPr>
    </w:p>
    <w:p w14:paraId="7B5FAAF6" w14:textId="77777777" w:rsidR="00A1084A" w:rsidRPr="00D44CF2" w:rsidRDefault="00A1084A" w:rsidP="00845F17">
      <w:pPr>
        <w:pStyle w:val="BodyText"/>
        <w:sectPr w:rsidR="00A1084A" w:rsidRPr="00D44CF2" w:rsidSect="003314FA">
          <w:headerReference w:type="default" r:id="rId16"/>
          <w:footerReference w:type="default" r:id="rId17"/>
          <w:pgSz w:w="11907" w:h="16840" w:code="9"/>
          <w:pgMar w:top="426" w:right="907" w:bottom="567" w:left="1134" w:header="86" w:footer="471" w:gutter="0"/>
          <w:cols w:space="708"/>
          <w:docGrid w:linePitch="360"/>
        </w:sectPr>
      </w:pPr>
    </w:p>
    <w:p w14:paraId="202E989A" w14:textId="04AB81ED" w:rsidR="009A123E" w:rsidRPr="00D44CF2" w:rsidRDefault="007C64CE" w:rsidP="00714005">
      <w:pPr>
        <w:pStyle w:val="Heading-Nonumber"/>
        <w:spacing w:before="0" w:line="240" w:lineRule="auto"/>
      </w:pPr>
      <w:bookmarkStart w:id="2" w:name="_Toc499732731"/>
      <w:bookmarkStart w:id="3" w:name="_Toc212023266"/>
      <w:r w:rsidRPr="00D44CF2">
        <w:lastRenderedPageBreak/>
        <w:t>Executive summary</w:t>
      </w:r>
      <w:bookmarkEnd w:id="2"/>
      <w:bookmarkEnd w:id="3"/>
    </w:p>
    <w:tbl>
      <w:tblPr>
        <w:tblStyle w:val="AEMO-Table1"/>
        <w:tblW w:w="0" w:type="auto"/>
        <w:tblLook w:val="0400" w:firstRow="0" w:lastRow="0" w:firstColumn="0" w:lastColumn="0" w:noHBand="0" w:noVBand="1"/>
      </w:tblPr>
      <w:tblGrid>
        <w:gridCol w:w="10093"/>
      </w:tblGrid>
      <w:tr w:rsidR="00857E47" w:rsidRPr="00D44CF2" w14:paraId="53E256CE" w14:textId="77777777" w:rsidTr="25470230">
        <w:tc>
          <w:tcPr>
            <w:tcW w:w="10093" w:type="dxa"/>
            <w:tcBorders>
              <w:top w:val="nil"/>
              <w:bottom w:val="nil"/>
            </w:tcBorders>
            <w:shd w:val="clear" w:color="auto" w:fill="E6CEEB" w:themeFill="accent1" w:themeFillTint="33"/>
          </w:tcPr>
          <w:p w14:paraId="61B107A6" w14:textId="2C9D117C" w:rsidR="008906D6" w:rsidRPr="00D44CF2" w:rsidRDefault="00857E47" w:rsidP="009A1D79">
            <w:pPr>
              <w:pStyle w:val="BodyText"/>
              <w:spacing w:before="100"/>
            </w:pPr>
            <w:r w:rsidRPr="00D44CF2">
              <w:rPr>
                <w:b/>
                <w:bCs/>
              </w:rPr>
              <w:t xml:space="preserve">The </w:t>
            </w:r>
            <w:r w:rsidR="0075518B" w:rsidRPr="00D44CF2">
              <w:rPr>
                <w:b/>
                <w:bCs/>
              </w:rPr>
              <w:t xml:space="preserve">2025 </w:t>
            </w:r>
            <w:r w:rsidRPr="00D44CF2">
              <w:rPr>
                <w:b/>
                <w:bCs/>
                <w:i/>
                <w:iCs/>
              </w:rPr>
              <w:t>Victori</w:t>
            </w:r>
            <w:r w:rsidR="00AA5448" w:rsidRPr="00D44CF2">
              <w:rPr>
                <w:b/>
                <w:bCs/>
                <w:i/>
                <w:iCs/>
              </w:rPr>
              <w:t>a</w:t>
            </w:r>
            <w:r w:rsidRPr="00D44CF2">
              <w:rPr>
                <w:b/>
                <w:bCs/>
                <w:i/>
                <w:iCs/>
              </w:rPr>
              <w:t>n</w:t>
            </w:r>
            <w:r w:rsidR="00AA5448" w:rsidRPr="00D44CF2">
              <w:rPr>
                <w:b/>
                <w:bCs/>
                <w:i/>
                <w:iCs/>
              </w:rPr>
              <w:t xml:space="preserve"> A</w:t>
            </w:r>
            <w:r w:rsidRPr="00D44CF2">
              <w:rPr>
                <w:b/>
                <w:bCs/>
                <w:i/>
                <w:iCs/>
              </w:rPr>
              <w:t>nnual</w:t>
            </w:r>
            <w:r w:rsidRPr="00D44CF2">
              <w:rPr>
                <w:b/>
                <w:i/>
              </w:rPr>
              <w:t xml:space="preserve"> Planning Report</w:t>
            </w:r>
            <w:r w:rsidRPr="00D44CF2">
              <w:rPr>
                <w:b/>
                <w:bCs/>
              </w:rPr>
              <w:t xml:space="preserve"> (VAPR) presents </w:t>
            </w:r>
            <w:r w:rsidR="00B969BA" w:rsidRPr="00D44CF2">
              <w:rPr>
                <w:b/>
                <w:bCs/>
              </w:rPr>
              <w:t>AEMO Victorian Planning’s (AVP’s)</w:t>
            </w:r>
            <w:r w:rsidRPr="00D44CF2">
              <w:rPr>
                <w:b/>
                <w:bCs/>
              </w:rPr>
              <w:t xml:space="preserve"> </w:t>
            </w:r>
            <w:r w:rsidR="007F11D1" w:rsidRPr="00D44CF2">
              <w:rPr>
                <w:b/>
                <w:bCs/>
              </w:rPr>
              <w:t xml:space="preserve">annual 10-year </w:t>
            </w:r>
            <w:r w:rsidRPr="00D44CF2">
              <w:rPr>
                <w:b/>
                <w:bCs/>
              </w:rPr>
              <w:t xml:space="preserve">Transmission Development Plan </w:t>
            </w:r>
            <w:r w:rsidR="00B969BA" w:rsidRPr="00D44CF2">
              <w:rPr>
                <w:b/>
                <w:bCs/>
              </w:rPr>
              <w:t xml:space="preserve">for </w:t>
            </w:r>
            <w:r w:rsidR="007F11D1" w:rsidRPr="00D44CF2">
              <w:rPr>
                <w:b/>
                <w:bCs/>
              </w:rPr>
              <w:t>Victoria.</w:t>
            </w:r>
            <w:r w:rsidR="00B969BA" w:rsidRPr="00D44CF2">
              <w:rPr>
                <w:b/>
                <w:bCs/>
              </w:rPr>
              <w:t xml:space="preserve"> </w:t>
            </w:r>
            <w:r w:rsidR="00FB7F41" w:rsidRPr="00D44CF2">
              <w:t>The VAPR compl</w:t>
            </w:r>
            <w:r w:rsidR="00714005" w:rsidRPr="00D44CF2">
              <w:t>e</w:t>
            </w:r>
            <w:r w:rsidR="00FB7F41" w:rsidRPr="00D44CF2">
              <w:t>ments</w:t>
            </w:r>
            <w:r w:rsidR="00FB7F41" w:rsidRPr="00D44CF2" w:rsidDel="00400967">
              <w:t xml:space="preserve"> </w:t>
            </w:r>
            <w:r w:rsidR="00FB7F41" w:rsidRPr="00D44CF2">
              <w:t xml:space="preserve">VicGrid’s Victorian Transmission Plan (VTP) by providing more frequent updates in the shorter 10-year planning horizon to address changes in the network between VTP publications. The VAPR also takes inputs from the reform from the </w:t>
            </w:r>
            <w:r w:rsidR="00AC699C" w:rsidRPr="00D44CF2">
              <w:t>Victorian Transmission Investment Framework (</w:t>
            </w:r>
            <w:r w:rsidR="00FB7F41" w:rsidRPr="00D44CF2">
              <w:t>VTIF</w:t>
            </w:r>
            <w:r w:rsidR="00AC699C" w:rsidRPr="00D44CF2">
              <w:t>)</w:t>
            </w:r>
            <w:r w:rsidR="00FB7F41" w:rsidRPr="00D44CF2">
              <w:t xml:space="preserve"> and reflects them annually in the Transmission Development Plan for Victoria.</w:t>
            </w:r>
          </w:p>
          <w:p w14:paraId="4D141EF9" w14:textId="200101DC" w:rsidR="00857E47" w:rsidRPr="00D44CF2" w:rsidRDefault="001515F0" w:rsidP="009A1D79">
            <w:pPr>
              <w:pStyle w:val="BodyText"/>
              <w:spacing w:before="100"/>
            </w:pPr>
            <w:r w:rsidRPr="00D44CF2">
              <w:t xml:space="preserve">The </w:t>
            </w:r>
            <w:r w:rsidR="0075518B" w:rsidRPr="00D44CF2">
              <w:t xml:space="preserve">2025 </w:t>
            </w:r>
            <w:r w:rsidRPr="00D44CF2">
              <w:t>plan</w:t>
            </w:r>
            <w:r w:rsidR="00857E47" w:rsidRPr="00D44CF2">
              <w:t xml:space="preserve"> reiterates the need to </w:t>
            </w:r>
            <w:r w:rsidR="0023115E" w:rsidRPr="00D44CF2">
              <w:t>progress</w:t>
            </w:r>
            <w:r w:rsidR="00857E47" w:rsidRPr="00D44CF2">
              <w:t xml:space="preserve"> key transmission projects to deliver the necessary infrastructure to enable </w:t>
            </w:r>
            <w:r w:rsidRPr="00D44CF2">
              <w:t xml:space="preserve">the </w:t>
            </w:r>
            <w:r w:rsidR="00857E47" w:rsidRPr="00D44CF2">
              <w:t>energy transition</w:t>
            </w:r>
            <w:r w:rsidR="00E722CB" w:rsidRPr="00D44CF2">
              <w:t xml:space="preserve"> and maximise benefits to Victorian household and business consumers</w:t>
            </w:r>
            <w:r w:rsidR="00857E47" w:rsidRPr="00D44CF2">
              <w:t xml:space="preserve">. </w:t>
            </w:r>
            <w:r w:rsidR="006D5FA2" w:rsidRPr="00D44CF2">
              <w:t xml:space="preserve">Planned </w:t>
            </w:r>
            <w:r w:rsidR="004707DD" w:rsidRPr="00D44CF2">
              <w:t>network</w:t>
            </w:r>
            <w:r w:rsidR="00857E47" w:rsidRPr="00D44CF2">
              <w:t xml:space="preserve"> </w:t>
            </w:r>
            <w:r w:rsidR="0048283D" w:rsidRPr="00D44CF2">
              <w:t xml:space="preserve">investments – </w:t>
            </w:r>
            <w:r w:rsidR="00857E47" w:rsidRPr="00D44CF2">
              <w:t>includ</w:t>
            </w:r>
            <w:r w:rsidR="004707DD" w:rsidRPr="00D44CF2">
              <w:t>ing</w:t>
            </w:r>
            <w:r w:rsidR="00857E47" w:rsidRPr="00D44CF2">
              <w:t xml:space="preserve"> projects in delivery </w:t>
            </w:r>
            <w:r w:rsidR="004707DD" w:rsidRPr="00D44CF2">
              <w:t>or</w:t>
            </w:r>
            <w:r w:rsidR="00857E47" w:rsidRPr="00D44CF2">
              <w:t xml:space="preserve"> development </w:t>
            </w:r>
            <w:r w:rsidR="000845A6" w:rsidRPr="00D44CF2">
              <w:t xml:space="preserve">that </w:t>
            </w:r>
            <w:r w:rsidR="00857E47" w:rsidRPr="00D44CF2">
              <w:t>unlock lower</w:t>
            </w:r>
            <w:r w:rsidR="009819AE" w:rsidRPr="00D44CF2">
              <w:noBreakHyphen/>
            </w:r>
            <w:r w:rsidR="00857E47" w:rsidRPr="00D44CF2">
              <w:t>cost generation supplies</w:t>
            </w:r>
            <w:r w:rsidR="00781E8C" w:rsidRPr="00D44CF2">
              <w:t xml:space="preserve"> – </w:t>
            </w:r>
            <w:r w:rsidR="00857E47" w:rsidRPr="00D44CF2">
              <w:t>enhanc</w:t>
            </w:r>
            <w:r w:rsidR="00321A86" w:rsidRPr="00D44CF2">
              <w:t>e</w:t>
            </w:r>
            <w:r w:rsidR="00857E47" w:rsidRPr="00D44CF2">
              <w:t xml:space="preserve"> competition, increas</w:t>
            </w:r>
            <w:r w:rsidR="00321A86" w:rsidRPr="00D44CF2">
              <w:t>e</w:t>
            </w:r>
            <w:r w:rsidR="00857E47" w:rsidRPr="00D44CF2">
              <w:t xml:space="preserve"> power system resilience, and improv</w:t>
            </w:r>
            <w:r w:rsidR="00321A86" w:rsidRPr="00D44CF2">
              <w:t>e</w:t>
            </w:r>
            <w:r w:rsidR="00857E47" w:rsidRPr="00D44CF2">
              <w:t xml:space="preserve"> the efficiency of resource sharing between </w:t>
            </w:r>
            <w:r w:rsidR="0048283D" w:rsidRPr="00D44CF2">
              <w:t xml:space="preserve">Victoria and </w:t>
            </w:r>
            <w:r w:rsidR="00857E47" w:rsidRPr="00D44CF2">
              <w:t>neighbouring regions</w:t>
            </w:r>
            <w:r w:rsidR="0048283D" w:rsidRPr="00D44CF2">
              <w:t xml:space="preserve"> in the National Electricity Market (NEM)</w:t>
            </w:r>
            <w:r w:rsidR="00857E47" w:rsidRPr="00D44CF2">
              <w:t>.</w:t>
            </w:r>
          </w:p>
          <w:p w14:paraId="17F506EF" w14:textId="7725D27B" w:rsidR="00857E47" w:rsidRPr="00D44CF2" w:rsidRDefault="00397F2D">
            <w:pPr>
              <w:pStyle w:val="BodyText"/>
            </w:pPr>
            <w:r w:rsidRPr="00D44CF2">
              <w:t xml:space="preserve">The rapid changes in </w:t>
            </w:r>
            <w:r w:rsidR="00857E47" w:rsidRPr="00D44CF2">
              <w:t xml:space="preserve">Victoria’s energy landscape </w:t>
            </w:r>
            <w:r w:rsidRPr="00D44CF2">
              <w:t>are</w:t>
            </w:r>
            <w:r w:rsidR="00857E47" w:rsidRPr="00D44CF2">
              <w:t xml:space="preserve"> driven by consumer choices, energy market participant choices, and state and federal government policies and regulations. </w:t>
            </w:r>
            <w:r w:rsidR="00BE427B" w:rsidRPr="00D44CF2">
              <w:rPr>
                <w:b/>
              </w:rPr>
              <w:t>These</w:t>
            </w:r>
            <w:r w:rsidR="00781E8C" w:rsidRPr="00D44CF2" w:rsidDel="00714005">
              <w:rPr>
                <w:b/>
              </w:rPr>
              <w:t xml:space="preserve"> k</w:t>
            </w:r>
            <w:r w:rsidR="00781E8C" w:rsidRPr="00D44CF2">
              <w:rPr>
                <w:b/>
              </w:rPr>
              <w:t xml:space="preserve">ey </w:t>
            </w:r>
            <w:r w:rsidR="00857E47" w:rsidRPr="00D44CF2">
              <w:rPr>
                <w:b/>
              </w:rPr>
              <w:t xml:space="preserve">changes </w:t>
            </w:r>
            <w:r w:rsidR="00BE427B" w:rsidRPr="00D44CF2">
              <w:rPr>
                <w:b/>
              </w:rPr>
              <w:t xml:space="preserve">are </w:t>
            </w:r>
            <w:r w:rsidR="00857E47" w:rsidRPr="00D44CF2">
              <w:rPr>
                <w:b/>
              </w:rPr>
              <w:t xml:space="preserve">shaping </w:t>
            </w:r>
            <w:r w:rsidR="00281220" w:rsidRPr="00D44CF2">
              <w:rPr>
                <w:b/>
              </w:rPr>
              <w:t>Victoria</w:t>
            </w:r>
            <w:r w:rsidR="007C6C4A" w:rsidRPr="00D44CF2">
              <w:rPr>
                <w:b/>
              </w:rPr>
              <w:t>’s</w:t>
            </w:r>
            <w:r w:rsidR="00857E47" w:rsidRPr="00D44CF2">
              <w:rPr>
                <w:b/>
              </w:rPr>
              <w:t xml:space="preserve"> transmission needs </w:t>
            </w:r>
            <w:r w:rsidR="00151DCF" w:rsidRPr="00D44CF2">
              <w:rPr>
                <w:b/>
              </w:rPr>
              <w:t>over</w:t>
            </w:r>
            <w:r w:rsidR="00857E47" w:rsidRPr="00D44CF2">
              <w:rPr>
                <w:b/>
              </w:rPr>
              <w:t xml:space="preserve"> the next decade</w:t>
            </w:r>
            <w:r w:rsidR="00857E47" w:rsidRPr="00D44CF2">
              <w:t>:</w:t>
            </w:r>
          </w:p>
          <w:p w14:paraId="2E17B573" w14:textId="075633B9" w:rsidR="00857E47" w:rsidRPr="00D44CF2" w:rsidRDefault="00857E47" w:rsidP="00897BB1">
            <w:pPr>
              <w:pStyle w:val="ListBullet"/>
              <w:numPr>
                <w:ilvl w:val="0"/>
                <w:numId w:val="23"/>
              </w:numPr>
            </w:pPr>
            <w:r w:rsidRPr="00D44CF2">
              <w:rPr>
                <w:b/>
              </w:rPr>
              <w:t xml:space="preserve">The geographic location of supply continues to diversify. </w:t>
            </w:r>
            <w:r w:rsidR="00764D0B" w:rsidRPr="00D44CF2">
              <w:t>H</w:t>
            </w:r>
            <w:r w:rsidRPr="00D44CF2">
              <w:t>istorically</w:t>
            </w:r>
            <w:r w:rsidR="00764D0B" w:rsidRPr="00D44CF2">
              <w:t>,</w:t>
            </w:r>
            <w:r w:rsidRPr="00D44CF2">
              <w:t xml:space="preserve"> </w:t>
            </w:r>
            <w:r w:rsidR="00443332" w:rsidRPr="00D44CF2">
              <w:t>Victoria’s</w:t>
            </w:r>
            <w:r w:rsidRPr="00D44CF2">
              <w:t xml:space="preserve"> </w:t>
            </w:r>
            <w:r w:rsidR="006C0AA6" w:rsidRPr="00D44CF2">
              <w:t>electricity</w:t>
            </w:r>
            <w:r w:rsidRPr="00D44CF2">
              <w:t xml:space="preserve"> largely came </w:t>
            </w:r>
            <w:r w:rsidR="00360ED4" w:rsidRPr="00D44CF2">
              <w:t xml:space="preserve">from </w:t>
            </w:r>
            <w:r w:rsidR="00764D0B" w:rsidRPr="00D44CF2">
              <w:t>large brown coal generators in the Latrobe Valley, in</w:t>
            </w:r>
            <w:r w:rsidRPr="00D44CF2">
              <w:t xml:space="preserve"> the east of the state</w:t>
            </w:r>
            <w:r w:rsidR="00764D0B" w:rsidRPr="00D44CF2">
              <w:t xml:space="preserve">. </w:t>
            </w:r>
            <w:r w:rsidR="006C0AA6" w:rsidRPr="00D44CF2">
              <w:t>Now, and increasingly in future</w:t>
            </w:r>
            <w:r w:rsidR="00764D0B" w:rsidRPr="00D44CF2">
              <w:t>,</w:t>
            </w:r>
            <w:r w:rsidRPr="00D44CF2">
              <w:t xml:space="preserve"> supply come</w:t>
            </w:r>
            <w:r w:rsidR="00443332" w:rsidRPr="00D44CF2">
              <w:t>s</w:t>
            </w:r>
            <w:r w:rsidRPr="00D44CF2">
              <w:t xml:space="preserve"> from renewable resources and interconnectors </w:t>
            </w:r>
            <w:r w:rsidR="00E339A1" w:rsidRPr="00D44CF2">
              <w:t xml:space="preserve">throughout </w:t>
            </w:r>
            <w:r w:rsidR="00764D0B" w:rsidRPr="00D44CF2">
              <w:t>Victoria</w:t>
            </w:r>
            <w:r w:rsidRPr="00D44CF2">
              <w:t>.</w:t>
            </w:r>
          </w:p>
          <w:p w14:paraId="5E98C036" w14:textId="505DFA2C" w:rsidR="00857E47" w:rsidRPr="00D44CF2" w:rsidRDefault="00857E47" w:rsidP="00897BB1">
            <w:pPr>
              <w:pStyle w:val="ListBullet"/>
              <w:numPr>
                <w:ilvl w:val="0"/>
                <w:numId w:val="23"/>
              </w:numPr>
            </w:pPr>
            <w:r w:rsidRPr="00D44CF2">
              <w:t>The latest forecasts</w:t>
            </w:r>
            <w:r w:rsidR="002E630D" w:rsidRPr="00D44CF2">
              <w:t>, like previous forecasts, show</w:t>
            </w:r>
            <w:r w:rsidRPr="00D44CF2" w:rsidDel="002E630D">
              <w:t xml:space="preserve"> </w:t>
            </w:r>
            <w:r w:rsidR="007A0A72" w:rsidRPr="00D44CF2">
              <w:rPr>
                <w:b/>
                <w:bCs/>
              </w:rPr>
              <w:t>growth</w:t>
            </w:r>
            <w:r w:rsidR="00D84049" w:rsidRPr="00D44CF2">
              <w:rPr>
                <w:b/>
                <w:bCs/>
              </w:rPr>
              <w:t xml:space="preserve"> in</w:t>
            </w:r>
            <w:r w:rsidR="007A0A72" w:rsidRPr="00D44CF2">
              <w:rPr>
                <w:b/>
                <w:bCs/>
              </w:rPr>
              <w:t xml:space="preserve"> </w:t>
            </w:r>
            <w:r w:rsidRPr="00D44CF2">
              <w:rPr>
                <w:b/>
                <w:bCs/>
              </w:rPr>
              <w:t>electricity</w:t>
            </w:r>
            <w:r w:rsidR="0061728F" w:rsidRPr="00D44CF2">
              <w:rPr>
                <w:b/>
                <w:bCs/>
              </w:rPr>
              <w:t xml:space="preserve"> m</w:t>
            </w:r>
            <w:r w:rsidR="0070293F" w:rsidRPr="00D44CF2">
              <w:rPr>
                <w:b/>
                <w:bCs/>
              </w:rPr>
              <w:t>aximum</w:t>
            </w:r>
            <w:r w:rsidRPr="00D44CF2">
              <w:rPr>
                <w:b/>
                <w:bCs/>
              </w:rPr>
              <w:t xml:space="preserve"> demand</w:t>
            </w:r>
            <w:r w:rsidRPr="00D44CF2">
              <w:t xml:space="preserve"> for the next </w:t>
            </w:r>
            <w:r w:rsidR="00B5779B" w:rsidRPr="00D44CF2">
              <w:t>five</w:t>
            </w:r>
            <w:r w:rsidRPr="00D44CF2">
              <w:t xml:space="preserve"> years</w:t>
            </w:r>
            <w:r w:rsidR="002E630D" w:rsidRPr="00D44CF2">
              <w:t xml:space="preserve">, </w:t>
            </w:r>
            <w:r w:rsidR="00983168" w:rsidRPr="00D44CF2">
              <w:t xml:space="preserve">driven </w:t>
            </w:r>
            <w:r w:rsidR="00F1619E" w:rsidRPr="00D44CF2">
              <w:t xml:space="preserve">by </w:t>
            </w:r>
            <w:r w:rsidR="0093519A" w:rsidRPr="00D44CF2">
              <w:t xml:space="preserve">homes and </w:t>
            </w:r>
            <w:r w:rsidR="00A56789" w:rsidRPr="00D44CF2">
              <w:t>businesses</w:t>
            </w:r>
            <w:r w:rsidR="0093519A" w:rsidRPr="00D44CF2">
              <w:t xml:space="preserve"> switching from gas to</w:t>
            </w:r>
            <w:r w:rsidR="0093519A" w:rsidRPr="00D44CF2" w:rsidDel="00A56789">
              <w:t xml:space="preserve"> </w:t>
            </w:r>
            <w:r w:rsidR="0093519A" w:rsidRPr="00D44CF2">
              <w:t>electricity</w:t>
            </w:r>
            <w:r w:rsidR="00943B82" w:rsidRPr="00D44CF2">
              <w:t xml:space="preserve"> a</w:t>
            </w:r>
            <w:r w:rsidR="009935CF" w:rsidRPr="00D44CF2">
              <w:t xml:space="preserve">nd electrification of transport </w:t>
            </w:r>
            <w:r w:rsidR="002E630D" w:rsidRPr="00D44CF2">
              <w:t>like</w:t>
            </w:r>
            <w:r w:rsidR="009935CF" w:rsidRPr="00D44CF2">
              <w:t xml:space="preserve"> </w:t>
            </w:r>
            <w:r w:rsidR="00B82061" w:rsidRPr="00D44CF2">
              <w:t>electric vehicles (</w:t>
            </w:r>
            <w:r w:rsidR="009935CF" w:rsidRPr="00D44CF2">
              <w:t>E</w:t>
            </w:r>
            <w:r w:rsidR="00B82061" w:rsidRPr="00D44CF2">
              <w:t>Vs)</w:t>
            </w:r>
            <w:r w:rsidR="002E630D" w:rsidRPr="00D44CF2">
              <w:t>, then further</w:t>
            </w:r>
            <w:r w:rsidR="00AC35BC" w:rsidRPr="00D44CF2">
              <w:t xml:space="preserve"> growth in t</w:t>
            </w:r>
            <w:r w:rsidR="00BF4A49" w:rsidRPr="00D44CF2">
              <w:t xml:space="preserve">he </w:t>
            </w:r>
            <w:r w:rsidR="003E6A74" w:rsidRPr="00D44CF2">
              <w:t>5</w:t>
            </w:r>
            <w:r w:rsidR="00781E8C" w:rsidRPr="00D44CF2">
              <w:t>-</w:t>
            </w:r>
            <w:r w:rsidR="003E6A74" w:rsidRPr="00D44CF2">
              <w:t>10 year</w:t>
            </w:r>
            <w:r w:rsidR="00BF4A49" w:rsidRPr="00D44CF2">
              <w:t xml:space="preserve"> maximum demand forecast </w:t>
            </w:r>
            <w:r w:rsidR="00C738F5" w:rsidRPr="00D44CF2">
              <w:t>driven by the connection of</w:t>
            </w:r>
            <w:r w:rsidR="003C6CA4" w:rsidRPr="00D44CF2">
              <w:t xml:space="preserve"> </w:t>
            </w:r>
            <w:r w:rsidRPr="00D44CF2">
              <w:t xml:space="preserve">data centres. </w:t>
            </w:r>
          </w:p>
          <w:p w14:paraId="2512C3BE" w14:textId="2F743855" w:rsidR="00857E47" w:rsidRPr="00D44CF2" w:rsidRDefault="003C6CA4" w:rsidP="00897BB1">
            <w:pPr>
              <w:pStyle w:val="ListBullet"/>
              <w:numPr>
                <w:ilvl w:val="0"/>
                <w:numId w:val="23"/>
              </w:numPr>
            </w:pPr>
            <w:r w:rsidRPr="00D44CF2">
              <w:rPr>
                <w:b/>
                <w:bCs/>
              </w:rPr>
              <w:t>M</w:t>
            </w:r>
            <w:r w:rsidR="00857E47" w:rsidRPr="00D44CF2">
              <w:rPr>
                <w:b/>
                <w:bCs/>
              </w:rPr>
              <w:t>inimum demand from the grid continues to decline</w:t>
            </w:r>
            <w:r w:rsidR="00B82061" w:rsidRPr="00D44CF2">
              <w:rPr>
                <w:b/>
                <w:bCs/>
              </w:rPr>
              <w:t>,</w:t>
            </w:r>
            <w:r w:rsidR="004419B2" w:rsidRPr="00D44CF2">
              <w:rPr>
                <w:b/>
                <w:bCs/>
              </w:rPr>
              <w:t xml:space="preserve"> but </w:t>
            </w:r>
            <w:r w:rsidR="00F37D2E" w:rsidRPr="00D44CF2">
              <w:rPr>
                <w:b/>
                <w:bCs/>
              </w:rPr>
              <w:t xml:space="preserve">more slowly than </w:t>
            </w:r>
            <w:r w:rsidR="00426192" w:rsidRPr="00D44CF2">
              <w:rPr>
                <w:b/>
                <w:bCs/>
              </w:rPr>
              <w:t>previous</w:t>
            </w:r>
            <w:r w:rsidR="00404DE2" w:rsidRPr="00D44CF2">
              <w:rPr>
                <w:b/>
                <w:bCs/>
              </w:rPr>
              <w:t>ly</w:t>
            </w:r>
            <w:r w:rsidR="00426192" w:rsidRPr="00D44CF2">
              <w:rPr>
                <w:b/>
                <w:bCs/>
              </w:rPr>
              <w:t xml:space="preserve"> forecast</w:t>
            </w:r>
            <w:r w:rsidRPr="00D44CF2">
              <w:rPr>
                <w:b/>
                <w:bCs/>
              </w:rPr>
              <w:t xml:space="preserve">. </w:t>
            </w:r>
            <w:r w:rsidR="00676DF9" w:rsidRPr="00D44CF2">
              <w:t xml:space="preserve">As </w:t>
            </w:r>
            <w:r w:rsidR="003E6A74" w:rsidRPr="00D44CF2">
              <w:t>consumers</w:t>
            </w:r>
            <w:r w:rsidR="00B82061" w:rsidRPr="00D44CF2">
              <w:t>’</w:t>
            </w:r>
            <w:r w:rsidR="00676DF9" w:rsidRPr="00D44CF2">
              <w:t xml:space="preserve"> </w:t>
            </w:r>
            <w:r w:rsidR="00E43D66" w:rsidRPr="00D44CF2">
              <w:t xml:space="preserve">distributed photovoltaic (PV) </w:t>
            </w:r>
            <w:r w:rsidR="003E19CD" w:rsidRPr="00D44CF2">
              <w:t xml:space="preserve">investments </w:t>
            </w:r>
            <w:r w:rsidR="00E43D66" w:rsidRPr="00D44CF2">
              <w:t>keep growing an</w:t>
            </w:r>
            <w:r w:rsidR="003E19CD" w:rsidRPr="00D44CF2">
              <w:t>d</w:t>
            </w:r>
            <w:r w:rsidR="00E43D66" w:rsidRPr="00D44CF2">
              <w:t xml:space="preserve"> meeting more </w:t>
            </w:r>
            <w:r w:rsidR="003E19CD" w:rsidRPr="00D44CF2">
              <w:t>of their energy</w:t>
            </w:r>
            <w:r w:rsidR="00297367" w:rsidRPr="00D44CF2">
              <w:t xml:space="preserve"> needs</w:t>
            </w:r>
            <w:r w:rsidR="00B82061" w:rsidRPr="00D44CF2">
              <w:t>,</w:t>
            </w:r>
            <w:r w:rsidR="003E6A74" w:rsidRPr="00D44CF2">
              <w:t xml:space="preserve"> </w:t>
            </w:r>
            <w:r w:rsidR="009B53E4" w:rsidRPr="00D44CF2">
              <w:t xml:space="preserve">their </w:t>
            </w:r>
            <w:r w:rsidR="001A4F0F" w:rsidRPr="00D44CF2">
              <w:t xml:space="preserve">grid </w:t>
            </w:r>
            <w:r w:rsidR="003E6A74" w:rsidRPr="00D44CF2">
              <w:t xml:space="preserve">demand </w:t>
            </w:r>
            <w:r w:rsidR="009B53E4" w:rsidRPr="00D44CF2">
              <w:t>falls</w:t>
            </w:r>
            <w:r w:rsidR="00B82061" w:rsidRPr="00D44CF2">
              <w:t>,</w:t>
            </w:r>
            <w:r w:rsidR="003E6A74" w:rsidRPr="00D44CF2">
              <w:t xml:space="preserve"> but </w:t>
            </w:r>
            <w:r w:rsidR="00B82061" w:rsidRPr="00D44CF2">
              <w:t xml:space="preserve">this decline </w:t>
            </w:r>
            <w:r w:rsidR="003E6A74" w:rsidRPr="00D44CF2">
              <w:t>is forecast to be offset by increased electrification and data centre loads.</w:t>
            </w:r>
            <w:r w:rsidR="00745865" w:rsidRPr="00D44CF2">
              <w:t xml:space="preserve"> </w:t>
            </w:r>
            <w:r w:rsidR="009B53E4" w:rsidRPr="00D44CF2">
              <w:t>Careful planning is needed for secure operation of the power system with v</w:t>
            </w:r>
            <w:r w:rsidR="009D7F2B" w:rsidRPr="00D44CF2">
              <w:t>ery l</w:t>
            </w:r>
            <w:r w:rsidR="000B34B7" w:rsidRPr="00D44CF2">
              <w:t xml:space="preserve">ow </w:t>
            </w:r>
            <w:r w:rsidR="006007E8" w:rsidRPr="00D44CF2">
              <w:t xml:space="preserve">levels of demand </w:t>
            </w:r>
            <w:r w:rsidR="009D7F2B" w:rsidRPr="00D44CF2">
              <w:t>from the transmission network</w:t>
            </w:r>
            <w:r w:rsidR="00857E47" w:rsidRPr="00D44CF2">
              <w:t>.</w:t>
            </w:r>
          </w:p>
          <w:p w14:paraId="2B9C4CE5" w14:textId="7FBA853E" w:rsidR="00E04F75" w:rsidRPr="00D44CF2" w:rsidRDefault="00857E47">
            <w:pPr>
              <w:pStyle w:val="BodyText"/>
            </w:pPr>
            <w:r w:rsidRPr="00D44CF2">
              <w:t>The 202</w:t>
            </w:r>
            <w:r w:rsidR="000B44B3" w:rsidRPr="00D44CF2">
              <w:t>5</w:t>
            </w:r>
            <w:r w:rsidRPr="00D44CF2">
              <w:t xml:space="preserve"> VAPR </w:t>
            </w:r>
            <w:r w:rsidR="00796D35" w:rsidRPr="00D44CF2">
              <w:t>and</w:t>
            </w:r>
            <w:r w:rsidRPr="00D44CF2">
              <w:t xml:space="preserve"> Transmission Development Plan</w:t>
            </w:r>
            <w:r w:rsidR="00796D35" w:rsidRPr="00D44CF2">
              <w:t xml:space="preserve"> for Victoria</w:t>
            </w:r>
            <w:r w:rsidR="007A5285" w:rsidRPr="00D44CF2">
              <w:t xml:space="preserve"> are </w:t>
            </w:r>
            <w:r w:rsidRPr="00D44CF2">
              <w:t xml:space="preserve">largely consistent with </w:t>
            </w:r>
            <w:r w:rsidR="007A5285" w:rsidRPr="00D44CF2">
              <w:t>last</w:t>
            </w:r>
            <w:r w:rsidRPr="00D44CF2">
              <w:t xml:space="preserve"> year’s assessment</w:t>
            </w:r>
            <w:r w:rsidR="007A5285" w:rsidRPr="00D44CF2">
              <w:t xml:space="preserve">, </w:t>
            </w:r>
            <w:r w:rsidR="007A5285" w:rsidRPr="00D44CF2">
              <w:rPr>
                <w:b/>
                <w:bCs/>
              </w:rPr>
              <w:t>reinforcing</w:t>
            </w:r>
            <w:r w:rsidRPr="00D44CF2">
              <w:rPr>
                <w:b/>
                <w:bCs/>
              </w:rPr>
              <w:t xml:space="preserve"> </w:t>
            </w:r>
            <w:r w:rsidR="00370CC2" w:rsidRPr="00D44CF2">
              <w:rPr>
                <w:b/>
                <w:bCs/>
              </w:rPr>
              <w:t xml:space="preserve">that continued </w:t>
            </w:r>
            <w:r w:rsidRPr="00D44CF2">
              <w:rPr>
                <w:b/>
                <w:bCs/>
              </w:rPr>
              <w:t>progress</w:t>
            </w:r>
            <w:r w:rsidR="00370CC2" w:rsidRPr="00D44CF2">
              <w:rPr>
                <w:b/>
                <w:bCs/>
              </w:rPr>
              <w:t xml:space="preserve"> on</w:t>
            </w:r>
            <w:r w:rsidRPr="00D44CF2">
              <w:rPr>
                <w:b/>
                <w:bCs/>
              </w:rPr>
              <w:t xml:space="preserve"> </w:t>
            </w:r>
            <w:r w:rsidR="002103DE" w:rsidRPr="00D44CF2">
              <w:rPr>
                <w:b/>
                <w:bCs/>
              </w:rPr>
              <w:t xml:space="preserve">a </w:t>
            </w:r>
            <w:r w:rsidRPr="00D44CF2">
              <w:rPr>
                <w:b/>
                <w:bCs/>
              </w:rPr>
              <w:t>suite of projects across the state is critically important to alleviate constraints in Victoria’s Declared Shared Network (DSN)</w:t>
            </w:r>
            <w:r w:rsidR="00370CC2" w:rsidRPr="00D44CF2">
              <w:rPr>
                <w:b/>
                <w:bCs/>
              </w:rPr>
              <w:t xml:space="preserve"> and deliver </w:t>
            </w:r>
            <w:r w:rsidR="00F63262" w:rsidRPr="00D44CF2">
              <w:rPr>
                <w:b/>
                <w:bCs/>
              </w:rPr>
              <w:t>consumer benefits</w:t>
            </w:r>
            <w:r w:rsidRPr="00D44CF2">
              <w:t xml:space="preserve">. These </w:t>
            </w:r>
            <w:r w:rsidR="00E04F75" w:rsidRPr="00D44CF2">
              <w:t xml:space="preserve">projects </w:t>
            </w:r>
            <w:r w:rsidRPr="00D44CF2">
              <w:t>include:</w:t>
            </w:r>
          </w:p>
          <w:p w14:paraId="0E598C5D" w14:textId="3BA4B0A9" w:rsidR="00857E47" w:rsidRPr="00D44CF2" w:rsidRDefault="00857E47" w:rsidP="00897BB1">
            <w:pPr>
              <w:pStyle w:val="ListBullet"/>
              <w:numPr>
                <w:ilvl w:val="0"/>
                <w:numId w:val="24"/>
              </w:numPr>
            </w:pPr>
            <w:r w:rsidRPr="00D44CF2">
              <w:t>Western Renewables Link (WRL), Victoria – New South Wales Interconnector West (VNI West)</w:t>
            </w:r>
            <w:r w:rsidR="00E04F75" w:rsidRPr="00D44CF2">
              <w:t>,</w:t>
            </w:r>
            <w:r w:rsidRPr="00D44CF2">
              <w:t xml:space="preserve"> and Renewable Energy Zone (REZ) Development Plan (RDP) Stage 1, </w:t>
            </w:r>
            <w:r w:rsidR="00E04F75" w:rsidRPr="00D44CF2">
              <w:t xml:space="preserve">which are </w:t>
            </w:r>
            <w:r w:rsidRPr="00D44CF2">
              <w:t>all advancing to detailed design and delivery stages</w:t>
            </w:r>
            <w:r w:rsidR="00781E8C" w:rsidRPr="00D44CF2">
              <w:t>,</w:t>
            </w:r>
          </w:p>
          <w:p w14:paraId="6F5C8321" w14:textId="62E83451" w:rsidR="00365A23" w:rsidRPr="00D44CF2" w:rsidRDefault="00521FB1" w:rsidP="00897BB1">
            <w:pPr>
              <w:pStyle w:val="ListBullet"/>
              <w:numPr>
                <w:ilvl w:val="0"/>
                <w:numId w:val="24"/>
              </w:numPr>
            </w:pPr>
            <w:r w:rsidRPr="00D44CF2">
              <w:t>Metropolitan Melbourne voltage management</w:t>
            </w:r>
            <w:r w:rsidR="00335974" w:rsidRPr="00D44CF2">
              <w:t>,</w:t>
            </w:r>
            <w:r w:rsidRPr="00D44CF2">
              <w:t xml:space="preserve"> </w:t>
            </w:r>
            <w:r w:rsidR="005632A7" w:rsidRPr="00D44CF2">
              <w:t xml:space="preserve">Victorian </w:t>
            </w:r>
            <w:r w:rsidRPr="00D44CF2">
              <w:t>system strength</w:t>
            </w:r>
            <w:r w:rsidR="005632A7" w:rsidRPr="00D44CF2">
              <w:t xml:space="preserve"> requirements</w:t>
            </w:r>
            <w:r w:rsidR="00335974" w:rsidRPr="00D44CF2">
              <w:t>,</w:t>
            </w:r>
            <w:r w:rsidRPr="00D44CF2">
              <w:t xml:space="preserve"> </w:t>
            </w:r>
            <w:r w:rsidR="00837B76" w:rsidRPr="00D44CF2">
              <w:t xml:space="preserve">and reconfiguration of the Latrobe Valley, </w:t>
            </w:r>
            <w:r w:rsidR="00B037A5" w:rsidRPr="00D44CF2">
              <w:t xml:space="preserve">for which </w:t>
            </w:r>
            <w:r w:rsidR="00335974" w:rsidRPr="00D44CF2">
              <w:t xml:space="preserve">a </w:t>
            </w:r>
            <w:r w:rsidR="000E1832" w:rsidRPr="00D44CF2">
              <w:t>cost-benefit assessment</w:t>
            </w:r>
            <w:r w:rsidR="00266BD1" w:rsidRPr="00D44CF2">
              <w:t xml:space="preserve"> or </w:t>
            </w:r>
            <w:r w:rsidR="00B037A5" w:rsidRPr="00D44CF2">
              <w:t xml:space="preserve">regulatory investment tests for transmission </w:t>
            </w:r>
            <w:r w:rsidR="00B037A5" w:rsidRPr="00D44CF2">
              <w:lastRenderedPageBreak/>
              <w:t xml:space="preserve">(RIT-T) were completed </w:t>
            </w:r>
            <w:r w:rsidR="00B41E29" w:rsidRPr="00D44CF2">
              <w:t>since the 2024 VAPR</w:t>
            </w:r>
            <w:r w:rsidR="008D1D71" w:rsidRPr="00D44CF2">
              <w:t xml:space="preserve"> and</w:t>
            </w:r>
            <w:r w:rsidR="000E1EF2" w:rsidRPr="00D44CF2">
              <w:t xml:space="preserve"> are </w:t>
            </w:r>
            <w:r w:rsidR="00B41E29" w:rsidRPr="00D44CF2">
              <w:t xml:space="preserve">now progressing </w:t>
            </w:r>
            <w:r w:rsidR="000E1EF2" w:rsidRPr="00D44CF2">
              <w:t xml:space="preserve">through </w:t>
            </w:r>
            <w:r w:rsidR="00B41E29" w:rsidRPr="00D44CF2">
              <w:t xml:space="preserve">procurement </w:t>
            </w:r>
            <w:r w:rsidR="001B7151" w:rsidRPr="00D44CF2">
              <w:t>processes</w:t>
            </w:r>
            <w:r w:rsidR="00781E8C" w:rsidRPr="00D44CF2">
              <w:t>, and</w:t>
            </w:r>
          </w:p>
          <w:p w14:paraId="2BACA83E" w14:textId="12B3CD10" w:rsidR="00857E47" w:rsidRPr="00D44CF2" w:rsidRDefault="00781E8C" w:rsidP="009A1D79">
            <w:pPr>
              <w:pStyle w:val="ListBullet"/>
              <w:numPr>
                <w:ilvl w:val="0"/>
                <w:numId w:val="24"/>
              </w:numPr>
              <w:spacing w:after="0"/>
            </w:pPr>
            <w:r w:rsidRPr="00D44CF2">
              <w:t xml:space="preserve">planned </w:t>
            </w:r>
            <w:r w:rsidR="00857E47" w:rsidRPr="00D44CF2">
              <w:t xml:space="preserve">projects which are still undergoing </w:t>
            </w:r>
            <w:r w:rsidR="00F121FE" w:rsidRPr="00D44CF2">
              <w:t xml:space="preserve">a cost-benefit assessment or </w:t>
            </w:r>
            <w:r w:rsidR="00857E47" w:rsidRPr="00D44CF2">
              <w:t>RIT-T</w:t>
            </w:r>
            <w:r w:rsidRPr="00D44CF2">
              <w:t>,</w:t>
            </w:r>
            <w:r w:rsidR="004573F0" w:rsidRPr="00D44CF2">
              <w:t xml:space="preserve"> </w:t>
            </w:r>
            <w:r w:rsidRPr="00D44CF2">
              <w:t xml:space="preserve">including </w:t>
            </w:r>
            <w:r w:rsidR="00857E47" w:rsidRPr="00D44CF2">
              <w:t xml:space="preserve">eastern </w:t>
            </w:r>
            <w:r w:rsidR="00262181" w:rsidRPr="00D44CF2">
              <w:t xml:space="preserve">Victoria </w:t>
            </w:r>
            <w:r w:rsidR="00C2498A" w:rsidRPr="00D44CF2">
              <w:t xml:space="preserve">grid reinforcement </w:t>
            </w:r>
            <w:r w:rsidR="00857E47" w:rsidRPr="00D44CF2">
              <w:t>and western metropolitan Melbourne</w:t>
            </w:r>
            <w:r w:rsidR="00C740DA" w:rsidRPr="00D44CF2">
              <w:t xml:space="preserve"> reinforcement</w:t>
            </w:r>
            <w:r w:rsidR="006E23DB" w:rsidRPr="00D44CF2">
              <w:t>,</w:t>
            </w:r>
            <w:r w:rsidR="007F6B6C" w:rsidRPr="00D44CF2">
              <w:t xml:space="preserve"> </w:t>
            </w:r>
            <w:r w:rsidR="0016562F" w:rsidRPr="00D44CF2">
              <w:t xml:space="preserve">and </w:t>
            </w:r>
            <w:r w:rsidR="001F0842" w:rsidRPr="00D44CF2">
              <w:t>the Red Cliffs – Wemen – Kerang 220</w:t>
            </w:r>
            <w:r w:rsidRPr="00D44CF2">
              <w:t> </w:t>
            </w:r>
            <w:r w:rsidR="00D251FD" w:rsidRPr="00D44CF2">
              <w:t>kilovolts (</w:t>
            </w:r>
            <w:r w:rsidR="001F0842" w:rsidRPr="00D44CF2">
              <w:t>kV</w:t>
            </w:r>
            <w:r w:rsidR="00D251FD" w:rsidRPr="00D44CF2">
              <w:t>)</w:t>
            </w:r>
            <w:r w:rsidR="001F0842" w:rsidRPr="00D44CF2">
              <w:t xml:space="preserve"> transmission line</w:t>
            </w:r>
            <w:r w:rsidR="00FE3136" w:rsidRPr="00D44CF2">
              <w:t xml:space="preserve"> transfer capacity assessment</w:t>
            </w:r>
            <w:r w:rsidR="00857E47" w:rsidRPr="00D44CF2">
              <w:t xml:space="preserve">. </w:t>
            </w:r>
          </w:p>
          <w:p w14:paraId="19BF1DAE" w14:textId="298EE2F8" w:rsidR="00857E47" w:rsidRPr="00D44CF2" w:rsidRDefault="00857E47" w:rsidP="00AC35BC">
            <w:pPr>
              <w:pStyle w:val="BodyText"/>
              <w:spacing w:before="100" w:after="0"/>
            </w:pPr>
            <w:r w:rsidRPr="00D44CF2">
              <w:t>AVP continue</w:t>
            </w:r>
            <w:r w:rsidR="00F50548" w:rsidRPr="00D44CF2">
              <w:t>s</w:t>
            </w:r>
            <w:r w:rsidRPr="00D44CF2">
              <w:t xml:space="preserve"> to progress </w:t>
            </w:r>
            <w:r w:rsidR="00F50548" w:rsidRPr="00D44CF2">
              <w:t>these</w:t>
            </w:r>
            <w:r w:rsidRPr="00D44CF2">
              <w:t xml:space="preserve"> projects</w:t>
            </w:r>
            <w:r w:rsidR="003A4661" w:rsidRPr="00D44CF2">
              <w:t xml:space="preserve">, so they can be </w:t>
            </w:r>
            <w:r w:rsidRPr="00D44CF2">
              <w:t>deliver</w:t>
            </w:r>
            <w:r w:rsidR="003A4661" w:rsidRPr="00D44CF2">
              <w:t>ed</w:t>
            </w:r>
            <w:r w:rsidRPr="00D44CF2">
              <w:t xml:space="preserve"> in a timely manner to manage </w:t>
            </w:r>
            <w:r w:rsidR="003A4661" w:rsidRPr="00D44CF2">
              <w:t>power system security</w:t>
            </w:r>
            <w:r w:rsidRPr="00D44CF2">
              <w:t xml:space="preserve"> </w:t>
            </w:r>
            <w:r w:rsidR="005E5CB1" w:rsidRPr="00D44CF2">
              <w:t xml:space="preserve">and </w:t>
            </w:r>
            <w:r w:rsidR="008A2BAF" w:rsidRPr="00D44CF2">
              <w:t xml:space="preserve">provide </w:t>
            </w:r>
            <w:r w:rsidR="00C93DA5" w:rsidRPr="00D44CF2">
              <w:t>Victorian consumers with reliable energy at the lowest cost</w:t>
            </w:r>
            <w:r w:rsidRPr="00D44CF2">
              <w:rPr>
                <w:szCs w:val="20"/>
              </w:rPr>
              <w:t>.</w:t>
            </w:r>
          </w:p>
        </w:tc>
      </w:tr>
    </w:tbl>
    <w:p w14:paraId="2D28F853" w14:textId="4F2C25F8" w:rsidR="00857E47" w:rsidRPr="00D44CF2" w:rsidRDefault="00857E47" w:rsidP="00EE1C8C">
      <w:pPr>
        <w:pStyle w:val="HeadlineStatement"/>
        <w:keepNext/>
      </w:pPr>
      <w:r w:rsidRPr="00D44CF2">
        <w:lastRenderedPageBreak/>
        <w:t xml:space="preserve">The </w:t>
      </w:r>
      <w:r w:rsidR="00B04094" w:rsidRPr="00D44CF2">
        <w:t xml:space="preserve">2025 </w:t>
      </w:r>
      <w:r w:rsidRPr="00D44CF2">
        <w:t xml:space="preserve">VAPR demonstrates the </w:t>
      </w:r>
      <w:r w:rsidR="00A455E6" w:rsidRPr="00D44CF2">
        <w:t>importance</w:t>
      </w:r>
      <w:r w:rsidRPr="00D44CF2">
        <w:t xml:space="preserve"> of delivering key infrastructure projects to manage Victoria’s reliability </w:t>
      </w:r>
      <w:r w:rsidR="00D212C4" w:rsidRPr="00D44CF2">
        <w:t xml:space="preserve">and system security </w:t>
      </w:r>
      <w:r w:rsidRPr="00D44CF2">
        <w:t>risks</w:t>
      </w:r>
    </w:p>
    <w:p w14:paraId="17CB59AD" w14:textId="30750A68" w:rsidR="00857E47" w:rsidRPr="00D44CF2" w:rsidRDefault="00857E47" w:rsidP="00857E47">
      <w:pPr>
        <w:pStyle w:val="BodyText"/>
      </w:pPr>
      <w:r w:rsidRPr="00D44CF2">
        <w:t xml:space="preserve">Victoria’s transmission planning </w:t>
      </w:r>
      <w:r w:rsidR="00D212C4" w:rsidRPr="00D44CF2">
        <w:t>is driven by the context of rapid changes in the energy landscape, network developments and federal and state government policy</w:t>
      </w:r>
      <w:r w:rsidRPr="00D44CF2">
        <w:t>:</w:t>
      </w:r>
    </w:p>
    <w:p w14:paraId="6F3C0D4C" w14:textId="440787CA" w:rsidR="00857E47" w:rsidRPr="00D44CF2" w:rsidRDefault="00857E47" w:rsidP="009A1D79">
      <w:pPr>
        <w:pStyle w:val="ListBullet"/>
      </w:pPr>
      <w:r w:rsidRPr="00D44CF2">
        <w:t>Continu</w:t>
      </w:r>
      <w:r w:rsidR="00C712AB" w:rsidRPr="00D44CF2">
        <w:t>ed</w:t>
      </w:r>
      <w:r w:rsidRPr="00D44CF2">
        <w:t xml:space="preserve"> growth of renewable energy generation</w:t>
      </w:r>
      <w:r w:rsidR="0061327E" w:rsidRPr="00D44CF2">
        <w:t>, consumer energy res</w:t>
      </w:r>
      <w:r w:rsidR="00C76550" w:rsidRPr="00D44CF2">
        <w:t>ources (CER)</w:t>
      </w:r>
      <w:r w:rsidRPr="00D44CF2">
        <w:t xml:space="preserve"> and storage systems across </w:t>
      </w:r>
      <w:r w:rsidR="00D212C4" w:rsidRPr="00D44CF2">
        <w:t xml:space="preserve">Victoria – </w:t>
      </w:r>
      <w:r w:rsidRPr="00D44CF2">
        <w:t xml:space="preserve">in </w:t>
      </w:r>
      <w:r w:rsidR="00D212C4" w:rsidRPr="00D44CF2">
        <w:t>both</w:t>
      </w:r>
      <w:r w:rsidRPr="00D44CF2">
        <w:t xml:space="preserve"> the transmission and distribution networks</w:t>
      </w:r>
      <w:r w:rsidR="00D212C4" w:rsidRPr="00D44CF2">
        <w:t xml:space="preserve"> – is</w:t>
      </w:r>
      <w:r w:rsidRPr="00D44CF2">
        <w:t xml:space="preserve"> </w:t>
      </w:r>
      <w:r w:rsidRPr="00D44CF2">
        <w:rPr>
          <w:b/>
        </w:rPr>
        <w:t>making power flow bi-directional and altering traditional flow patterns</w:t>
      </w:r>
      <w:r w:rsidRPr="00D44CF2">
        <w:rPr>
          <w:lang w:val="en-US"/>
        </w:rPr>
        <w:t xml:space="preserve">. </w:t>
      </w:r>
    </w:p>
    <w:p w14:paraId="6DD71970" w14:textId="3414D535" w:rsidR="00857E47" w:rsidRPr="00D44CF2" w:rsidRDefault="561FB447" w:rsidP="0EF0EF75">
      <w:pPr>
        <w:pStyle w:val="ListBullet"/>
      </w:pPr>
      <w:r w:rsidRPr="00D44CF2">
        <w:rPr>
          <w:b/>
          <w:bCs/>
        </w:rPr>
        <w:t>Investment remains strong</w:t>
      </w:r>
      <w:r w:rsidRPr="00D44CF2">
        <w:t>. Victoria’s total installed large generation capacity</w:t>
      </w:r>
      <w:bookmarkStart w:id="4" w:name="_Ref180652228"/>
      <w:r w:rsidR="00857E47" w:rsidRPr="00D44CF2">
        <w:rPr>
          <w:rStyle w:val="FootnoteReference"/>
        </w:rPr>
        <w:footnoteReference w:id="2"/>
      </w:r>
      <w:bookmarkEnd w:id="4"/>
      <w:r w:rsidRPr="00D44CF2">
        <w:t xml:space="preserve"> (</w:t>
      </w:r>
      <w:r w:rsidR="00EB08C5" w:rsidRPr="00D44CF2">
        <w:t>on</w:t>
      </w:r>
      <w:r w:rsidRPr="00D44CF2">
        <w:t xml:space="preserve"> 30 August 2024) is </w:t>
      </w:r>
      <w:r w:rsidR="3FB3565B" w:rsidRPr="00D44CF2">
        <w:t xml:space="preserve">17 </w:t>
      </w:r>
      <w:r w:rsidRPr="00D44CF2">
        <w:t>gigawatts (GW)</w:t>
      </w:r>
      <w:r w:rsidR="246403AE" w:rsidRPr="00D44CF2">
        <w:t>,</w:t>
      </w:r>
      <w:r w:rsidRPr="00D44CF2">
        <w:t xml:space="preserve"> </w:t>
      </w:r>
      <w:r w:rsidR="7CC6F291" w:rsidRPr="00D44CF2">
        <w:t>consist</w:t>
      </w:r>
      <w:r w:rsidR="0DF399D1" w:rsidRPr="00D44CF2">
        <w:t>ing</w:t>
      </w:r>
      <w:r w:rsidR="7CC6F291" w:rsidRPr="00D44CF2">
        <w:t xml:space="preserve"> of</w:t>
      </w:r>
      <w:r w:rsidR="0D8EEA97" w:rsidRPr="00D44CF2">
        <w:t xml:space="preserve"> </w:t>
      </w:r>
      <w:r w:rsidR="7A3581F2" w:rsidRPr="00D44CF2">
        <w:t>9.</w:t>
      </w:r>
      <w:r w:rsidR="679CD533" w:rsidRPr="00D44CF2">
        <w:t>5</w:t>
      </w:r>
      <w:r w:rsidR="7A3581F2" w:rsidRPr="00D44CF2">
        <w:t xml:space="preserve"> </w:t>
      </w:r>
      <w:r w:rsidRPr="00D44CF2">
        <w:t>GW of large-scale renewable generation (wind, solar, storage and hydro)</w:t>
      </w:r>
      <w:r w:rsidR="246403AE" w:rsidRPr="00D44CF2">
        <w:t xml:space="preserve"> and</w:t>
      </w:r>
      <w:r w:rsidRPr="00D44CF2">
        <w:t xml:space="preserve"> 7.</w:t>
      </w:r>
      <w:r w:rsidR="20B342C6" w:rsidRPr="00D44CF2">
        <w:t>5</w:t>
      </w:r>
      <w:r w:rsidRPr="00D44CF2">
        <w:t xml:space="preserve"> GW of large</w:t>
      </w:r>
      <w:r w:rsidR="00C67C76" w:rsidRPr="00D44CF2">
        <w:noBreakHyphen/>
      </w:r>
      <w:r w:rsidRPr="00D44CF2">
        <w:t xml:space="preserve">scale conventional thermal generation (coal and gas). </w:t>
      </w:r>
    </w:p>
    <w:p w14:paraId="6FF7CF34" w14:textId="482A2EFC" w:rsidR="00857E47" w:rsidRPr="00D44CF2" w:rsidRDefault="003F0A5A" w:rsidP="00D741D2">
      <w:pPr>
        <w:pStyle w:val="ListBullet2"/>
      </w:pPr>
      <w:r w:rsidRPr="00D44CF2">
        <w:t>New large-scale renewable generation and storage projects totalling</w:t>
      </w:r>
      <w:r w:rsidR="1587EFAE" w:rsidRPr="00D44CF2">
        <w:t xml:space="preserve"> </w:t>
      </w:r>
      <w:r w:rsidR="006F7070" w:rsidRPr="00D44CF2">
        <w:t xml:space="preserve">1.4 </w:t>
      </w:r>
      <w:r w:rsidR="004E0096" w:rsidRPr="00D44CF2">
        <w:t>GW have</w:t>
      </w:r>
      <w:r w:rsidR="00857E47" w:rsidRPr="00D44CF2">
        <w:t xml:space="preserve"> connected in Victoria </w:t>
      </w:r>
      <w:r w:rsidR="00E63844" w:rsidRPr="00D44CF2">
        <w:t>over</w:t>
      </w:r>
      <w:r w:rsidR="00857E47" w:rsidRPr="00D44CF2">
        <w:t xml:space="preserve"> the past year, </w:t>
      </w:r>
      <w:r w:rsidR="00C67C76" w:rsidRPr="00D44CF2">
        <w:t>and</w:t>
      </w:r>
      <w:r w:rsidR="00857E47" w:rsidRPr="00D44CF2">
        <w:t xml:space="preserve"> another </w:t>
      </w:r>
      <w:r w:rsidR="7F994F48" w:rsidRPr="00D44CF2">
        <w:t>840</w:t>
      </w:r>
      <w:r w:rsidR="605AD66B" w:rsidRPr="00D44CF2">
        <w:t xml:space="preserve"> </w:t>
      </w:r>
      <w:r w:rsidR="00ED2CCE" w:rsidRPr="00D44CF2">
        <w:t>megawatts (</w:t>
      </w:r>
      <w:r w:rsidR="605AD66B" w:rsidRPr="00D44CF2">
        <w:t>MW</w:t>
      </w:r>
      <w:r w:rsidR="00ED2CCE" w:rsidRPr="00D44CF2">
        <w:t>)</w:t>
      </w:r>
      <w:r w:rsidR="00857E47" w:rsidRPr="00D44CF2">
        <w:t xml:space="preserve"> </w:t>
      </w:r>
      <w:r w:rsidR="00E63844" w:rsidRPr="00D44CF2">
        <w:t>is</w:t>
      </w:r>
      <w:r w:rsidR="00857E47" w:rsidRPr="00D44CF2">
        <w:t xml:space="preserve"> committed to connect</w:t>
      </w:r>
      <w:r w:rsidR="00C67C76" w:rsidRPr="00D44CF2">
        <w:rPr>
          <w:rStyle w:val="FootnoteReference"/>
        </w:rPr>
        <w:footnoteReference w:id="3"/>
      </w:r>
      <w:r w:rsidR="00857E47" w:rsidRPr="00D44CF2">
        <w:t xml:space="preserve">. </w:t>
      </w:r>
    </w:p>
    <w:p w14:paraId="10D4DEED" w14:textId="1A279478" w:rsidR="00857E47" w:rsidRPr="00D44CF2" w:rsidRDefault="561FB447" w:rsidP="00D741D2">
      <w:pPr>
        <w:pStyle w:val="ListBullet2"/>
      </w:pPr>
      <w:r w:rsidRPr="00D44CF2">
        <w:t xml:space="preserve">Over </w:t>
      </w:r>
      <w:r w:rsidR="26355D79" w:rsidRPr="00D44CF2">
        <w:t xml:space="preserve">10 </w:t>
      </w:r>
      <w:r w:rsidR="339DA30E" w:rsidRPr="00D44CF2">
        <w:t xml:space="preserve">GW </w:t>
      </w:r>
      <w:r w:rsidRPr="00D44CF2">
        <w:t>of large-scale renewable generation and</w:t>
      </w:r>
      <w:r w:rsidR="35B602A6" w:rsidRPr="00D44CF2">
        <w:t xml:space="preserve"> </w:t>
      </w:r>
      <w:r w:rsidR="00D07BA6" w:rsidRPr="00D44CF2">
        <w:t>8</w:t>
      </w:r>
      <w:r w:rsidR="006009F6" w:rsidRPr="00D44CF2">
        <w:t xml:space="preserve"> GW </w:t>
      </w:r>
      <w:r w:rsidRPr="00D44CF2">
        <w:t xml:space="preserve">of battery </w:t>
      </w:r>
      <w:r w:rsidR="637F8B15" w:rsidRPr="00D44CF2">
        <w:t xml:space="preserve">energy </w:t>
      </w:r>
      <w:r w:rsidRPr="00D44CF2">
        <w:t>storage projects have submitted connection enquiries</w:t>
      </w:r>
      <w:r w:rsidR="6CC26989" w:rsidRPr="00D44CF2">
        <w:t>,</w:t>
      </w:r>
      <w:r w:rsidRPr="00D44CF2">
        <w:t xml:space="preserve"> of which </w:t>
      </w:r>
      <w:r w:rsidR="003C673F" w:rsidRPr="00D44CF2">
        <w:t>9</w:t>
      </w:r>
      <w:r w:rsidR="00681C55" w:rsidRPr="00D44CF2">
        <w:t xml:space="preserve"> GW</w:t>
      </w:r>
      <w:r w:rsidRPr="00D44CF2">
        <w:t xml:space="preserve"> are currently </w:t>
      </w:r>
      <w:r w:rsidR="00B814D7" w:rsidRPr="00D44CF2">
        <w:t>going through either the optional</w:t>
      </w:r>
      <w:r w:rsidRPr="00D44CF2">
        <w:t xml:space="preserve"> pre-application</w:t>
      </w:r>
      <w:r w:rsidR="00B814D7" w:rsidRPr="00D44CF2">
        <w:t xml:space="preserve"> process</w:t>
      </w:r>
      <w:r w:rsidRPr="00D44CF2">
        <w:t xml:space="preserve"> or </w:t>
      </w:r>
      <w:r w:rsidR="00B814D7" w:rsidRPr="00D44CF2">
        <w:t xml:space="preserve">the formal </w:t>
      </w:r>
      <w:r w:rsidRPr="00D44CF2">
        <w:t xml:space="preserve">application stage. </w:t>
      </w:r>
    </w:p>
    <w:p w14:paraId="5178E644" w14:textId="191F083B" w:rsidR="00857E47" w:rsidRPr="00D44CF2" w:rsidRDefault="00DC4A6D" w:rsidP="009A1D79">
      <w:pPr>
        <w:pStyle w:val="ListBullet"/>
      </w:pPr>
      <w:r w:rsidRPr="00D44CF2">
        <w:rPr>
          <w:b/>
        </w:rPr>
        <w:t xml:space="preserve">The transmission network </w:t>
      </w:r>
      <w:r w:rsidR="00C4552D" w:rsidRPr="00D44CF2">
        <w:rPr>
          <w:b/>
        </w:rPr>
        <w:t xml:space="preserve">has a </w:t>
      </w:r>
      <w:r w:rsidRPr="00D44CF2">
        <w:rPr>
          <w:b/>
        </w:rPr>
        <w:t>critical role in a robust power system</w:t>
      </w:r>
      <w:r w:rsidR="00FE16A8" w:rsidRPr="00D44CF2">
        <w:t xml:space="preserve"> </w:t>
      </w:r>
      <w:r w:rsidR="00C501EF" w:rsidRPr="00D44CF2">
        <w:t>during the transition towards</w:t>
      </w:r>
      <w:r w:rsidR="003F45A0" w:rsidRPr="00D44CF2">
        <w:t xml:space="preserve"> a</w:t>
      </w:r>
      <w:r w:rsidR="009F7B31" w:rsidRPr="00D44CF2">
        <w:t xml:space="preserve"> future </w:t>
      </w:r>
      <w:r w:rsidR="000129D0" w:rsidRPr="00D44CF2">
        <w:t>with</w:t>
      </w:r>
      <w:r w:rsidR="009F7B31" w:rsidRPr="00D44CF2">
        <w:t xml:space="preserve"> </w:t>
      </w:r>
      <w:r w:rsidR="0072481F" w:rsidRPr="00D44CF2">
        <w:t xml:space="preserve">fewer </w:t>
      </w:r>
      <w:r w:rsidR="0E21873E" w:rsidRPr="00D44CF2">
        <w:t>large</w:t>
      </w:r>
      <w:r w:rsidR="00E5745F" w:rsidRPr="00D44CF2">
        <w:t xml:space="preserve"> </w:t>
      </w:r>
      <w:r w:rsidR="009F7B31" w:rsidRPr="00D44CF2">
        <w:t>synchronous generators</w:t>
      </w:r>
      <w:r w:rsidR="000129D0" w:rsidRPr="00D44CF2">
        <w:t>,</w:t>
      </w:r>
      <w:r w:rsidR="007D4E84" w:rsidRPr="00D44CF2">
        <w:t xml:space="preserve"> due to reduced availability or retirement</w:t>
      </w:r>
      <w:r w:rsidR="009F7B31" w:rsidRPr="00D44CF2">
        <w:t>. This includes Victoria’s Yallourn W</w:t>
      </w:r>
      <w:r w:rsidR="00D03170" w:rsidRPr="00D44CF2">
        <w:t xml:space="preserve"> Power Station (YWPS, </w:t>
      </w:r>
      <w:r w:rsidR="009F7B31" w:rsidRPr="00D44CF2">
        <w:t>scheduled to</w:t>
      </w:r>
      <w:r w:rsidR="004C0E52" w:rsidRPr="00D44CF2">
        <w:t xml:space="preserve"> </w:t>
      </w:r>
      <w:r w:rsidR="009F7B31" w:rsidRPr="00D44CF2">
        <w:t>retire in 2028), Loy Yang A (2035) and Loy Yang B (2047).</w:t>
      </w:r>
    </w:p>
    <w:p w14:paraId="26269313" w14:textId="659BAA06" w:rsidR="00857E47" w:rsidRPr="00D44CF2" w:rsidRDefault="00857E47" w:rsidP="009A1D79">
      <w:pPr>
        <w:pStyle w:val="ListBullet"/>
      </w:pPr>
      <w:r w:rsidRPr="00D44CF2">
        <w:t xml:space="preserve">As household and business consumers continue to install their own distributed PV generation and storage systems, Victoria’s </w:t>
      </w:r>
      <w:r w:rsidRPr="00D44CF2">
        <w:rPr>
          <w:b/>
          <w:bCs/>
        </w:rPr>
        <w:t xml:space="preserve">levels of minimum </w:t>
      </w:r>
      <w:r w:rsidR="004B1B09" w:rsidRPr="00D44CF2">
        <w:rPr>
          <w:b/>
          <w:bCs/>
        </w:rPr>
        <w:t xml:space="preserve">operational </w:t>
      </w:r>
      <w:r w:rsidRPr="00D44CF2">
        <w:rPr>
          <w:b/>
          <w:bCs/>
        </w:rPr>
        <w:t>demand</w:t>
      </w:r>
      <w:r w:rsidR="00790066" w:rsidRPr="00D44CF2">
        <w:rPr>
          <w:rStyle w:val="FootnoteReference"/>
          <w:b/>
          <w:bCs/>
        </w:rPr>
        <w:footnoteReference w:id="4"/>
      </w:r>
      <w:r w:rsidRPr="00D44CF2">
        <w:rPr>
          <w:b/>
          <w:bCs/>
        </w:rPr>
        <w:t xml:space="preserve"> continue to decline</w:t>
      </w:r>
      <w:r w:rsidRPr="00D44CF2">
        <w:t>, requiring additional market</w:t>
      </w:r>
      <w:r w:rsidR="00897BB1" w:rsidRPr="00D44CF2">
        <w:noBreakHyphen/>
      </w:r>
      <w:r w:rsidRPr="00D44CF2">
        <w:t xml:space="preserve">based solutions (like coordinated storage and EV charging, scheduled loads such as pumping load, and demand response) </w:t>
      </w:r>
      <w:r w:rsidR="00D3507D" w:rsidRPr="00D44CF2">
        <w:t xml:space="preserve">and other investments </w:t>
      </w:r>
      <w:r w:rsidRPr="00D44CF2">
        <w:t xml:space="preserve">to support </w:t>
      </w:r>
      <w:r w:rsidR="0048658F" w:rsidRPr="00D44CF2">
        <w:t xml:space="preserve">power </w:t>
      </w:r>
      <w:r w:rsidRPr="00D44CF2">
        <w:t xml:space="preserve">system security. </w:t>
      </w:r>
      <w:r w:rsidR="00B72711" w:rsidRPr="00D44CF2">
        <w:t>Victoria’s</w:t>
      </w:r>
      <w:r w:rsidRPr="00D44CF2">
        <w:t xml:space="preserve"> minimum </w:t>
      </w:r>
      <w:r w:rsidR="00E83F9C" w:rsidRPr="00D44CF2">
        <w:t>operational</w:t>
      </w:r>
      <w:r w:rsidRPr="00D44CF2">
        <w:t xml:space="preserve"> demand is </w:t>
      </w:r>
      <w:r w:rsidR="28BA4263" w:rsidRPr="00D44CF2">
        <w:t xml:space="preserve">anticipated </w:t>
      </w:r>
      <w:r w:rsidRPr="00D44CF2">
        <w:t>to decline to zero by 202</w:t>
      </w:r>
      <w:r w:rsidR="009C1385" w:rsidRPr="00D44CF2">
        <w:t>9</w:t>
      </w:r>
      <w:r w:rsidRPr="00D44CF2">
        <w:t xml:space="preserve"> and </w:t>
      </w:r>
      <w:r w:rsidR="00795510" w:rsidRPr="00D44CF2">
        <w:t xml:space="preserve">reach </w:t>
      </w:r>
      <w:r w:rsidR="007F3E8F" w:rsidRPr="00D44CF2">
        <w:noBreakHyphen/>
      </w:r>
      <w:r w:rsidR="009C1385" w:rsidRPr="00D44CF2">
        <w:t>1</w:t>
      </w:r>
      <w:r w:rsidRPr="00D44CF2">
        <w:t>.6</w:t>
      </w:r>
      <w:r w:rsidR="00B130A7" w:rsidRPr="00D44CF2">
        <w:t> </w:t>
      </w:r>
      <w:r w:rsidRPr="00D44CF2">
        <w:t xml:space="preserve">GW by </w:t>
      </w:r>
      <w:r w:rsidR="00F046DC" w:rsidRPr="00D44CF2">
        <w:t>203</w:t>
      </w:r>
      <w:r w:rsidR="00751410" w:rsidRPr="00D44CF2">
        <w:t>5</w:t>
      </w:r>
      <w:r w:rsidR="00F046DC" w:rsidRPr="00D44CF2">
        <w:t>-</w:t>
      </w:r>
      <w:r w:rsidRPr="00D44CF2">
        <w:t>3</w:t>
      </w:r>
      <w:r w:rsidR="00751410" w:rsidRPr="00D44CF2">
        <w:t>6</w:t>
      </w:r>
      <w:r w:rsidRPr="00D44CF2">
        <w:t>.</w:t>
      </w:r>
    </w:p>
    <w:p w14:paraId="39577494" w14:textId="3B646203" w:rsidR="009410CC" w:rsidRPr="00D44CF2" w:rsidRDefault="00857E47" w:rsidP="009A1D79">
      <w:pPr>
        <w:pStyle w:val="ListBullet"/>
        <w:spacing w:after="0"/>
      </w:pPr>
      <w:r w:rsidRPr="00D44CF2">
        <w:t xml:space="preserve">The latest regional electricity demand forecasts </w:t>
      </w:r>
      <w:r w:rsidR="009065F7" w:rsidRPr="00D44CF2">
        <w:t>indicate</w:t>
      </w:r>
      <w:r w:rsidRPr="00D44CF2">
        <w:t xml:space="preserve"> </w:t>
      </w:r>
      <w:r w:rsidR="001F7378" w:rsidRPr="00D44CF2">
        <w:t>Victoria</w:t>
      </w:r>
      <w:r w:rsidR="00D2322C" w:rsidRPr="00D44CF2">
        <w:t>’s</w:t>
      </w:r>
      <w:r w:rsidR="00860ACB" w:rsidRPr="00D44CF2" w:rsidDel="00D2322C">
        <w:t xml:space="preserve"> </w:t>
      </w:r>
      <w:r w:rsidR="00AB1CE7" w:rsidRPr="00D44CF2">
        <w:rPr>
          <w:b/>
          <w:bCs/>
        </w:rPr>
        <w:t>summer</w:t>
      </w:r>
      <w:r w:rsidRPr="00D44CF2">
        <w:rPr>
          <w:b/>
          <w:bCs/>
        </w:rPr>
        <w:t xml:space="preserve"> peak</w:t>
      </w:r>
      <w:r w:rsidR="00860ACB" w:rsidRPr="00D44CF2">
        <w:rPr>
          <w:b/>
          <w:bCs/>
        </w:rPr>
        <w:t xml:space="preserve">ing </w:t>
      </w:r>
      <w:r w:rsidR="000F2006" w:rsidRPr="00D44CF2">
        <w:rPr>
          <w:b/>
          <w:bCs/>
        </w:rPr>
        <w:t xml:space="preserve">maximum </w:t>
      </w:r>
      <w:r w:rsidRPr="00D44CF2">
        <w:rPr>
          <w:b/>
          <w:bCs/>
        </w:rPr>
        <w:t>demand</w:t>
      </w:r>
      <w:r w:rsidR="004C7154" w:rsidRPr="00D44CF2">
        <w:rPr>
          <w:b/>
          <w:bCs/>
        </w:rPr>
        <w:t xml:space="preserve"> </w:t>
      </w:r>
      <w:r w:rsidR="00D2322C" w:rsidRPr="00D44CF2">
        <w:rPr>
          <w:b/>
          <w:bCs/>
        </w:rPr>
        <w:t xml:space="preserve">continuing to </w:t>
      </w:r>
      <w:r w:rsidR="007D7BE3" w:rsidRPr="00D44CF2">
        <w:rPr>
          <w:b/>
          <w:bCs/>
        </w:rPr>
        <w:t>steadily increas</w:t>
      </w:r>
      <w:r w:rsidR="004F099F" w:rsidRPr="00D44CF2">
        <w:rPr>
          <w:b/>
          <w:bCs/>
        </w:rPr>
        <w:t>e</w:t>
      </w:r>
      <w:r w:rsidR="00282523" w:rsidRPr="00D44CF2">
        <w:t xml:space="preserve"> </w:t>
      </w:r>
      <w:r w:rsidR="0056163D" w:rsidRPr="00D44CF2">
        <w:t>over the next decade</w:t>
      </w:r>
      <w:r w:rsidR="004F099F" w:rsidRPr="00D44CF2">
        <w:t>,</w:t>
      </w:r>
      <w:r w:rsidR="0056163D" w:rsidRPr="00D44CF2">
        <w:t xml:space="preserve"> </w:t>
      </w:r>
      <w:r w:rsidR="00FF6846" w:rsidRPr="00D44CF2">
        <w:t xml:space="preserve">but at a </w:t>
      </w:r>
      <w:r w:rsidR="00745E4B" w:rsidRPr="00D44CF2">
        <w:t xml:space="preserve">higher </w:t>
      </w:r>
      <w:r w:rsidR="00F42D30" w:rsidRPr="00D44CF2">
        <w:t xml:space="preserve">rate than projected </w:t>
      </w:r>
      <w:r w:rsidR="002A5427" w:rsidRPr="00D44CF2">
        <w:t xml:space="preserve">last year. </w:t>
      </w:r>
      <w:r w:rsidR="00CD31AA" w:rsidRPr="00D44CF2">
        <w:t xml:space="preserve">On </w:t>
      </w:r>
      <w:r w:rsidR="00CD31AA" w:rsidRPr="00D44CF2">
        <w:lastRenderedPageBreak/>
        <w:t>average</w:t>
      </w:r>
      <w:r w:rsidR="00D2322C" w:rsidRPr="00D44CF2">
        <w:t>,</w:t>
      </w:r>
      <w:r w:rsidR="00CD31AA" w:rsidRPr="00D44CF2">
        <w:t xml:space="preserve"> 1% year</w:t>
      </w:r>
      <w:r w:rsidR="00D2322C" w:rsidRPr="00D44CF2">
        <w:t>-</w:t>
      </w:r>
      <w:r w:rsidR="00CD31AA" w:rsidRPr="00D44CF2">
        <w:t>on</w:t>
      </w:r>
      <w:r w:rsidR="00D2322C" w:rsidRPr="00D44CF2">
        <w:t>-</w:t>
      </w:r>
      <w:r w:rsidR="00CD31AA" w:rsidRPr="00D44CF2">
        <w:t xml:space="preserve">year </w:t>
      </w:r>
      <w:r w:rsidR="00E555E5" w:rsidRPr="00D44CF2">
        <w:t xml:space="preserve">growth </w:t>
      </w:r>
      <w:r w:rsidR="00D2322C" w:rsidRPr="00D44CF2">
        <w:t>is projected</w:t>
      </w:r>
      <w:r w:rsidR="00631C7C" w:rsidRPr="00D44CF2">
        <w:t xml:space="preserve"> in the 10% </w:t>
      </w:r>
      <w:r w:rsidR="00D2322C" w:rsidRPr="00D44CF2">
        <w:t>probability of exceedance (</w:t>
      </w:r>
      <w:r w:rsidR="00631C7C" w:rsidRPr="00D44CF2">
        <w:t>POE</w:t>
      </w:r>
      <w:r w:rsidR="00D2322C" w:rsidRPr="00D44CF2">
        <w:t>)</w:t>
      </w:r>
      <w:r w:rsidR="00631C7C" w:rsidRPr="00D44CF2">
        <w:t xml:space="preserve"> forecast</w:t>
      </w:r>
      <w:r w:rsidR="003C1E6C" w:rsidRPr="00D44CF2">
        <w:rPr>
          <w:rStyle w:val="FootnoteReference"/>
        </w:rPr>
        <w:footnoteReference w:id="5"/>
      </w:r>
      <w:r w:rsidR="00AB7DDD" w:rsidRPr="00D44CF2">
        <w:t>,</w:t>
      </w:r>
      <w:r w:rsidR="00631C7C" w:rsidRPr="00D44CF2">
        <w:t xml:space="preserve"> </w:t>
      </w:r>
      <w:r w:rsidR="00DB27B2" w:rsidRPr="00D44CF2">
        <w:t>reaching</w:t>
      </w:r>
      <w:r w:rsidR="003C1E6C" w:rsidRPr="00D44CF2">
        <w:t xml:space="preserve"> </w:t>
      </w:r>
      <w:r w:rsidR="0022289C" w:rsidRPr="00D44CF2">
        <w:t>1</w:t>
      </w:r>
      <w:r w:rsidR="00745E4B" w:rsidRPr="00D44CF2">
        <w:t>2.4</w:t>
      </w:r>
      <w:r w:rsidR="002128D8" w:rsidRPr="00D44CF2">
        <w:t xml:space="preserve"> GW </w:t>
      </w:r>
      <w:r w:rsidR="003C1E6C" w:rsidRPr="00D44CF2">
        <w:t xml:space="preserve">in </w:t>
      </w:r>
      <w:r w:rsidR="00631C7C" w:rsidRPr="00D44CF2">
        <w:t>203</w:t>
      </w:r>
      <w:r w:rsidR="00745E4B" w:rsidRPr="00D44CF2">
        <w:t>5</w:t>
      </w:r>
      <w:r w:rsidR="002F7E0A" w:rsidRPr="00D44CF2">
        <w:t>-3</w:t>
      </w:r>
      <w:r w:rsidR="00745E4B" w:rsidRPr="00D44CF2">
        <w:t>6</w:t>
      </w:r>
      <w:r w:rsidR="00ED36BF" w:rsidRPr="00D44CF2">
        <w:t>:</w:t>
      </w:r>
      <w:r w:rsidR="002F7E0A" w:rsidRPr="00D44CF2">
        <w:rPr>
          <w:b/>
          <w:bCs/>
        </w:rPr>
        <w:t xml:space="preserve"> </w:t>
      </w:r>
      <w:r w:rsidR="00692EC1" w:rsidRPr="00D44CF2">
        <w:rPr>
          <w:b/>
          <w:bCs/>
        </w:rPr>
        <w:t xml:space="preserve"> </w:t>
      </w:r>
    </w:p>
    <w:p w14:paraId="7A989083" w14:textId="06DC1A80" w:rsidR="009D0A88" w:rsidRPr="00D44CF2" w:rsidRDefault="004F099F" w:rsidP="004F1555">
      <w:pPr>
        <w:pStyle w:val="ListBullet2"/>
      </w:pPr>
      <w:r w:rsidRPr="00D44CF2">
        <w:t>F</w:t>
      </w:r>
      <w:r w:rsidR="00091E82" w:rsidRPr="00D44CF2">
        <w:t xml:space="preserve">or later years in the </w:t>
      </w:r>
      <w:r w:rsidR="0009154D" w:rsidRPr="00D44CF2">
        <w:t xml:space="preserve">planning horizon, </w:t>
      </w:r>
      <w:r w:rsidR="00EC5E90" w:rsidRPr="00D44CF2">
        <w:t xml:space="preserve">the </w:t>
      </w:r>
      <w:r w:rsidR="00F046DC" w:rsidRPr="00D44CF2">
        <w:t xml:space="preserve">10% POE </w:t>
      </w:r>
      <w:r w:rsidR="00EC5E90" w:rsidRPr="00D44CF2">
        <w:t xml:space="preserve">maximum demand forecast </w:t>
      </w:r>
      <w:r w:rsidR="00F103A1" w:rsidRPr="00D44CF2">
        <w:t xml:space="preserve">demonstrates </w:t>
      </w:r>
      <w:r w:rsidR="00FC28CB" w:rsidRPr="00D44CF2">
        <w:t xml:space="preserve">faster </w:t>
      </w:r>
      <w:r w:rsidR="00F103A1" w:rsidRPr="00D44CF2">
        <w:t xml:space="preserve">growth </w:t>
      </w:r>
      <w:r w:rsidR="00F046DC" w:rsidRPr="00D44CF2">
        <w:t>than</w:t>
      </w:r>
      <w:r w:rsidR="0044310B" w:rsidRPr="00D44CF2">
        <w:t xml:space="preserve"> last year</w:t>
      </w:r>
      <w:r w:rsidR="007C1ABD" w:rsidRPr="00D44CF2">
        <w:t>’s</w:t>
      </w:r>
      <w:r w:rsidR="0044310B" w:rsidRPr="00D44CF2">
        <w:t xml:space="preserve"> forecast</w:t>
      </w:r>
      <w:r w:rsidR="007C1ABD" w:rsidRPr="00D44CF2">
        <w:t>,</w:t>
      </w:r>
      <w:r w:rsidR="0044310B" w:rsidRPr="00D44CF2">
        <w:t xml:space="preserve"> mainly due to the</w:t>
      </w:r>
      <w:r w:rsidR="00433855" w:rsidRPr="00D44CF2">
        <w:t xml:space="preserve"> projected </w:t>
      </w:r>
      <w:r w:rsidR="00FC28CB" w:rsidRPr="00D44CF2">
        <w:t>increase in large data centre load connections</w:t>
      </w:r>
      <w:r w:rsidR="00D433B4" w:rsidRPr="00D44CF2">
        <w:t>.</w:t>
      </w:r>
      <w:r w:rsidR="00ED36BF" w:rsidRPr="00D44CF2">
        <w:t xml:space="preserve"> </w:t>
      </w:r>
      <w:r w:rsidR="009C2C1D" w:rsidRPr="00D44CF2">
        <w:t>Over the past 18 months</w:t>
      </w:r>
      <w:r w:rsidR="00ED36BF" w:rsidRPr="00D44CF2">
        <w:t>,</w:t>
      </w:r>
      <w:r w:rsidR="009C2C1D" w:rsidRPr="00D44CF2">
        <w:t xml:space="preserve"> AVP has received over 18 GW of data centre connection inquiries</w:t>
      </w:r>
      <w:r w:rsidR="00AD2AC4" w:rsidRPr="00D44CF2">
        <w:t xml:space="preserve">. </w:t>
      </w:r>
      <w:r w:rsidR="009D0A88" w:rsidRPr="00D44CF2">
        <w:t>As part of the 2025 Annual Planning Review</w:t>
      </w:r>
      <w:r w:rsidR="00ED36BF" w:rsidRPr="00D44CF2">
        <w:t>,</w:t>
      </w:r>
      <w:r w:rsidR="009D0A88" w:rsidRPr="00D44CF2">
        <w:t xml:space="preserve"> AVP has performed </w:t>
      </w:r>
      <w:r w:rsidR="00241176" w:rsidRPr="00D44CF2">
        <w:t xml:space="preserve">scenario analysis for different levels of data centre connection rates </w:t>
      </w:r>
      <w:r w:rsidR="00AD2AC4" w:rsidRPr="00D44CF2">
        <w:t>and the possible augmentations that would be required to facilitate these connections.</w:t>
      </w:r>
    </w:p>
    <w:p w14:paraId="2CD5128C" w14:textId="3D8BFFE6" w:rsidR="00857E47" w:rsidRPr="00D44CF2" w:rsidRDefault="00857E47" w:rsidP="00857E47">
      <w:pPr>
        <w:pStyle w:val="BodyText"/>
      </w:pPr>
      <w:r w:rsidRPr="00D44CF2">
        <w:t xml:space="preserve">The Victorian DSN remained secure in </w:t>
      </w:r>
      <w:r w:rsidR="00E4603E" w:rsidRPr="00D44CF2">
        <w:t>2024</w:t>
      </w:r>
      <w:r w:rsidRPr="00D44CF2">
        <w:t>-</w:t>
      </w:r>
      <w:r w:rsidR="00E4603E" w:rsidRPr="00D44CF2">
        <w:t>25</w:t>
      </w:r>
      <w:r w:rsidRPr="00D44CF2">
        <w:t xml:space="preserve">, </w:t>
      </w:r>
      <w:r w:rsidR="00CF73D1" w:rsidRPr="00D44CF2">
        <w:t xml:space="preserve">as </w:t>
      </w:r>
      <w:r w:rsidR="00210DF8" w:rsidRPr="00D44CF2">
        <w:t xml:space="preserve">AEMO </w:t>
      </w:r>
      <w:r w:rsidR="006E6012" w:rsidRPr="00D44CF2">
        <w:t>operated the system to manage the challenges of</w:t>
      </w:r>
      <w:r w:rsidRPr="00D44CF2">
        <w:t xml:space="preserve"> record low minimum demand, </w:t>
      </w:r>
      <w:r w:rsidR="00080BE5" w:rsidRPr="00D44CF2">
        <w:t xml:space="preserve">rapidly </w:t>
      </w:r>
      <w:r w:rsidR="006B6B76" w:rsidRPr="00D44CF2">
        <w:t xml:space="preserve">growing </w:t>
      </w:r>
      <w:r w:rsidRPr="00D44CF2">
        <w:t xml:space="preserve">levels of </w:t>
      </w:r>
      <w:r w:rsidR="003B29DD" w:rsidRPr="00D44CF2">
        <w:t>variable renewable energy (</w:t>
      </w:r>
      <w:r w:rsidRPr="00D44CF2">
        <w:t>VRE</w:t>
      </w:r>
      <w:r w:rsidR="003B29DD" w:rsidRPr="00D44CF2">
        <w:t>)</w:t>
      </w:r>
      <w:r w:rsidRPr="00D44CF2">
        <w:t xml:space="preserve"> generation</w:t>
      </w:r>
      <w:r w:rsidR="003B29DD" w:rsidRPr="00D44CF2">
        <w:t>,</w:t>
      </w:r>
      <w:r w:rsidRPr="00D44CF2">
        <w:t xml:space="preserve"> and</w:t>
      </w:r>
      <w:r w:rsidR="003B29DD" w:rsidRPr="00D44CF2">
        <w:t xml:space="preserve"> </w:t>
      </w:r>
      <w:r w:rsidRPr="00D44CF2">
        <w:t>non</w:t>
      </w:r>
      <w:r w:rsidR="00320AC3" w:rsidRPr="00D44CF2">
        <w:noBreakHyphen/>
      </w:r>
      <w:r w:rsidRPr="00D44CF2">
        <w:t xml:space="preserve">credible incidents due to severe weather conditions. Notable network performance observations </w:t>
      </w:r>
      <w:r w:rsidR="00D96AA4" w:rsidRPr="00D44CF2">
        <w:t>include</w:t>
      </w:r>
      <w:r w:rsidRPr="00D44CF2">
        <w:t>:</w:t>
      </w:r>
    </w:p>
    <w:p w14:paraId="0535466D" w14:textId="019D10DD" w:rsidR="00857E47" w:rsidRPr="00D44CF2" w:rsidRDefault="00857E47" w:rsidP="009A1D79">
      <w:pPr>
        <w:pStyle w:val="ListBullet"/>
      </w:pPr>
      <w:r w:rsidRPr="00D44CF2">
        <w:t xml:space="preserve">The annual peak Victorian operational demand in </w:t>
      </w:r>
      <w:r w:rsidR="00CE1FEC" w:rsidRPr="00D44CF2">
        <w:t>2024</w:t>
      </w:r>
      <w:r w:rsidRPr="00D44CF2">
        <w:t>-2</w:t>
      </w:r>
      <w:r w:rsidR="00CE1FEC" w:rsidRPr="00D44CF2">
        <w:t>5</w:t>
      </w:r>
      <w:r w:rsidRPr="00D44CF2">
        <w:t xml:space="preserve"> was 9,</w:t>
      </w:r>
      <w:r w:rsidR="00901F91" w:rsidRPr="00D44CF2">
        <w:t>851</w:t>
      </w:r>
      <w:r w:rsidRPr="00D44CF2">
        <w:t xml:space="preserve"> MW on </w:t>
      </w:r>
      <w:r w:rsidR="00901F91" w:rsidRPr="00D44CF2">
        <w:t xml:space="preserve">16 January </w:t>
      </w:r>
      <w:r w:rsidR="06279E17" w:rsidRPr="00D44CF2">
        <w:t>202</w:t>
      </w:r>
      <w:r w:rsidR="00901F91" w:rsidRPr="00D44CF2">
        <w:t>5</w:t>
      </w:r>
      <w:r w:rsidRPr="00D44CF2">
        <w:t xml:space="preserve"> (compared to </w:t>
      </w:r>
      <w:r w:rsidR="00B408BE" w:rsidRPr="00D44CF2">
        <w:t xml:space="preserve">the peak of </w:t>
      </w:r>
      <w:r w:rsidR="00901F91" w:rsidRPr="00D44CF2">
        <w:t>9</w:t>
      </w:r>
      <w:r w:rsidRPr="00D44CF2">
        <w:t>,</w:t>
      </w:r>
      <w:r w:rsidR="00901F91" w:rsidRPr="00D44CF2">
        <w:t>184</w:t>
      </w:r>
      <w:r w:rsidRPr="00D44CF2">
        <w:t xml:space="preserve"> MW in 202</w:t>
      </w:r>
      <w:r w:rsidR="00901F91" w:rsidRPr="00D44CF2">
        <w:t>3</w:t>
      </w:r>
      <w:r w:rsidRPr="00D44CF2">
        <w:t>-2</w:t>
      </w:r>
      <w:r w:rsidR="00901F91" w:rsidRPr="00D44CF2">
        <w:t>4</w:t>
      </w:r>
      <w:r w:rsidRPr="00D44CF2">
        <w:t xml:space="preserve">). Although higher than the previous year, </w:t>
      </w:r>
      <w:r w:rsidR="00277D7D" w:rsidRPr="00D44CF2">
        <w:t xml:space="preserve">this peak </w:t>
      </w:r>
      <w:r w:rsidRPr="00D44CF2">
        <w:t xml:space="preserve">remained low compared to the historical summer maximum demand of 10,576 MW in 2008-09, before </w:t>
      </w:r>
      <w:r w:rsidR="00277D7D" w:rsidRPr="00D44CF2">
        <w:t>Victorian consumers’</w:t>
      </w:r>
      <w:r w:rsidRPr="00D44CF2">
        <w:t xml:space="preserve"> substantial uptake of distributed PV.</w:t>
      </w:r>
    </w:p>
    <w:p w14:paraId="691509D7" w14:textId="705A9D91" w:rsidR="00857E47" w:rsidRPr="00D44CF2" w:rsidRDefault="00857E47" w:rsidP="009A1D79">
      <w:pPr>
        <w:pStyle w:val="ListBullet"/>
        <w:rPr>
          <w:rFonts w:ascii="Arial Nova" w:eastAsia="Arial Nova" w:hAnsi="Arial Nova" w:cs="Times New Roman"/>
        </w:rPr>
      </w:pPr>
      <w:r w:rsidRPr="00D44CF2">
        <w:t>Victoria recorded its all-time lowest minimum operational demand of 1,5</w:t>
      </w:r>
      <w:r w:rsidR="00E563A8" w:rsidRPr="00D44CF2">
        <w:t>0</w:t>
      </w:r>
      <w:r w:rsidRPr="00D44CF2">
        <w:t>4 MW</w:t>
      </w:r>
      <w:r w:rsidRPr="00D44CF2">
        <w:rPr>
          <w:vertAlign w:val="superscript"/>
          <w:lang w:val="en-GB"/>
        </w:rPr>
        <w:t xml:space="preserve"> </w:t>
      </w:r>
      <w:r w:rsidRPr="00D44CF2">
        <w:rPr>
          <w:lang w:val="en-GB"/>
        </w:rPr>
        <w:t xml:space="preserve">on 1 </w:t>
      </w:r>
      <w:r w:rsidR="00E563A8" w:rsidRPr="00D44CF2">
        <w:rPr>
          <w:lang w:val="en-GB"/>
        </w:rPr>
        <w:t xml:space="preserve">January </w:t>
      </w:r>
      <w:r w:rsidRPr="00D44CF2">
        <w:rPr>
          <w:lang w:val="en-GB"/>
        </w:rPr>
        <w:t>202</w:t>
      </w:r>
      <w:r w:rsidR="00E563A8" w:rsidRPr="00D44CF2">
        <w:rPr>
          <w:lang w:val="en-GB"/>
        </w:rPr>
        <w:t>5</w:t>
      </w:r>
      <w:r w:rsidRPr="00D44CF2">
        <w:rPr>
          <w:lang w:val="en-GB"/>
        </w:rPr>
        <w:t xml:space="preserve">. This was </w:t>
      </w:r>
      <w:r w:rsidR="0095141F" w:rsidRPr="00D44CF2">
        <w:rPr>
          <w:lang w:val="en-GB"/>
        </w:rPr>
        <w:t>6</w:t>
      </w:r>
      <w:r w:rsidR="00336915" w:rsidRPr="00D44CF2">
        <w:rPr>
          <w:lang w:val="en-GB"/>
        </w:rPr>
        <w:t>0</w:t>
      </w:r>
      <w:r w:rsidR="00DE732F" w:rsidRPr="00D44CF2">
        <w:rPr>
          <w:lang w:val="en-GB"/>
        </w:rPr>
        <w:t> </w:t>
      </w:r>
      <w:r w:rsidRPr="00D44CF2">
        <w:rPr>
          <w:lang w:val="en-GB"/>
        </w:rPr>
        <w:t xml:space="preserve">MW lower </w:t>
      </w:r>
      <w:r w:rsidRPr="00D44CF2">
        <w:t>than</w:t>
      </w:r>
      <w:r w:rsidRPr="00D44CF2">
        <w:rPr>
          <w:lang w:val="en-GB"/>
        </w:rPr>
        <w:t xml:space="preserve"> the previous record set last year, and the </w:t>
      </w:r>
      <w:r w:rsidR="00E563A8" w:rsidRPr="00D44CF2">
        <w:rPr>
          <w:lang w:val="en-GB"/>
        </w:rPr>
        <w:t xml:space="preserve">sixth </w:t>
      </w:r>
      <w:r w:rsidRPr="00D44CF2">
        <w:rPr>
          <w:lang w:val="en-GB"/>
        </w:rPr>
        <w:t>consecutive year that the record has been broken</w:t>
      </w:r>
      <w:r w:rsidR="00DE732F" w:rsidRPr="00D44CF2">
        <w:rPr>
          <w:lang w:val="en-GB"/>
        </w:rPr>
        <w:t xml:space="preserve">. </w:t>
      </w:r>
      <w:r w:rsidR="008A2BF2" w:rsidRPr="00D44CF2">
        <w:rPr>
          <w:lang w:val="en-GB"/>
        </w:rPr>
        <w:t>At the time of the record min</w:t>
      </w:r>
      <w:r w:rsidR="00406D6B" w:rsidRPr="00D44CF2">
        <w:rPr>
          <w:lang w:val="en-GB"/>
        </w:rPr>
        <w:t>im</w:t>
      </w:r>
      <w:r w:rsidR="008A2BF2" w:rsidRPr="00D44CF2">
        <w:rPr>
          <w:lang w:val="en-GB"/>
        </w:rPr>
        <w:t xml:space="preserve">um demand, </w:t>
      </w:r>
      <w:r w:rsidRPr="00D44CF2">
        <w:rPr>
          <w:lang w:val="en-GB"/>
        </w:rPr>
        <w:t>more than 3</w:t>
      </w:r>
      <w:r w:rsidR="00824FDC" w:rsidRPr="00D44CF2">
        <w:rPr>
          <w:lang w:val="en-GB"/>
        </w:rPr>
        <w:t>.5</w:t>
      </w:r>
      <w:r w:rsidRPr="00D44CF2">
        <w:rPr>
          <w:lang w:val="en-GB"/>
        </w:rPr>
        <w:t xml:space="preserve"> GW of distributed </w:t>
      </w:r>
      <w:r w:rsidR="00814BCA" w:rsidRPr="00D44CF2">
        <w:rPr>
          <w:lang w:val="en-GB"/>
        </w:rPr>
        <w:t>PV supplied</w:t>
      </w:r>
      <w:r w:rsidRPr="00D44CF2" w:rsidDel="00857E47">
        <w:rPr>
          <w:lang w:val="en-GB"/>
        </w:rPr>
        <w:t xml:space="preserve"> </w:t>
      </w:r>
      <w:r w:rsidR="613CD20A" w:rsidRPr="00D44CF2">
        <w:rPr>
          <w:lang w:val="en-GB"/>
        </w:rPr>
        <w:t>the majority of</w:t>
      </w:r>
      <w:r w:rsidR="006A5307" w:rsidRPr="00D44CF2">
        <w:rPr>
          <w:lang w:val="en-GB"/>
        </w:rPr>
        <w:t xml:space="preserve"> </w:t>
      </w:r>
      <w:r w:rsidRPr="00D44CF2">
        <w:t>Victoria’s</w:t>
      </w:r>
      <w:r w:rsidRPr="00D44CF2">
        <w:rPr>
          <w:lang w:val="en-GB"/>
        </w:rPr>
        <w:t xml:space="preserve"> underlying demand. </w:t>
      </w:r>
    </w:p>
    <w:p w14:paraId="67276B66" w14:textId="18D30A3C" w:rsidR="00857E47" w:rsidRPr="00D44CF2" w:rsidRDefault="00857E47" w:rsidP="009A1D79">
      <w:pPr>
        <w:pStyle w:val="ListBullet"/>
      </w:pPr>
      <w:r w:rsidRPr="00D44CF2">
        <w:rPr>
          <w:lang w:val="en-GB"/>
        </w:rPr>
        <w:t>Due to existing network constraints</w:t>
      </w:r>
      <w:r w:rsidR="00210DF8" w:rsidRPr="00D44CF2">
        <w:rPr>
          <w:lang w:val="en-GB"/>
        </w:rPr>
        <w:t>,</w:t>
      </w:r>
      <w:r w:rsidRPr="00D44CF2">
        <w:rPr>
          <w:lang w:val="en-GB"/>
        </w:rPr>
        <w:t xml:space="preserve"> curtailment of </w:t>
      </w:r>
      <w:r w:rsidRPr="00D44CF2">
        <w:t xml:space="preserve">VRE generation was </w:t>
      </w:r>
      <w:r w:rsidR="008925E8" w:rsidRPr="00D44CF2">
        <w:t xml:space="preserve">predominately </w:t>
      </w:r>
      <w:r w:rsidRPr="00D44CF2">
        <w:t xml:space="preserve">observed in </w:t>
      </w:r>
      <w:r w:rsidR="00D72F45" w:rsidRPr="00D44CF2">
        <w:t xml:space="preserve">the </w:t>
      </w:r>
      <w:r w:rsidR="008925E8" w:rsidRPr="00D44CF2">
        <w:t>Western</w:t>
      </w:r>
      <w:r w:rsidR="00D72F45" w:rsidRPr="00D44CF2">
        <w:t xml:space="preserve"> Victoria</w:t>
      </w:r>
      <w:r w:rsidR="008925E8" w:rsidRPr="00D44CF2">
        <w:t xml:space="preserve"> and Murr</w:t>
      </w:r>
      <w:r w:rsidR="00910270" w:rsidRPr="00D44CF2">
        <w:t xml:space="preserve">ay River </w:t>
      </w:r>
      <w:r w:rsidR="00653FE3">
        <w:t>corridor</w:t>
      </w:r>
      <w:r w:rsidR="00012E8C" w:rsidRPr="00D44CF2">
        <w:t>s during 202</w:t>
      </w:r>
      <w:r w:rsidR="00B10E8C" w:rsidRPr="00D44CF2">
        <w:t>4</w:t>
      </w:r>
      <w:r w:rsidR="00012E8C" w:rsidRPr="00D44CF2">
        <w:t>-2</w:t>
      </w:r>
      <w:r w:rsidR="00B10E8C" w:rsidRPr="00D44CF2">
        <w:t>5</w:t>
      </w:r>
      <w:r w:rsidR="00986E89" w:rsidRPr="00D44CF2">
        <w:t xml:space="preserve"> and curtailment levels across Victoria were </w:t>
      </w:r>
      <w:r w:rsidR="006426E6" w:rsidRPr="00D44CF2">
        <w:t>overall</w:t>
      </w:r>
      <w:r w:rsidR="00986E89" w:rsidRPr="00D44CF2">
        <w:t xml:space="preserve"> less than</w:t>
      </w:r>
      <w:r w:rsidR="006426E6" w:rsidRPr="00D44CF2">
        <w:t xml:space="preserve"> in 2023-24</w:t>
      </w:r>
      <w:r w:rsidRPr="00D44CF2">
        <w:t>.</w:t>
      </w:r>
      <w:r w:rsidRPr="00D44CF2">
        <w:rPr>
          <w:lang w:val="en-GB"/>
        </w:rPr>
        <w:t xml:space="preserve"> </w:t>
      </w:r>
    </w:p>
    <w:p w14:paraId="108D6709" w14:textId="4AB03AFC" w:rsidR="00857E47" w:rsidRPr="00D44CF2" w:rsidRDefault="00860254" w:rsidP="00EE1C8C">
      <w:pPr>
        <w:pStyle w:val="Heading4"/>
      </w:pPr>
      <w:r w:rsidRPr="00D44CF2">
        <w:t xml:space="preserve">Progress is being made on projects in </w:t>
      </w:r>
      <w:r w:rsidR="00C52F11" w:rsidRPr="00D44CF2">
        <w:t>AVP’s</w:t>
      </w:r>
      <w:r w:rsidR="00857E47" w:rsidRPr="00D44CF2">
        <w:t xml:space="preserve"> Transmission Development Plan</w:t>
      </w:r>
    </w:p>
    <w:p w14:paraId="528754D8" w14:textId="331EDB55" w:rsidR="006325D4" w:rsidRPr="00D44CF2" w:rsidRDefault="006325D4" w:rsidP="006325D4">
      <w:pPr>
        <w:pStyle w:val="BodyText"/>
      </w:pPr>
      <w:r w:rsidRPr="00D44CF2">
        <w:t xml:space="preserve"> </w:t>
      </w:r>
      <w:r w:rsidR="00185CEF" w:rsidRPr="00D44CF2">
        <w:t xml:space="preserve">Two </w:t>
      </w:r>
      <w:r w:rsidRPr="00D44CF2">
        <w:t>project</w:t>
      </w:r>
      <w:r w:rsidR="00185CEF" w:rsidRPr="00D44CF2">
        <w:t>s</w:t>
      </w:r>
      <w:r w:rsidRPr="00D44CF2">
        <w:t xml:space="preserve"> ha</w:t>
      </w:r>
      <w:r w:rsidR="00185CEF" w:rsidRPr="00D44CF2">
        <w:t>ve</w:t>
      </w:r>
      <w:r w:rsidRPr="00D44CF2">
        <w:t xml:space="preserve"> been delivered</w:t>
      </w:r>
      <w:r w:rsidR="00F619C3" w:rsidRPr="00D44CF2">
        <w:t xml:space="preserve"> since </w:t>
      </w:r>
      <w:r w:rsidR="00F70D75" w:rsidRPr="00D44CF2">
        <w:t>the</w:t>
      </w:r>
      <w:r w:rsidR="00F619C3" w:rsidRPr="00D44CF2">
        <w:t xml:space="preserve"> last VAPR</w:t>
      </w:r>
      <w:r w:rsidRPr="00D44CF2">
        <w:t>:</w:t>
      </w:r>
    </w:p>
    <w:p w14:paraId="2CCEB8B6" w14:textId="7967324E" w:rsidR="006325D4" w:rsidRPr="00D44CF2" w:rsidRDefault="006325D4" w:rsidP="442DA4AB">
      <w:pPr>
        <w:pStyle w:val="ListBullet"/>
      </w:pPr>
      <w:r w:rsidRPr="00D44CF2">
        <w:rPr>
          <w:b/>
          <w:bCs/>
        </w:rPr>
        <w:t>The</w:t>
      </w:r>
      <w:r w:rsidRPr="00D44CF2">
        <w:t xml:space="preserve"> </w:t>
      </w:r>
      <w:r w:rsidRPr="00D44CF2">
        <w:rPr>
          <w:b/>
          <w:bCs/>
        </w:rPr>
        <w:t xml:space="preserve">new 220 kV </w:t>
      </w:r>
      <w:r w:rsidR="00185CEF" w:rsidRPr="00D44CF2">
        <w:rPr>
          <w:b/>
          <w:bCs/>
        </w:rPr>
        <w:t xml:space="preserve">Golden Plains </w:t>
      </w:r>
      <w:r w:rsidRPr="00D44CF2">
        <w:rPr>
          <w:b/>
          <w:bCs/>
        </w:rPr>
        <w:t>T</w:t>
      </w:r>
      <w:r w:rsidR="008069C6" w:rsidRPr="00D44CF2">
        <w:rPr>
          <w:b/>
          <w:bCs/>
        </w:rPr>
        <w:t>erminal</w:t>
      </w:r>
      <w:r w:rsidR="005813DC" w:rsidRPr="00D44CF2">
        <w:rPr>
          <w:b/>
          <w:bCs/>
        </w:rPr>
        <w:t xml:space="preserve"> </w:t>
      </w:r>
      <w:r w:rsidRPr="00D44CF2">
        <w:rPr>
          <w:b/>
          <w:bCs/>
        </w:rPr>
        <w:t>S</w:t>
      </w:r>
      <w:r w:rsidR="005813DC" w:rsidRPr="00D44CF2">
        <w:rPr>
          <w:b/>
          <w:bCs/>
        </w:rPr>
        <w:t>tation</w:t>
      </w:r>
      <w:r w:rsidR="00D130A7" w:rsidRPr="00D44CF2">
        <w:rPr>
          <w:b/>
          <w:bCs/>
        </w:rPr>
        <w:t xml:space="preserve"> </w:t>
      </w:r>
      <w:r w:rsidR="005813DC" w:rsidRPr="00D44CF2">
        <w:rPr>
          <w:b/>
          <w:bCs/>
        </w:rPr>
        <w:t>(</w:t>
      </w:r>
      <w:r w:rsidR="00362F5A" w:rsidRPr="00D44CF2">
        <w:rPr>
          <w:b/>
          <w:bCs/>
        </w:rPr>
        <w:t>GP</w:t>
      </w:r>
      <w:r w:rsidR="005813DC" w:rsidRPr="00D44CF2">
        <w:rPr>
          <w:b/>
          <w:bCs/>
        </w:rPr>
        <w:t>TS)</w:t>
      </w:r>
      <w:r w:rsidRPr="00D44CF2">
        <w:t xml:space="preserve">, constructed as part of the connection of Golden Plains Wind Farm, was energised in </w:t>
      </w:r>
      <w:r w:rsidR="00431E60" w:rsidRPr="00D44CF2">
        <w:t xml:space="preserve">August </w:t>
      </w:r>
      <w:r w:rsidRPr="00D44CF2">
        <w:t xml:space="preserve">2024. </w:t>
      </w:r>
      <w:r w:rsidR="00362F5A" w:rsidRPr="00D44CF2">
        <w:t xml:space="preserve">GPTS is currently connected </w:t>
      </w:r>
      <w:r w:rsidR="002C3792" w:rsidRPr="00D44CF2">
        <w:t xml:space="preserve">in a radial transmission arrangement </w:t>
      </w:r>
      <w:r w:rsidR="00FF56CA" w:rsidRPr="00D44CF2">
        <w:t xml:space="preserve">Cressy Terminal Station (CRTS) </w:t>
      </w:r>
      <w:r w:rsidR="002C3792" w:rsidRPr="00D44CF2">
        <w:t xml:space="preserve">with a number of connections for the Golden Plain energy </w:t>
      </w:r>
      <w:r w:rsidR="00FF56CA" w:rsidRPr="00D44CF2">
        <w:t>precinct</w:t>
      </w:r>
      <w:r w:rsidR="002C3792" w:rsidRPr="00D44CF2">
        <w:t xml:space="preserve"> to tie</w:t>
      </w:r>
      <w:r w:rsidR="00FF56CA" w:rsidRPr="00D44CF2">
        <w:t xml:space="preserve"> </w:t>
      </w:r>
      <w:r w:rsidR="11138338" w:rsidRPr="00D44CF2">
        <w:t>back to</w:t>
      </w:r>
      <w:r w:rsidR="00FF56CA" w:rsidRPr="00D44CF2">
        <w:t xml:space="preserve"> CRTS</w:t>
      </w:r>
      <w:r w:rsidR="60AF7F5A" w:rsidRPr="00D44CF2">
        <w:t xml:space="preserve"> with GPTS</w:t>
      </w:r>
      <w:r w:rsidRPr="00D44CF2">
        <w:t xml:space="preserve">. </w:t>
      </w:r>
    </w:p>
    <w:p w14:paraId="018DCD4E" w14:textId="736D157D" w:rsidR="00FF56CA" w:rsidRPr="00D44CF2" w:rsidRDefault="00FF56CA" w:rsidP="00897BB1">
      <w:pPr>
        <w:pStyle w:val="ListBullet"/>
        <w:numPr>
          <w:ilvl w:val="0"/>
          <w:numId w:val="25"/>
        </w:numPr>
      </w:pPr>
      <w:r w:rsidRPr="00D44CF2">
        <w:rPr>
          <w:b/>
          <w:bCs/>
        </w:rPr>
        <w:t>The</w:t>
      </w:r>
      <w:r w:rsidRPr="00D44CF2">
        <w:t xml:space="preserve"> </w:t>
      </w:r>
      <w:r w:rsidRPr="00D44CF2">
        <w:rPr>
          <w:b/>
        </w:rPr>
        <w:t>new 220 kV Koorangie Terminal Station (KOTS)</w:t>
      </w:r>
      <w:r w:rsidRPr="00D44CF2">
        <w:t xml:space="preserve"> </w:t>
      </w:r>
      <w:r w:rsidR="00CC7F8D" w:rsidRPr="00D44CF2">
        <w:t>was completed between the existing Kerang Terminal Station (KGTS) and Wemen Terminal Station (WETS)</w:t>
      </w:r>
      <w:r w:rsidRPr="00D44CF2">
        <w:t>.</w:t>
      </w:r>
      <w:r w:rsidR="004D5B55" w:rsidRPr="00D44CF2">
        <w:t xml:space="preserve"> This terminal station was established to facilitate the connection for the Koorangie</w:t>
      </w:r>
      <w:r w:rsidR="007B691A" w:rsidRPr="00D44CF2">
        <w:t xml:space="preserve"> battery energy storage system (</w:t>
      </w:r>
      <w:r w:rsidR="0006162D" w:rsidRPr="00D44CF2">
        <w:t>K</w:t>
      </w:r>
      <w:r w:rsidR="007B691A" w:rsidRPr="00D44CF2">
        <w:t>ESS).</w:t>
      </w:r>
      <w:r w:rsidRPr="00D44CF2">
        <w:t xml:space="preserve"> </w:t>
      </w:r>
      <w:r w:rsidR="00302A07" w:rsidRPr="00D44CF2">
        <w:t>KOTS was energised in November 2024</w:t>
      </w:r>
      <w:r w:rsidR="00F45514" w:rsidRPr="00D44CF2">
        <w:t xml:space="preserve"> and </w:t>
      </w:r>
      <w:r w:rsidR="0006162D" w:rsidRPr="00D44CF2">
        <w:t>KESS</w:t>
      </w:r>
      <w:r w:rsidR="00081726" w:rsidRPr="00D44CF2">
        <w:t xml:space="preserve"> was completed in June 2025</w:t>
      </w:r>
      <w:r w:rsidR="00302A07" w:rsidRPr="00D44CF2">
        <w:t>.</w:t>
      </w:r>
    </w:p>
    <w:p w14:paraId="0EE1EADD" w14:textId="79375F85" w:rsidR="00860254" w:rsidRPr="00D44CF2" w:rsidRDefault="00860254" w:rsidP="00755879">
      <w:pPr>
        <w:pStyle w:val="BodyText"/>
      </w:pPr>
      <w:r w:rsidRPr="00D44CF2">
        <w:t xml:space="preserve">The following critically important projects are in </w:t>
      </w:r>
      <w:r w:rsidR="00D03544" w:rsidRPr="00D44CF2">
        <w:t xml:space="preserve">the </w:t>
      </w:r>
      <w:r w:rsidRPr="00D44CF2">
        <w:t xml:space="preserve">delivery stage and </w:t>
      </w:r>
      <w:r w:rsidR="00422CB2" w:rsidRPr="00D44CF2">
        <w:t>are expected</w:t>
      </w:r>
      <w:r w:rsidRPr="00D44CF2">
        <w:t xml:space="preserve"> to alleviate the constraints identified in th</w:t>
      </w:r>
      <w:r w:rsidR="00D03544" w:rsidRPr="00D44CF2">
        <w:t>is and</w:t>
      </w:r>
      <w:r w:rsidRPr="00D44CF2">
        <w:t xml:space="preserve"> previous VAPRs:</w:t>
      </w:r>
    </w:p>
    <w:p w14:paraId="0BFBD9C2" w14:textId="56097015" w:rsidR="00860254" w:rsidRPr="00D44CF2" w:rsidRDefault="00860254" w:rsidP="3AD74A67">
      <w:pPr>
        <w:pStyle w:val="ListBullet"/>
      </w:pPr>
      <w:r w:rsidRPr="00D44CF2">
        <w:rPr>
          <w:b/>
          <w:bCs/>
        </w:rPr>
        <w:t>WRL</w:t>
      </w:r>
      <w:r w:rsidRPr="00D44CF2">
        <w:t xml:space="preserve"> – </w:t>
      </w:r>
      <w:r w:rsidR="007834D0" w:rsidRPr="00D44CF2">
        <w:t xml:space="preserve">this </w:t>
      </w:r>
      <w:r w:rsidR="000D1FF2" w:rsidRPr="00D44CF2">
        <w:t>aims</w:t>
      </w:r>
      <w:r w:rsidRPr="00D44CF2">
        <w:t xml:space="preserve"> to unlock renewable energy resources, reduce network congestion, and improve utilisation of existing assets in </w:t>
      </w:r>
      <w:r w:rsidR="007D7AA6" w:rsidRPr="00D44CF2">
        <w:t>W</w:t>
      </w:r>
      <w:r w:rsidRPr="00D44CF2">
        <w:t xml:space="preserve">estern Victoria. The scope includes a </w:t>
      </w:r>
      <w:r w:rsidR="007D7AA6" w:rsidRPr="00D44CF2">
        <w:t>double</w:t>
      </w:r>
      <w:r w:rsidR="00387778">
        <w:t>-</w:t>
      </w:r>
      <w:r w:rsidR="007D7AA6" w:rsidRPr="00D44CF2">
        <w:t xml:space="preserve">circuit </w:t>
      </w:r>
      <w:r w:rsidRPr="00D44CF2">
        <w:t xml:space="preserve">500 kV </w:t>
      </w:r>
      <w:r w:rsidR="005841CC" w:rsidRPr="00D44CF2">
        <w:t xml:space="preserve">overhead </w:t>
      </w:r>
      <w:r w:rsidR="006A57CF" w:rsidRPr="00D44CF2">
        <w:t>transmission line</w:t>
      </w:r>
      <w:r w:rsidRPr="00D44CF2">
        <w:t xml:space="preserve"> </w:t>
      </w:r>
      <w:r w:rsidRPr="00D44CF2">
        <w:lastRenderedPageBreak/>
        <w:t xml:space="preserve">from Sydenham to </w:t>
      </w:r>
      <w:r w:rsidR="009C7FBC" w:rsidRPr="00D44CF2">
        <w:t xml:space="preserve">Joel Joel </w:t>
      </w:r>
      <w:r w:rsidR="00EC13DF" w:rsidRPr="00D44CF2">
        <w:t>(</w:t>
      </w:r>
      <w:r w:rsidR="00C00826" w:rsidRPr="00D44CF2">
        <w:t xml:space="preserve">near </w:t>
      </w:r>
      <w:r w:rsidRPr="00D44CF2">
        <w:t>Bulgana</w:t>
      </w:r>
      <w:r w:rsidR="00EC13DF" w:rsidRPr="00D44CF2">
        <w:t>)</w:t>
      </w:r>
      <w:r w:rsidRPr="00D44CF2">
        <w:t xml:space="preserve"> with a 220 kV connection </w:t>
      </w:r>
      <w:r w:rsidR="006A57CF" w:rsidRPr="00D44CF2">
        <w:t>in</w:t>
      </w:r>
      <w:r w:rsidRPr="00D44CF2">
        <w:t xml:space="preserve">to the existing Bulgana 220 kV </w:t>
      </w:r>
      <w:r w:rsidR="00422CB2" w:rsidRPr="00D44CF2">
        <w:t>T</w:t>
      </w:r>
      <w:r w:rsidR="00320AC3" w:rsidRPr="00D44CF2">
        <w:t>erminal Station</w:t>
      </w:r>
      <w:r w:rsidR="00441B8D" w:rsidRPr="00D44CF2">
        <w:t xml:space="preserve">, and </w:t>
      </w:r>
      <w:r w:rsidR="007F4C59" w:rsidRPr="00D44CF2">
        <w:t>the project</w:t>
      </w:r>
      <w:r w:rsidR="00441B8D" w:rsidRPr="00D44CF2">
        <w:t xml:space="preserve"> </w:t>
      </w:r>
      <w:r w:rsidR="00C00826" w:rsidRPr="00D44CF2">
        <w:t xml:space="preserve">is </w:t>
      </w:r>
      <w:r w:rsidR="33ACB33A" w:rsidRPr="00D44CF2">
        <w:t>planned</w:t>
      </w:r>
      <w:r w:rsidRPr="00D44CF2">
        <w:t xml:space="preserve"> </w:t>
      </w:r>
      <w:r w:rsidR="00C00826" w:rsidRPr="00D44CF2">
        <w:t xml:space="preserve">to be </w:t>
      </w:r>
      <w:r w:rsidRPr="00D44CF2">
        <w:t xml:space="preserve">completed </w:t>
      </w:r>
      <w:r w:rsidR="00C00826" w:rsidRPr="00D44CF2">
        <w:t>in</w:t>
      </w:r>
      <w:r w:rsidRPr="00D44CF2">
        <w:t xml:space="preserve"> </w:t>
      </w:r>
      <w:r w:rsidR="00EA0F7D" w:rsidRPr="00D44CF2">
        <w:t>late 2029</w:t>
      </w:r>
      <w:r w:rsidRPr="00D44CF2">
        <w:t>.</w:t>
      </w:r>
    </w:p>
    <w:p w14:paraId="57DDA72A" w14:textId="2D126CF8" w:rsidR="00860254" w:rsidRPr="00D44CF2" w:rsidRDefault="00860254" w:rsidP="3AD74A67">
      <w:pPr>
        <w:pStyle w:val="ListBullet"/>
      </w:pPr>
      <w:r w:rsidRPr="00D44CF2">
        <w:rPr>
          <w:b/>
          <w:bCs/>
        </w:rPr>
        <w:t>VNI West</w:t>
      </w:r>
      <w:r w:rsidRPr="00D44CF2">
        <w:t xml:space="preserve"> – </w:t>
      </w:r>
      <w:r w:rsidR="000E4CCE" w:rsidRPr="00D44CF2">
        <w:t xml:space="preserve">this </w:t>
      </w:r>
      <w:r w:rsidRPr="00D44CF2">
        <w:t>proposed new interconnector between Victoria and New South Wales consist</w:t>
      </w:r>
      <w:r w:rsidR="000E4CCE" w:rsidRPr="00D44CF2">
        <w:t>s</w:t>
      </w:r>
      <w:r w:rsidRPr="00D44CF2">
        <w:t xml:space="preserve"> of </w:t>
      </w:r>
      <w:r w:rsidR="000D1FF2" w:rsidRPr="00D44CF2">
        <w:t>a</w:t>
      </w:r>
      <w:r w:rsidRPr="00D44CF2">
        <w:t xml:space="preserve"> high capacity 500 kV double</w:t>
      </w:r>
      <w:r w:rsidR="00387778">
        <w:t>-</w:t>
      </w:r>
      <w:r w:rsidRPr="00D44CF2">
        <w:t>circuit overhead transmission line to carry energy from the Murray River and Western Victoria REZs and increase export and import ca</w:t>
      </w:r>
      <w:r w:rsidR="0094129F" w:rsidRPr="00D44CF2">
        <w:t>pability</w:t>
      </w:r>
      <w:r w:rsidRPr="00D44CF2">
        <w:t xml:space="preserve">. </w:t>
      </w:r>
      <w:r w:rsidR="00CA7425" w:rsidRPr="00D44CF2">
        <w:t>In October 2024</w:t>
      </w:r>
      <w:r w:rsidR="00320AC3" w:rsidRPr="00D44CF2">
        <w:t>,</w:t>
      </w:r>
      <w:r w:rsidR="00CA7425" w:rsidRPr="00D44CF2">
        <w:t xml:space="preserve"> </w:t>
      </w:r>
      <w:r w:rsidR="00AE6FC7" w:rsidRPr="00D44CF2">
        <w:t>Transmission Company Victoria (</w:t>
      </w:r>
      <w:r w:rsidRPr="00D44CF2">
        <w:t>TCV</w:t>
      </w:r>
      <w:r w:rsidR="00AE6FC7" w:rsidRPr="00D44CF2">
        <w:t>)</w:t>
      </w:r>
      <w:r w:rsidRPr="00D44CF2">
        <w:t xml:space="preserve"> </w:t>
      </w:r>
      <w:r w:rsidR="005F456A" w:rsidRPr="00D44CF2">
        <w:t xml:space="preserve">published a preferred easement for the line route and </w:t>
      </w:r>
      <w:r w:rsidR="00DA4D53" w:rsidRPr="00D44CF2">
        <w:t>based on landholder feedback is c</w:t>
      </w:r>
      <w:r w:rsidRPr="00D44CF2">
        <w:t xml:space="preserve">urrently </w:t>
      </w:r>
      <w:r w:rsidR="00026F5C" w:rsidRPr="00D44CF2">
        <w:t>undergoing planning and environmental assessments</w:t>
      </w:r>
      <w:r w:rsidR="00A26C08" w:rsidRPr="00D44CF2">
        <w:t xml:space="preserve">. </w:t>
      </w:r>
      <w:r w:rsidRPr="00D44CF2">
        <w:t xml:space="preserve">The project is </w:t>
      </w:r>
      <w:r w:rsidR="316AC17A" w:rsidRPr="00D44CF2">
        <w:t>planned</w:t>
      </w:r>
      <w:r w:rsidRPr="00D44CF2">
        <w:t xml:space="preserve"> to be energised in </w:t>
      </w:r>
      <w:r w:rsidR="0043029B" w:rsidRPr="00D44CF2">
        <w:t xml:space="preserve">late </w:t>
      </w:r>
      <w:r w:rsidRPr="00D44CF2">
        <w:t>20</w:t>
      </w:r>
      <w:r w:rsidR="00026F5C" w:rsidRPr="00D44CF2">
        <w:t>30</w:t>
      </w:r>
      <w:r w:rsidRPr="00D44CF2">
        <w:t xml:space="preserve"> and fully operational by the end of 20</w:t>
      </w:r>
      <w:r w:rsidR="00026F5C" w:rsidRPr="00D44CF2">
        <w:t>31</w:t>
      </w:r>
      <w:r w:rsidRPr="00D44CF2">
        <w:t>.</w:t>
      </w:r>
    </w:p>
    <w:p w14:paraId="6D62DF3B" w14:textId="0EF0A052" w:rsidR="00860254" w:rsidRPr="00D44CF2" w:rsidRDefault="00860254" w:rsidP="00897BB1">
      <w:pPr>
        <w:pStyle w:val="ListBullet"/>
        <w:numPr>
          <w:ilvl w:val="0"/>
          <w:numId w:val="25"/>
        </w:numPr>
      </w:pPr>
      <w:r w:rsidRPr="00D44CF2">
        <w:rPr>
          <w:b/>
          <w:bCs/>
        </w:rPr>
        <w:t>RDP Stage 1 projects</w:t>
      </w:r>
      <w:r w:rsidRPr="00D44CF2">
        <w:t xml:space="preserve"> – directed by the Victorian Government</w:t>
      </w:r>
      <w:r w:rsidR="000E4CCE" w:rsidRPr="00D44CF2">
        <w:t>,</w:t>
      </w:r>
      <w:r w:rsidR="00BE1EBF" w:rsidRPr="00D44CF2">
        <w:t xml:space="preserve"> this includes</w:t>
      </w:r>
      <w:r w:rsidRPr="00D44CF2">
        <w:t xml:space="preserve"> three </w:t>
      </w:r>
      <w:r w:rsidR="00BE1EBF" w:rsidRPr="00D44CF2">
        <w:t xml:space="preserve">system strength </w:t>
      </w:r>
      <w:r w:rsidRPr="00D44CF2">
        <w:t>projects including turn-in of the Haunted Gully to Tarrone 500 kV line at Mortlake</w:t>
      </w:r>
      <w:r w:rsidR="00081726" w:rsidRPr="00D44CF2">
        <w:t xml:space="preserve"> (</w:t>
      </w:r>
      <w:r w:rsidR="00320AC3" w:rsidRPr="00D44CF2">
        <w:t>c</w:t>
      </w:r>
      <w:r w:rsidR="00081726" w:rsidRPr="00D44CF2">
        <w:t>ompleted July 2025)</w:t>
      </w:r>
      <w:r w:rsidR="00F52DE9" w:rsidRPr="00D44CF2">
        <w:t>,</w:t>
      </w:r>
      <w:r w:rsidRPr="00D44CF2">
        <w:t xml:space="preserve"> and nine minor network augmentations. These projects support the connection of more low-cost renewable generation in regional Victoria</w:t>
      </w:r>
      <w:r w:rsidR="00F52DE9" w:rsidRPr="00D44CF2">
        <w:t xml:space="preserve"> and</w:t>
      </w:r>
      <w:r w:rsidRPr="00D44CF2">
        <w:t xml:space="preserve"> are progressing towards </w:t>
      </w:r>
      <w:r w:rsidR="00E939AE" w:rsidRPr="00D44CF2">
        <w:t>being finalised in late</w:t>
      </w:r>
      <w:r w:rsidRPr="00D44CF2">
        <w:t xml:space="preserve"> 2025.</w:t>
      </w:r>
    </w:p>
    <w:p w14:paraId="051AC6A2" w14:textId="60AFE7C9" w:rsidR="00860254" w:rsidRPr="00D44CF2" w:rsidRDefault="00860254" w:rsidP="3AD74A67">
      <w:pPr>
        <w:pStyle w:val="ListBullet"/>
      </w:pPr>
      <w:r w:rsidRPr="00D44CF2">
        <w:rPr>
          <w:b/>
          <w:bCs/>
        </w:rPr>
        <w:t xml:space="preserve">EnergyConnect </w:t>
      </w:r>
      <w:r w:rsidR="003D60C0" w:rsidRPr="00D44CF2">
        <w:t>–</w:t>
      </w:r>
      <w:r w:rsidRPr="00D44CF2">
        <w:t xml:space="preserve"> </w:t>
      </w:r>
      <w:r w:rsidR="000E4CCE" w:rsidRPr="00D44CF2">
        <w:t xml:space="preserve">this </w:t>
      </w:r>
      <w:r w:rsidRPr="00D44CF2">
        <w:t xml:space="preserve">interconnector between South Australia and New South Wales, with connection to Victoria at Red Cliffs, </w:t>
      </w:r>
      <w:r w:rsidR="000E4CCE" w:rsidRPr="00D44CF2">
        <w:t xml:space="preserve">will have </w:t>
      </w:r>
      <w:r w:rsidRPr="00D44CF2">
        <w:t xml:space="preserve">a transfer capacity of 800 MW. The project is aimed at reducing the cost of providing secure and reliable electricity across the NEM. Commissioning of Stage 1 and inter-network testing </w:t>
      </w:r>
      <w:r w:rsidR="003B6086" w:rsidRPr="00D44CF2">
        <w:t>was completed in April</w:t>
      </w:r>
      <w:r w:rsidRPr="00D44CF2">
        <w:t xml:space="preserve"> 2025</w:t>
      </w:r>
      <w:r w:rsidR="0007020D" w:rsidRPr="00D44CF2">
        <w:t>,</w:t>
      </w:r>
      <w:r w:rsidR="00C911E3" w:rsidRPr="00D44CF2">
        <w:t xml:space="preserve"> enabling an initial</w:t>
      </w:r>
      <w:r w:rsidRPr="00D44CF2">
        <w:t xml:space="preserve"> transfer capacity of 150 MW.</w:t>
      </w:r>
      <w:r w:rsidR="00320AC3" w:rsidRPr="00D44CF2">
        <w:t xml:space="preserve"> </w:t>
      </w:r>
      <w:r w:rsidR="006F0A0D" w:rsidRPr="00D44CF2">
        <w:t xml:space="preserve">Stage 2 is </w:t>
      </w:r>
      <w:r w:rsidR="0DB20BB7" w:rsidRPr="00D44CF2">
        <w:t>planned</w:t>
      </w:r>
      <w:r w:rsidR="006F0A0D" w:rsidRPr="00D44CF2">
        <w:t xml:space="preserve"> to be completed in late 2026.</w:t>
      </w:r>
    </w:p>
    <w:p w14:paraId="6F42F36A" w14:textId="19B4FD49" w:rsidR="00860254" w:rsidRPr="00D44CF2" w:rsidRDefault="00860254" w:rsidP="00897BB1">
      <w:pPr>
        <w:pStyle w:val="ListBullet"/>
        <w:numPr>
          <w:ilvl w:val="0"/>
          <w:numId w:val="25"/>
        </w:numPr>
      </w:pPr>
      <w:r w:rsidRPr="00D44CF2">
        <w:rPr>
          <w:b/>
          <w:bCs/>
        </w:rPr>
        <w:t>Project Marinus</w:t>
      </w:r>
      <w:r w:rsidRPr="00D44CF2">
        <w:t xml:space="preserve"> –</w:t>
      </w:r>
      <w:r w:rsidRPr="00D44CF2" w:rsidDel="000E4CCE">
        <w:t xml:space="preserve"> </w:t>
      </w:r>
      <w:r w:rsidR="000E4CCE" w:rsidRPr="00D44CF2">
        <w:t xml:space="preserve">this </w:t>
      </w:r>
      <w:r w:rsidRPr="00D44CF2">
        <w:t>proposed underground and undersea electricity transmission project</w:t>
      </w:r>
      <w:r w:rsidR="00662820" w:rsidRPr="00D44CF2">
        <w:t xml:space="preserve"> is</w:t>
      </w:r>
      <w:r w:rsidRPr="00D44CF2">
        <w:t xml:space="preserve"> compris</w:t>
      </w:r>
      <w:r w:rsidR="00662820" w:rsidRPr="00D44CF2">
        <w:t>ed of</w:t>
      </w:r>
      <w:r w:rsidRPr="00D44CF2">
        <w:t xml:space="preserve"> two 750</w:t>
      </w:r>
      <w:r w:rsidR="007B7DCD" w:rsidRPr="00D44CF2">
        <w:t> </w:t>
      </w:r>
      <w:r w:rsidRPr="00D44CF2">
        <w:t>MW high voltage direct current (HVDC) links to further connect Tasmania and Victoria. The project is proceeding with early works required</w:t>
      </w:r>
      <w:r w:rsidR="002870D0" w:rsidRPr="00D44CF2">
        <w:t xml:space="preserve"> </w:t>
      </w:r>
      <w:r w:rsidR="004E5FA1" w:rsidRPr="00D44CF2">
        <w:t xml:space="preserve">and in August 2025 the </w:t>
      </w:r>
      <w:r w:rsidRPr="00D44CF2">
        <w:t xml:space="preserve">Final Investment Decision (FID) for Stage 1 </w:t>
      </w:r>
      <w:r w:rsidR="00A440FC" w:rsidRPr="00D44CF2">
        <w:t>was endorsed</w:t>
      </w:r>
      <w:r w:rsidRPr="00D44CF2">
        <w:t>, enabling commissioning of the first cable in 2030</w:t>
      </w:r>
      <w:r w:rsidR="007B7DCD" w:rsidRPr="00D44CF2">
        <w:t>.</w:t>
      </w:r>
    </w:p>
    <w:p w14:paraId="066B5DF9" w14:textId="4F65A4F9" w:rsidR="00857E47" w:rsidRPr="00D44CF2" w:rsidRDefault="00857E47" w:rsidP="00857E47">
      <w:pPr>
        <w:pStyle w:val="BodyText"/>
      </w:pPr>
      <w:bookmarkStart w:id="5" w:name="_Toc149212775"/>
      <w:bookmarkEnd w:id="5"/>
      <w:r w:rsidRPr="00D44CF2">
        <w:t>The following RIT-T</w:t>
      </w:r>
      <w:r w:rsidR="00500A65" w:rsidRPr="00D44CF2">
        <w:t>s</w:t>
      </w:r>
      <w:r w:rsidRPr="00D44CF2">
        <w:t xml:space="preserve"> </w:t>
      </w:r>
      <w:r w:rsidR="00802BD5" w:rsidRPr="00D44CF2">
        <w:t>have</w:t>
      </w:r>
      <w:r w:rsidRPr="00D44CF2">
        <w:t xml:space="preserve"> progressed since </w:t>
      </w:r>
      <w:r w:rsidR="00500A65" w:rsidRPr="00D44CF2">
        <w:t>the</w:t>
      </w:r>
      <w:r w:rsidRPr="00D44CF2">
        <w:t xml:space="preserve"> </w:t>
      </w:r>
      <w:r w:rsidR="001F0842" w:rsidRPr="00D44CF2">
        <w:t xml:space="preserve">2024 </w:t>
      </w:r>
      <w:r w:rsidRPr="00D44CF2">
        <w:t>VAPR:</w:t>
      </w:r>
    </w:p>
    <w:p w14:paraId="6000C90A" w14:textId="0676B971" w:rsidR="00857E47" w:rsidRPr="00D44CF2" w:rsidRDefault="00857E47" w:rsidP="00897BB1">
      <w:pPr>
        <w:pStyle w:val="ListBullet"/>
        <w:numPr>
          <w:ilvl w:val="0"/>
          <w:numId w:val="26"/>
        </w:numPr>
      </w:pPr>
      <w:r w:rsidRPr="00D44CF2">
        <w:rPr>
          <w:b/>
        </w:rPr>
        <w:t xml:space="preserve">Metropolitan Melbourne </w:t>
      </w:r>
      <w:r w:rsidR="0056133A" w:rsidRPr="00D44CF2">
        <w:rPr>
          <w:b/>
        </w:rPr>
        <w:t>Voltage Management</w:t>
      </w:r>
      <w:r w:rsidR="0056133A" w:rsidRPr="00D44CF2">
        <w:t xml:space="preserve"> </w:t>
      </w:r>
      <w:r w:rsidRPr="00D44CF2">
        <w:t>– address</w:t>
      </w:r>
      <w:r w:rsidR="00E70A0A" w:rsidRPr="00D44CF2">
        <w:t>ing</w:t>
      </w:r>
      <w:r w:rsidRPr="00D44CF2">
        <w:t xml:space="preserve"> the previously identified network limitation on managing the voltages in </w:t>
      </w:r>
      <w:r w:rsidR="00D34D69" w:rsidRPr="00D44CF2">
        <w:t xml:space="preserve">the </w:t>
      </w:r>
      <w:r w:rsidRPr="00D44CF2">
        <w:t xml:space="preserve">metropolitan </w:t>
      </w:r>
      <w:r w:rsidR="00D34D69" w:rsidRPr="00D44CF2">
        <w:t xml:space="preserve">Melbourne </w:t>
      </w:r>
      <w:r w:rsidRPr="00D44CF2">
        <w:t xml:space="preserve">area during high and low demand times. AVP published the Project Assessment </w:t>
      </w:r>
      <w:r w:rsidR="001F0842" w:rsidRPr="00D44CF2">
        <w:t xml:space="preserve">Conclusions </w:t>
      </w:r>
      <w:r w:rsidRPr="00D44CF2">
        <w:t>Report (</w:t>
      </w:r>
      <w:r w:rsidR="001F0842" w:rsidRPr="00D44CF2">
        <w:t>PACR</w:t>
      </w:r>
      <w:r w:rsidRPr="00D44CF2">
        <w:t xml:space="preserve">) in </w:t>
      </w:r>
      <w:r w:rsidR="001F0842" w:rsidRPr="00D44CF2">
        <w:t xml:space="preserve">December </w:t>
      </w:r>
      <w:r w:rsidRPr="00D44CF2">
        <w:t>2024</w:t>
      </w:r>
      <w:r w:rsidR="00B20E38" w:rsidRPr="00D44CF2">
        <w:t>, which</w:t>
      </w:r>
      <w:r w:rsidRPr="00D44CF2">
        <w:t xml:space="preserve"> presented the preferred option</w:t>
      </w:r>
      <w:r w:rsidR="00423271" w:rsidRPr="00D44CF2">
        <w:t>,</w:t>
      </w:r>
      <w:r w:rsidR="001F0842" w:rsidRPr="00D44CF2">
        <w:t xml:space="preserve"> to progressively install, and contract services from, new reactive power assets</w:t>
      </w:r>
      <w:r w:rsidRPr="00D44CF2">
        <w:t>.</w:t>
      </w:r>
    </w:p>
    <w:p w14:paraId="192D5C38" w14:textId="67F4F368" w:rsidR="00857E47" w:rsidRPr="00D44CF2" w:rsidRDefault="00857E47" w:rsidP="00897BB1">
      <w:pPr>
        <w:pStyle w:val="ListBullet"/>
        <w:numPr>
          <w:ilvl w:val="0"/>
          <w:numId w:val="26"/>
        </w:numPr>
      </w:pPr>
      <w:r w:rsidRPr="00D44CF2">
        <w:rPr>
          <w:b/>
        </w:rPr>
        <w:t xml:space="preserve">Victorian </w:t>
      </w:r>
      <w:r w:rsidR="006D2362" w:rsidRPr="00D44CF2">
        <w:rPr>
          <w:b/>
        </w:rPr>
        <w:t xml:space="preserve">System Strength </w:t>
      </w:r>
      <w:r w:rsidRPr="00D44CF2">
        <w:rPr>
          <w:b/>
        </w:rPr>
        <w:t>requirements</w:t>
      </w:r>
      <w:r w:rsidRPr="00D44CF2">
        <w:t xml:space="preserve"> – address</w:t>
      </w:r>
      <w:r w:rsidR="00E70A0A" w:rsidRPr="00D44CF2">
        <w:t>ing</w:t>
      </w:r>
      <w:r w:rsidRPr="00D44CF2">
        <w:t xml:space="preserve"> </w:t>
      </w:r>
      <w:r w:rsidR="005B2FD5" w:rsidRPr="00D44CF2">
        <w:t>the</w:t>
      </w:r>
      <w:r w:rsidRPr="00D44CF2">
        <w:t xml:space="preserve"> system strength requirements </w:t>
      </w:r>
      <w:r w:rsidR="005B2FD5" w:rsidRPr="00D44CF2">
        <w:t xml:space="preserve">set out in </w:t>
      </w:r>
      <w:r w:rsidRPr="00D44CF2">
        <w:t>AEMO’s 202</w:t>
      </w:r>
      <w:r w:rsidR="00381484" w:rsidRPr="00D44CF2">
        <w:t>4</w:t>
      </w:r>
      <w:r w:rsidRPr="00D44CF2">
        <w:t xml:space="preserve"> </w:t>
      </w:r>
      <w:r w:rsidRPr="00D44CF2">
        <w:rPr>
          <w:i/>
          <w:iCs/>
        </w:rPr>
        <w:t>System Strength Report</w:t>
      </w:r>
      <w:r w:rsidRPr="00D44CF2">
        <w:t xml:space="preserve">. AVP </w:t>
      </w:r>
      <w:r w:rsidR="00F77B70" w:rsidRPr="00D44CF2">
        <w:t>p</w:t>
      </w:r>
      <w:r w:rsidR="00423271" w:rsidRPr="00D44CF2">
        <w:t>ublished the PACR</w:t>
      </w:r>
      <w:r w:rsidRPr="00D44CF2">
        <w:t xml:space="preserve"> </w:t>
      </w:r>
      <w:r w:rsidR="00C37032" w:rsidRPr="00D44CF2">
        <w:t xml:space="preserve">in </w:t>
      </w:r>
      <w:r w:rsidR="00423271" w:rsidRPr="00D44CF2">
        <w:t xml:space="preserve">August </w:t>
      </w:r>
      <w:r w:rsidR="00C73B62" w:rsidRPr="00D44CF2">
        <w:t>2025</w:t>
      </w:r>
      <w:r w:rsidR="00C37032" w:rsidRPr="00D44CF2">
        <w:t>,</w:t>
      </w:r>
      <w:r w:rsidRPr="00D44CF2">
        <w:t xml:space="preserve"> </w:t>
      </w:r>
      <w:r w:rsidR="00423271" w:rsidRPr="00D44CF2">
        <w:t xml:space="preserve">which presented the </w:t>
      </w:r>
      <w:r w:rsidRPr="00D44CF2">
        <w:t xml:space="preserve">preferred options portfolio </w:t>
      </w:r>
      <w:r w:rsidR="006F7F69" w:rsidRPr="00D44CF2">
        <w:t xml:space="preserve">that </w:t>
      </w:r>
      <w:r w:rsidRPr="00D44CF2">
        <w:t xml:space="preserve">will consist of a range of system strength services agreements with new and existing synchronous unit proponents and </w:t>
      </w:r>
      <w:r w:rsidR="00AE6FC7" w:rsidRPr="00D44CF2">
        <w:t>grid</w:t>
      </w:r>
      <w:r w:rsidR="00AE6FC7" w:rsidRPr="00D44CF2">
        <w:noBreakHyphen/>
        <w:t>forming (</w:t>
      </w:r>
      <w:r w:rsidR="007A677C" w:rsidRPr="00D44CF2">
        <w:t>GFM</w:t>
      </w:r>
      <w:r w:rsidR="00AE6FC7" w:rsidRPr="00D44CF2">
        <w:t>)</w:t>
      </w:r>
      <w:r w:rsidRPr="00D44CF2">
        <w:t xml:space="preserve"> </w:t>
      </w:r>
      <w:r w:rsidR="0006162D" w:rsidRPr="00D44CF2">
        <w:t>battery energy storage system (BESS)</w:t>
      </w:r>
      <w:r w:rsidRPr="00D44CF2">
        <w:t xml:space="preserve"> proponents.</w:t>
      </w:r>
    </w:p>
    <w:p w14:paraId="3A1A085D" w14:textId="59127249" w:rsidR="00857E47" w:rsidRPr="00D44CF2" w:rsidRDefault="00857E47" w:rsidP="009A1D79">
      <w:pPr>
        <w:pStyle w:val="ListBullet"/>
      </w:pPr>
      <w:r w:rsidRPr="00D44CF2">
        <w:rPr>
          <w:rStyle w:val="ui-provider"/>
          <w:b/>
        </w:rPr>
        <w:t>Eastern Victoria Grid Reinforcement</w:t>
      </w:r>
      <w:r w:rsidRPr="00D44CF2">
        <w:rPr>
          <w:rStyle w:val="ui-provider"/>
        </w:rPr>
        <w:t xml:space="preserve"> – address</w:t>
      </w:r>
      <w:r w:rsidR="006E23DB" w:rsidRPr="00D44CF2">
        <w:rPr>
          <w:rStyle w:val="ui-provider"/>
        </w:rPr>
        <w:t>ing</w:t>
      </w:r>
      <w:r w:rsidRPr="00D44CF2">
        <w:rPr>
          <w:rStyle w:val="ui-provider"/>
        </w:rPr>
        <w:t xml:space="preserve"> </w:t>
      </w:r>
      <w:r w:rsidR="006F7F69" w:rsidRPr="00D44CF2">
        <w:rPr>
          <w:rStyle w:val="ui-provider"/>
        </w:rPr>
        <w:t>priority</w:t>
      </w:r>
      <w:r w:rsidRPr="00D44CF2">
        <w:rPr>
          <w:rStyle w:val="ui-provider"/>
        </w:rPr>
        <w:t xml:space="preserve"> limitations identified in </w:t>
      </w:r>
      <w:r w:rsidR="006F7F69" w:rsidRPr="00D44CF2">
        <w:rPr>
          <w:rStyle w:val="ui-provider"/>
        </w:rPr>
        <w:t xml:space="preserve">the </w:t>
      </w:r>
      <w:r w:rsidRPr="00D44CF2">
        <w:rPr>
          <w:rStyle w:val="ui-provider"/>
        </w:rPr>
        <w:t xml:space="preserve">2023 VAPR in </w:t>
      </w:r>
      <w:r w:rsidR="00E57878" w:rsidRPr="00D44CF2">
        <w:rPr>
          <w:rStyle w:val="ui-provider"/>
        </w:rPr>
        <w:t xml:space="preserve">Victoria’s </w:t>
      </w:r>
      <w:r w:rsidRPr="00D44CF2">
        <w:rPr>
          <w:rStyle w:val="ui-provider"/>
        </w:rPr>
        <w:t>eastern 220 kV ring</w:t>
      </w:r>
      <w:r w:rsidR="00E57878" w:rsidRPr="00D44CF2">
        <w:rPr>
          <w:rStyle w:val="ui-provider"/>
        </w:rPr>
        <w:t>,</w:t>
      </w:r>
      <w:r w:rsidRPr="00D44CF2">
        <w:rPr>
          <w:rStyle w:val="ui-provider"/>
        </w:rPr>
        <w:t xml:space="preserve"> including Rowville A1 5</w:t>
      </w:r>
      <w:r w:rsidR="718B6B04" w:rsidRPr="00D44CF2">
        <w:rPr>
          <w:rStyle w:val="ui-provider"/>
        </w:rPr>
        <w:t>0</w:t>
      </w:r>
      <w:r w:rsidRPr="00D44CF2">
        <w:rPr>
          <w:rStyle w:val="ui-provider"/>
        </w:rPr>
        <w:t xml:space="preserve">0/220 kV transformer overloads. AVP </w:t>
      </w:r>
      <w:r w:rsidRPr="00D44CF2">
        <w:t>publish</w:t>
      </w:r>
      <w:r w:rsidR="00D97520" w:rsidRPr="00D44CF2">
        <w:t>ed</w:t>
      </w:r>
      <w:r w:rsidRPr="00D44CF2">
        <w:t xml:space="preserve"> the Project Specification Consultation Report (PSCR) in</w:t>
      </w:r>
      <w:r w:rsidRPr="00D44CF2" w:rsidDel="00E55C72">
        <w:t xml:space="preserve"> </w:t>
      </w:r>
      <w:r w:rsidR="00E548A7" w:rsidRPr="00D44CF2">
        <w:t xml:space="preserve">November </w:t>
      </w:r>
      <w:r w:rsidRPr="00D44CF2">
        <w:t>2024, outlining credible network options and technical characteristics required from non-network options to meet the identified need, being to support the forecast demand growth in the eastern metropolitan area.</w:t>
      </w:r>
    </w:p>
    <w:p w14:paraId="13BFA08B" w14:textId="185D9E3E" w:rsidR="00857E47" w:rsidRPr="00D44CF2" w:rsidRDefault="00857E47" w:rsidP="00897BB1">
      <w:pPr>
        <w:pStyle w:val="ListBullet"/>
        <w:numPr>
          <w:ilvl w:val="0"/>
          <w:numId w:val="27"/>
        </w:numPr>
      </w:pPr>
      <w:r w:rsidRPr="00D44CF2">
        <w:rPr>
          <w:b/>
        </w:rPr>
        <w:t>Western Metropolitan</w:t>
      </w:r>
      <w:r w:rsidR="00EC770D" w:rsidRPr="00D44CF2">
        <w:rPr>
          <w:b/>
        </w:rPr>
        <w:t xml:space="preserve"> Melbourne</w:t>
      </w:r>
      <w:r w:rsidRPr="00D44CF2">
        <w:rPr>
          <w:b/>
        </w:rPr>
        <w:t xml:space="preserve"> Reinforcement </w:t>
      </w:r>
      <w:r w:rsidRPr="00D44CF2">
        <w:t>– address</w:t>
      </w:r>
      <w:r w:rsidR="00C0086D" w:rsidRPr="00D44CF2">
        <w:t>ing</w:t>
      </w:r>
      <w:r w:rsidRPr="00D44CF2">
        <w:t xml:space="preserve"> </w:t>
      </w:r>
      <w:r w:rsidR="006A4374" w:rsidRPr="00D44CF2">
        <w:t>priority</w:t>
      </w:r>
      <w:r w:rsidRPr="00D44CF2">
        <w:t xml:space="preserve"> limitations identified in </w:t>
      </w:r>
      <w:r w:rsidR="006A4374" w:rsidRPr="00D44CF2">
        <w:t xml:space="preserve">the </w:t>
      </w:r>
      <w:r w:rsidRPr="00D44CF2">
        <w:t>2023 VAPR for the 220 kV corridor between Moorabool and Keilor. AVP publish</w:t>
      </w:r>
      <w:r w:rsidR="00EC770D" w:rsidRPr="00D44CF2">
        <w:t>ed</w:t>
      </w:r>
      <w:r w:rsidRPr="00D44CF2">
        <w:t xml:space="preserve"> the PSCR </w:t>
      </w:r>
      <w:r w:rsidR="00EC770D" w:rsidRPr="00D44CF2">
        <w:t>in March</w:t>
      </w:r>
      <w:r w:rsidRPr="00D44CF2">
        <w:t xml:space="preserve"> </w:t>
      </w:r>
      <w:r w:rsidR="1769B74C" w:rsidRPr="00D44CF2">
        <w:t>202</w:t>
      </w:r>
      <w:r w:rsidR="31BEE475" w:rsidRPr="00D44CF2">
        <w:t>5</w:t>
      </w:r>
      <w:r w:rsidR="000E4CCE" w:rsidRPr="00D44CF2">
        <w:t>,</w:t>
      </w:r>
      <w:r w:rsidRPr="00D44CF2">
        <w:t xml:space="preserve"> </w:t>
      </w:r>
      <w:r w:rsidR="001B7319" w:rsidRPr="00D44CF2">
        <w:t xml:space="preserve">outlining credible network options and technical characteristics required from non-network options to meet the </w:t>
      </w:r>
      <w:r w:rsidR="001B7319" w:rsidRPr="00D44CF2">
        <w:lastRenderedPageBreak/>
        <w:t xml:space="preserve">identified need, </w:t>
      </w:r>
      <w:r w:rsidR="00CF2399" w:rsidRPr="00D44CF2">
        <w:t xml:space="preserve">being to support </w:t>
      </w:r>
      <w:r w:rsidR="004B38A2" w:rsidRPr="00D44CF2">
        <w:t>forecast loads to the western metropolitan Melbourne load centres in Geelong and Deer Park</w:t>
      </w:r>
      <w:r w:rsidRPr="00D44CF2">
        <w:t>.</w:t>
      </w:r>
    </w:p>
    <w:p w14:paraId="66806065" w14:textId="36028A4B" w:rsidR="00AC4F50" w:rsidRPr="00D44CF2" w:rsidRDefault="00184CD4" w:rsidP="009A1D79">
      <w:pPr>
        <w:pStyle w:val="BodyText"/>
      </w:pPr>
      <w:r w:rsidRPr="00D44CF2">
        <w:t xml:space="preserve">One </w:t>
      </w:r>
      <w:r w:rsidR="00AC4F50" w:rsidRPr="00D44CF2">
        <w:t>feasibility stud</w:t>
      </w:r>
      <w:r w:rsidRPr="00D44CF2">
        <w:t>y</w:t>
      </w:r>
      <w:r w:rsidR="00AC4F50" w:rsidRPr="00D44CF2">
        <w:t xml:space="preserve"> </w:t>
      </w:r>
      <w:r w:rsidR="00604428" w:rsidRPr="00D44CF2">
        <w:t>ha</w:t>
      </w:r>
      <w:r w:rsidRPr="00D44CF2">
        <w:t>s</w:t>
      </w:r>
      <w:r w:rsidR="00604428" w:rsidRPr="00D44CF2">
        <w:t xml:space="preserve"> progressed </w:t>
      </w:r>
      <w:r w:rsidR="008B1EB2" w:rsidRPr="00D44CF2">
        <w:t xml:space="preserve">since the </w:t>
      </w:r>
      <w:r w:rsidR="00AC4F50" w:rsidRPr="00D44CF2">
        <w:t xml:space="preserve">2024 VAPR: </w:t>
      </w:r>
    </w:p>
    <w:p w14:paraId="0A1C214E" w14:textId="3702A450" w:rsidR="00D94676" w:rsidRPr="00D44CF2" w:rsidRDefault="00D94676" w:rsidP="00897BB1">
      <w:pPr>
        <w:pStyle w:val="ListBullet"/>
        <w:numPr>
          <w:ilvl w:val="0"/>
          <w:numId w:val="27"/>
        </w:numPr>
      </w:pPr>
      <w:r w:rsidRPr="00D44CF2">
        <w:rPr>
          <w:b/>
        </w:rPr>
        <w:t>Red Cliffs</w:t>
      </w:r>
      <w:r w:rsidR="006A19ED" w:rsidRPr="00D44CF2">
        <w:rPr>
          <w:b/>
        </w:rPr>
        <w:t xml:space="preserve"> – </w:t>
      </w:r>
      <w:r w:rsidRPr="00D44CF2">
        <w:rPr>
          <w:b/>
        </w:rPr>
        <w:t>Wemen</w:t>
      </w:r>
      <w:r w:rsidR="006A19ED" w:rsidRPr="00D44CF2">
        <w:rPr>
          <w:b/>
        </w:rPr>
        <w:t xml:space="preserve"> – </w:t>
      </w:r>
      <w:r w:rsidRPr="00D44CF2">
        <w:rPr>
          <w:b/>
        </w:rPr>
        <w:t xml:space="preserve">Kerang Transfer Capacity </w:t>
      </w:r>
      <w:r w:rsidRPr="00D44CF2">
        <w:t>–</w:t>
      </w:r>
      <w:r w:rsidR="00AC4F50" w:rsidRPr="00D44CF2">
        <w:t xml:space="preserve"> </w:t>
      </w:r>
      <w:r w:rsidR="00C04ED4" w:rsidRPr="00D44CF2">
        <w:t xml:space="preserve">AVP </w:t>
      </w:r>
      <w:r w:rsidR="009B0881" w:rsidRPr="00D44CF2">
        <w:t xml:space="preserve">has commenced feasibility studies to investigate credible network options and technical characteristics required from non-network options to meet the identified need, </w:t>
      </w:r>
      <w:r w:rsidR="00654FC6" w:rsidRPr="00D44CF2">
        <w:t xml:space="preserve">being </w:t>
      </w:r>
      <w:r w:rsidR="00E00A12" w:rsidRPr="00D44CF2">
        <w:t xml:space="preserve">to manage </w:t>
      </w:r>
      <w:r w:rsidR="00AC291A" w:rsidRPr="00D44CF2">
        <w:t>thermal loading on the line</w:t>
      </w:r>
      <w:r w:rsidR="00155AF6" w:rsidRPr="00D44CF2">
        <w:t>,</w:t>
      </w:r>
      <w:r w:rsidR="00AC291A" w:rsidRPr="00D44CF2">
        <w:t xml:space="preserve"> particularly </w:t>
      </w:r>
      <w:r w:rsidR="00563B5C" w:rsidRPr="00D44CF2">
        <w:t>following retirement of Yallourn</w:t>
      </w:r>
      <w:r w:rsidR="002D563B" w:rsidRPr="00D44CF2">
        <w:t xml:space="preserve"> as power</w:t>
      </w:r>
      <w:r w:rsidR="009A1CC6" w:rsidRPr="00D44CF2">
        <w:t xml:space="preserve"> </w:t>
      </w:r>
      <w:r w:rsidR="002D563B" w:rsidRPr="00D44CF2">
        <w:t>flow</w:t>
      </w:r>
      <w:r w:rsidR="00563B5C" w:rsidRPr="00D44CF2">
        <w:t xml:space="preserve"> increas</w:t>
      </w:r>
      <w:r w:rsidR="002D563B" w:rsidRPr="00D44CF2">
        <w:t>es</w:t>
      </w:r>
      <w:r w:rsidR="00563B5C" w:rsidRPr="00D44CF2">
        <w:t xml:space="preserve"> from New South Wales into Victoria at Red Cliffs during periods of high demand</w:t>
      </w:r>
      <w:r w:rsidR="00205B83" w:rsidRPr="00D44CF2">
        <w:t xml:space="preserve">. </w:t>
      </w:r>
      <w:r w:rsidR="00AC4F50" w:rsidRPr="00D44CF2">
        <w:t xml:space="preserve">These studies </w:t>
      </w:r>
      <w:r w:rsidR="006D31C2" w:rsidRPr="00D44CF2">
        <w:t xml:space="preserve">will determine the need for, and </w:t>
      </w:r>
      <w:r w:rsidR="00AC4F50" w:rsidRPr="00D44CF2">
        <w:t>form input to</w:t>
      </w:r>
      <w:r w:rsidR="006D31C2" w:rsidRPr="00D44CF2">
        <w:t>,</w:t>
      </w:r>
      <w:r w:rsidR="00AC4F50" w:rsidRPr="00D44CF2">
        <w:t xml:space="preserve"> a RIT-T. </w:t>
      </w:r>
    </w:p>
    <w:p w14:paraId="4D23D46D" w14:textId="442A7594" w:rsidR="00857E47" w:rsidRPr="00D44CF2" w:rsidRDefault="00857E47" w:rsidP="002A55EF">
      <w:pPr>
        <w:pStyle w:val="BodyText"/>
      </w:pPr>
      <w:r w:rsidRPr="00D44CF2">
        <w:t xml:space="preserve">Other projects that are currently </w:t>
      </w:r>
      <w:r w:rsidR="00BB579D" w:rsidRPr="00D44CF2">
        <w:t>undergoing</w:t>
      </w:r>
      <w:r w:rsidRPr="00D44CF2">
        <w:t xml:space="preserve"> scoping and development include:</w:t>
      </w:r>
    </w:p>
    <w:p w14:paraId="7D0BE230" w14:textId="13B30FBA" w:rsidR="00857E47" w:rsidRPr="00D44CF2" w:rsidRDefault="00857E47" w:rsidP="00897BB1">
      <w:pPr>
        <w:pStyle w:val="ListBullet"/>
        <w:numPr>
          <w:ilvl w:val="0"/>
          <w:numId w:val="28"/>
        </w:numPr>
      </w:pPr>
      <w:r w:rsidRPr="00D44CF2">
        <w:rPr>
          <w:b/>
          <w:bCs/>
        </w:rPr>
        <w:t xml:space="preserve">Latrobe Valley </w:t>
      </w:r>
      <w:r w:rsidR="008965FF" w:rsidRPr="00D44CF2">
        <w:rPr>
          <w:b/>
          <w:bCs/>
        </w:rPr>
        <w:t>reconfiguration</w:t>
      </w:r>
      <w:r w:rsidRPr="00D44CF2">
        <w:t xml:space="preserve"> </w:t>
      </w:r>
      <w:r w:rsidR="006A4374" w:rsidRPr="00D44CF2">
        <w:t>– s</w:t>
      </w:r>
      <w:r w:rsidRPr="00D44CF2">
        <w:t xml:space="preserve">ince the </w:t>
      </w:r>
      <w:r w:rsidR="00462634" w:rsidRPr="00D44CF2">
        <w:t xml:space="preserve">2024 </w:t>
      </w:r>
      <w:r w:rsidRPr="00D44CF2">
        <w:t xml:space="preserve">VAPR, AVP has </w:t>
      </w:r>
      <w:r w:rsidR="00462634" w:rsidRPr="00D44CF2">
        <w:t>continued working</w:t>
      </w:r>
      <w:r w:rsidRPr="00D44CF2">
        <w:t xml:space="preserve"> with relevant asset owners to </w:t>
      </w:r>
      <w:r w:rsidR="00DF4BFD" w:rsidRPr="00D44CF2">
        <w:t>deliver the</w:t>
      </w:r>
      <w:r w:rsidRPr="00D44CF2">
        <w:t xml:space="preserve"> works to transition to modified parallel operating mode when </w:t>
      </w:r>
      <w:r w:rsidR="057094F5" w:rsidRPr="00D44CF2">
        <w:t>Y</w:t>
      </w:r>
      <w:r w:rsidR="001D1463" w:rsidRPr="00D44CF2">
        <w:t>W</w:t>
      </w:r>
      <w:r w:rsidRPr="00D44CF2">
        <w:t xml:space="preserve">PS retires. </w:t>
      </w:r>
      <w:r w:rsidR="00427D31" w:rsidRPr="00D44CF2">
        <w:t xml:space="preserve">The Latrobe </w:t>
      </w:r>
      <w:r w:rsidR="009A1CC6" w:rsidRPr="00D44CF2">
        <w:t xml:space="preserve">Valley </w:t>
      </w:r>
      <w:r w:rsidR="00BB2EA1" w:rsidRPr="00D44CF2">
        <w:t xml:space="preserve">modified parallel configuration will </w:t>
      </w:r>
      <w:r w:rsidR="00F94C4A" w:rsidRPr="00D44CF2">
        <w:t xml:space="preserve">continue to </w:t>
      </w:r>
      <w:r w:rsidR="00BB2EA1" w:rsidRPr="00D44CF2">
        <w:t xml:space="preserve">utilise the Yallourn Power Station </w:t>
      </w:r>
      <w:r w:rsidR="00F94C4A" w:rsidRPr="00D44CF2">
        <w:t xml:space="preserve">switchyard (YPS) </w:t>
      </w:r>
      <w:r w:rsidR="00233AF5" w:rsidRPr="00D44CF2">
        <w:t xml:space="preserve">connections to Hazelwood Power Stations switchyard (HWPS) to enable </w:t>
      </w:r>
      <w:r w:rsidR="007D1632" w:rsidRPr="00D44CF2">
        <w:t>the 220</w:t>
      </w:r>
      <w:r w:rsidR="009A1CC6" w:rsidRPr="00D44CF2">
        <w:t xml:space="preserve"> </w:t>
      </w:r>
      <w:r w:rsidR="007D1632" w:rsidRPr="00D44CF2">
        <w:t>kV lines connected to both switchyards to continue to supply consumers.</w:t>
      </w:r>
    </w:p>
    <w:p w14:paraId="4BF14F89" w14:textId="39839C12" w:rsidR="00857E47" w:rsidRPr="00D44CF2" w:rsidRDefault="00857E47" w:rsidP="00897BB1">
      <w:pPr>
        <w:pStyle w:val="ListBullet"/>
        <w:numPr>
          <w:ilvl w:val="0"/>
          <w:numId w:val="28"/>
        </w:numPr>
      </w:pPr>
      <w:r w:rsidRPr="00D44CF2">
        <w:rPr>
          <w:b/>
          <w:bCs/>
        </w:rPr>
        <w:t>Offshore wind transmission project</w:t>
      </w:r>
      <w:r w:rsidRPr="00D44CF2">
        <w:t xml:space="preserve"> – </w:t>
      </w:r>
      <w:r w:rsidR="007F5A6E" w:rsidRPr="00D44CF2">
        <w:t xml:space="preserve">AVP is working </w:t>
      </w:r>
      <w:r w:rsidR="000E4CCE" w:rsidRPr="00D44CF2">
        <w:t xml:space="preserve">closely </w:t>
      </w:r>
      <w:r w:rsidR="007F5A6E" w:rsidRPr="00D44CF2">
        <w:t xml:space="preserve">with VicGrid </w:t>
      </w:r>
      <w:r w:rsidR="0005364E" w:rsidRPr="00D44CF2">
        <w:t>in</w:t>
      </w:r>
      <w:r w:rsidR="007F5A6E" w:rsidRPr="00D44CF2">
        <w:t xml:space="preserve"> developing</w:t>
      </w:r>
      <w:r w:rsidR="0005364E" w:rsidRPr="00D44CF2">
        <w:t xml:space="preserve"> the</w:t>
      </w:r>
      <w:r w:rsidR="007F5A6E" w:rsidRPr="00D44CF2">
        <w:t xml:space="preserve"> declared shared transmission infrastructure from a hub</w:t>
      </w:r>
      <w:r w:rsidR="00215F84" w:rsidRPr="00D44CF2">
        <w:t xml:space="preserve"> </w:t>
      </w:r>
      <w:r w:rsidR="007F5A6E" w:rsidRPr="00D44CF2">
        <w:t xml:space="preserve">on the Gippsland coast to the 500 kV Loy Yang Power Station </w:t>
      </w:r>
      <w:r w:rsidR="00DE04FB" w:rsidRPr="00D44CF2">
        <w:t>(LYPS) s</w:t>
      </w:r>
      <w:r w:rsidR="007F5A6E" w:rsidRPr="00D44CF2">
        <w:t xml:space="preserve">witchyard to facilitate the </w:t>
      </w:r>
      <w:r w:rsidR="006A4374" w:rsidRPr="00D44CF2">
        <w:t xml:space="preserve">Victorian Government’s </w:t>
      </w:r>
      <w:r w:rsidR="00DE04FB" w:rsidRPr="00D44CF2">
        <w:t>initial</w:t>
      </w:r>
      <w:r w:rsidR="007F5A6E" w:rsidRPr="00D44CF2">
        <w:t xml:space="preserve"> 2 GW target</w:t>
      </w:r>
      <w:r w:rsidR="006A4374" w:rsidRPr="00D44CF2">
        <w:t xml:space="preserve"> for offshore wind generation</w:t>
      </w:r>
      <w:r w:rsidR="00AD1AA5" w:rsidRPr="00D44CF2">
        <w:t xml:space="preserve"> by 2032</w:t>
      </w:r>
      <w:r w:rsidR="007F5A6E" w:rsidRPr="00D44CF2">
        <w:t xml:space="preserve">. </w:t>
      </w:r>
      <w:r w:rsidR="007E72B0" w:rsidRPr="00D44CF2">
        <w:t xml:space="preserve">Offshore Wind Energy Victoria (OWEV) is </w:t>
      </w:r>
      <w:r w:rsidR="007E72B0" w:rsidRPr="00D44CF2">
        <w:rPr>
          <w:rFonts w:eastAsiaTheme="minorEastAsia"/>
        </w:rPr>
        <w:t xml:space="preserve">seeking bids from developers to provide support packages for </w:t>
      </w:r>
      <w:r w:rsidR="006A19ED" w:rsidRPr="00D44CF2">
        <w:rPr>
          <w:rFonts w:eastAsiaTheme="minorEastAsia"/>
        </w:rPr>
        <w:t>its</w:t>
      </w:r>
      <w:r w:rsidR="007E72B0" w:rsidRPr="00D44CF2">
        <w:rPr>
          <w:rFonts w:eastAsiaTheme="minorEastAsia"/>
        </w:rPr>
        <w:t xml:space="preserve"> offshore wind energy projects</w:t>
      </w:r>
      <w:r w:rsidR="007E72B0" w:rsidRPr="00D44CF2">
        <w:rPr>
          <w:rFonts w:ascii="Arial" w:eastAsia="Arial" w:hAnsi="Arial" w:cs="Arial"/>
          <w:color w:val="000000"/>
          <w:sz w:val="24"/>
          <w:szCs w:val="24"/>
        </w:rPr>
        <w:t xml:space="preserve">. </w:t>
      </w:r>
      <w:r w:rsidR="008D3831" w:rsidRPr="00D44CF2">
        <w:rPr>
          <w:rFonts w:eastAsiaTheme="minorEastAsia"/>
        </w:rPr>
        <w:t xml:space="preserve">The Gippsland Offshore wind zone has drawn significant interest and </w:t>
      </w:r>
      <w:r w:rsidR="002F5C02" w:rsidRPr="00D44CF2">
        <w:rPr>
          <w:rFonts w:eastAsiaTheme="minorEastAsia"/>
        </w:rPr>
        <w:t xml:space="preserve">OWEV has indicated </w:t>
      </w:r>
      <w:r w:rsidR="008D3831" w:rsidRPr="00D44CF2">
        <w:rPr>
          <w:rFonts w:eastAsiaTheme="minorEastAsia"/>
        </w:rPr>
        <w:t xml:space="preserve">the first 2 GW tranche in Gippsland will be the first capacity auction </w:t>
      </w:r>
      <w:r w:rsidR="002F5C02" w:rsidRPr="00D44CF2">
        <w:rPr>
          <w:rFonts w:eastAsiaTheme="minorEastAsia"/>
        </w:rPr>
        <w:t>for offshore wind development</w:t>
      </w:r>
      <w:r w:rsidR="00A069CC" w:rsidRPr="00D44CF2">
        <w:rPr>
          <w:rStyle w:val="FootnoteReference"/>
          <w:rFonts w:eastAsiaTheme="minorEastAsia"/>
        </w:rPr>
        <w:footnoteReference w:id="6"/>
      </w:r>
      <w:r w:rsidR="007F5A6E" w:rsidRPr="00D44CF2">
        <w:t>.</w:t>
      </w:r>
    </w:p>
    <w:p w14:paraId="7E72F81D" w14:textId="2F215315" w:rsidR="00E756EE" w:rsidRPr="00D44CF2" w:rsidRDefault="00EE0784" w:rsidP="008E5022">
      <w:pPr>
        <w:pStyle w:val="BodyText"/>
      </w:pPr>
      <w:r w:rsidRPr="00EE0784">
        <w:rPr>
          <w:b/>
          <w:bCs/>
        </w:rPr>
        <w:t>Figure 1</w:t>
      </w:r>
      <w:r>
        <w:t xml:space="preserve"> </w:t>
      </w:r>
      <w:r w:rsidR="00F856B9" w:rsidRPr="00D44CF2">
        <w:t xml:space="preserve">and </w:t>
      </w:r>
      <w:r w:rsidR="00F856B9" w:rsidRPr="00D44CF2">
        <w:rPr>
          <w:b/>
          <w:bCs/>
        </w:rPr>
        <w:fldChar w:fldCharType="begin"/>
      </w:r>
      <w:r w:rsidR="00F856B9" w:rsidRPr="00D44CF2">
        <w:rPr>
          <w:b/>
          <w:bCs/>
        </w:rPr>
        <w:instrText xml:space="preserve"> REF _Ref179443254 \r \h  \* MERGEFORMAT </w:instrText>
      </w:r>
      <w:r w:rsidR="00F856B9" w:rsidRPr="00D44CF2">
        <w:rPr>
          <w:b/>
          <w:bCs/>
        </w:rPr>
      </w:r>
      <w:r w:rsidR="00F856B9" w:rsidRPr="00D44CF2">
        <w:rPr>
          <w:b/>
          <w:bCs/>
        </w:rPr>
        <w:fldChar w:fldCharType="separate"/>
      </w:r>
      <w:r w:rsidR="004973D2" w:rsidRPr="004973D2">
        <w:rPr>
          <w:b/>
        </w:rPr>
        <w:t>Figure 2</w:t>
      </w:r>
      <w:r w:rsidR="00F856B9" w:rsidRPr="00D44CF2">
        <w:rPr>
          <w:b/>
          <w:bCs/>
        </w:rPr>
        <w:fldChar w:fldCharType="end"/>
      </w:r>
      <w:r w:rsidR="00F856B9" w:rsidRPr="00D44CF2">
        <w:t xml:space="preserve"> present AVP’s Transmission Development Plan for Victoria, illustrating </w:t>
      </w:r>
      <w:r w:rsidR="003E708E" w:rsidRPr="00D44CF2">
        <w:t xml:space="preserve">respectively </w:t>
      </w:r>
      <w:r w:rsidR="00F856B9" w:rsidRPr="00D44CF2">
        <w:t>the</w:t>
      </w:r>
      <w:r w:rsidR="003E708E" w:rsidRPr="00D44CF2">
        <w:t xml:space="preserve"> </w:t>
      </w:r>
      <w:r w:rsidR="00F856B9" w:rsidRPr="00D44CF2">
        <w:t xml:space="preserve">infrastructure projects that have been delivered in the past 12 months, </w:t>
      </w:r>
      <w:r w:rsidR="003E708E" w:rsidRPr="00D44CF2">
        <w:t>and those that are currently in progress</w:t>
      </w:r>
      <w:r w:rsidR="00F856B9" w:rsidRPr="00D44CF2">
        <w:t>.</w:t>
      </w:r>
    </w:p>
    <w:p w14:paraId="1BA578C2" w14:textId="2CAE96C0" w:rsidR="00E756EE" w:rsidRPr="00D44CF2" w:rsidRDefault="00045B80" w:rsidP="00E70CFD">
      <w:pPr>
        <w:pStyle w:val="CaptionFigure"/>
      </w:pPr>
      <w:bookmarkStart w:id="6" w:name="_Toc212023335"/>
      <w:r w:rsidRPr="00D44CF2">
        <w:lastRenderedPageBreak/>
        <w:t>Newly completed/approaching completion Transmission Development Plan projects for Victoria</w:t>
      </w:r>
      <w:bookmarkEnd w:id="6"/>
      <w:r w:rsidR="00E756EE" w:rsidRPr="00D44CF2">
        <w:t xml:space="preserve"> </w:t>
      </w:r>
    </w:p>
    <w:p w14:paraId="5949A1B9" w14:textId="4E598D45" w:rsidR="00122B34" w:rsidRPr="00D44CF2" w:rsidRDefault="00841E6D" w:rsidP="004C55F6">
      <w:pPr>
        <w:pStyle w:val="BodyText"/>
      </w:pPr>
      <w:r w:rsidRPr="00D44CF2">
        <w:rPr>
          <w:noProof/>
        </w:rPr>
        <w:drawing>
          <wp:inline distT="0" distB="0" distL="0" distR="0" wp14:anchorId="5C8D7D4F" wp14:editId="6CE43A1B">
            <wp:extent cx="6408000" cy="4492625"/>
            <wp:effectExtent l="0" t="0" r="0" b="3175"/>
            <wp:docPr id="15858842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5884269" name=""/>
                    <pic:cNvPicPr/>
                  </pic:nvPicPr>
                  <pic:blipFill rotWithShape="1">
                    <a:blip r:embed="rId18"/>
                    <a:srcRect l="1117"/>
                    <a:stretch/>
                  </pic:blipFill>
                  <pic:spPr bwMode="auto">
                    <a:xfrm>
                      <a:off x="0" y="0"/>
                      <a:ext cx="6408000" cy="4492625"/>
                    </a:xfrm>
                    <a:prstGeom prst="rect">
                      <a:avLst/>
                    </a:prstGeom>
                    <a:ln>
                      <a:noFill/>
                    </a:ln>
                    <a:extLst>
                      <a:ext uri="{53640926-AAD7-44D8-BBD7-CCE9431645EC}">
                        <a14:shadowObscured xmlns:a14="http://schemas.microsoft.com/office/drawing/2010/main"/>
                      </a:ext>
                    </a:extLst>
                  </pic:spPr>
                </pic:pic>
              </a:graphicData>
            </a:graphic>
          </wp:inline>
        </w:drawing>
      </w:r>
    </w:p>
    <w:p w14:paraId="46FEDA16" w14:textId="0E490982" w:rsidR="003A4F07" w:rsidRPr="00D44CF2" w:rsidRDefault="003A4F07" w:rsidP="00C80C06">
      <w:pPr>
        <w:pStyle w:val="TableFigureFootnote"/>
        <w:sectPr w:rsidR="003A4F07" w:rsidRPr="00D44CF2" w:rsidSect="009A1D79">
          <w:headerReference w:type="default" r:id="rId19"/>
          <w:footerReference w:type="default" r:id="rId20"/>
          <w:pgSz w:w="11907" w:h="16840" w:code="9"/>
          <w:pgMar w:top="1956" w:right="907" w:bottom="1418" w:left="907" w:header="788" w:footer="471" w:gutter="0"/>
          <w:cols w:space="708"/>
          <w:docGrid w:linePitch="360"/>
        </w:sectPr>
      </w:pPr>
      <w:r w:rsidRPr="00D44CF2">
        <w:t xml:space="preserve">EAPT: </w:t>
      </w:r>
      <w:r w:rsidR="0049312E" w:rsidRPr="00D44CF2">
        <w:t>Emergency</w:t>
      </w:r>
      <w:r w:rsidR="00F84FB3" w:rsidRPr="00D44CF2">
        <w:t xml:space="preserve"> Alcoa Po</w:t>
      </w:r>
      <w:r w:rsidR="0072329D" w:rsidRPr="00D44CF2">
        <w:t>t</w:t>
      </w:r>
      <w:r w:rsidR="00F84FB3" w:rsidRPr="00D44CF2">
        <w:t>line Trip</w:t>
      </w:r>
      <w:r w:rsidR="00850CC5" w:rsidRPr="00D44CF2">
        <w:t xml:space="preserve">. GFT: </w:t>
      </w:r>
      <w:r w:rsidR="00C80C06" w:rsidRPr="00D44CF2">
        <w:t>Generator Fast Trip</w:t>
      </w:r>
      <w:r w:rsidR="00850CC5" w:rsidRPr="00D44CF2">
        <w:t xml:space="preserve">. ARPS: </w:t>
      </w:r>
      <w:r w:rsidR="00C80C06" w:rsidRPr="00D44CF2">
        <w:t>Anti Resonance Protection Scheme</w:t>
      </w:r>
      <w:r w:rsidR="00850CC5" w:rsidRPr="00D44CF2">
        <w:t>.</w:t>
      </w:r>
    </w:p>
    <w:p w14:paraId="6F076358" w14:textId="76E30E7B" w:rsidR="003A7DA4" w:rsidRPr="00D44CF2" w:rsidRDefault="18862464" w:rsidP="00E70CFD">
      <w:pPr>
        <w:pStyle w:val="CaptionFigure"/>
      </w:pPr>
      <w:bookmarkStart w:id="7" w:name="_Ref179443254"/>
      <w:bookmarkStart w:id="8" w:name="_Toc212023336"/>
      <w:r w:rsidRPr="00D44CF2">
        <w:lastRenderedPageBreak/>
        <w:t>In progress Transmission Development Plan projects for Victoria</w:t>
      </w:r>
      <w:bookmarkEnd w:id="7"/>
      <w:bookmarkEnd w:id="8"/>
    </w:p>
    <w:p w14:paraId="598B233D" w14:textId="40098950" w:rsidR="00AA0D1D" w:rsidRPr="00D44CF2" w:rsidRDefault="001350EC" w:rsidP="008E5022">
      <w:pPr>
        <w:pStyle w:val="BodyText"/>
      </w:pPr>
      <w:r w:rsidRPr="00D44CF2">
        <w:rPr>
          <w:noProof/>
        </w:rPr>
        <w:drawing>
          <wp:inline distT="0" distB="0" distL="0" distR="0" wp14:anchorId="48E5A558" wp14:editId="56A0D8CB">
            <wp:extent cx="6408000" cy="5652000"/>
            <wp:effectExtent l="0" t="0" r="0" b="6350"/>
            <wp:docPr id="10342015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201574" name=""/>
                    <pic:cNvPicPr/>
                  </pic:nvPicPr>
                  <pic:blipFill>
                    <a:blip r:embed="rId21"/>
                    <a:stretch>
                      <a:fillRect/>
                    </a:stretch>
                  </pic:blipFill>
                  <pic:spPr>
                    <a:xfrm>
                      <a:off x="0" y="0"/>
                      <a:ext cx="6408000" cy="5652000"/>
                    </a:xfrm>
                    <a:prstGeom prst="rect">
                      <a:avLst/>
                    </a:prstGeom>
                  </pic:spPr>
                </pic:pic>
              </a:graphicData>
            </a:graphic>
          </wp:inline>
        </w:drawing>
      </w:r>
    </w:p>
    <w:p w14:paraId="6F471EFD" w14:textId="77777777" w:rsidR="004E002B" w:rsidRPr="00D44CF2" w:rsidRDefault="00457C36" w:rsidP="004E002B">
      <w:pPr>
        <w:pStyle w:val="TableFigureFootnote"/>
      </w:pPr>
      <w:r w:rsidRPr="00D44CF2">
        <w:t xml:space="preserve">Syncon: synchronous condenser. </w:t>
      </w:r>
      <w:r w:rsidR="00EF521E" w:rsidRPr="00D44CF2">
        <w:t xml:space="preserve">SAIT RAS: South Australia Interconnector Trip Remedial Action Scheme. </w:t>
      </w:r>
      <w:r w:rsidR="00150295" w:rsidRPr="00D44CF2">
        <w:t xml:space="preserve">MVAr: </w:t>
      </w:r>
      <w:r w:rsidR="0054353A" w:rsidRPr="00D44CF2">
        <w:t xml:space="preserve">megavolt </w:t>
      </w:r>
      <w:r w:rsidR="0090034F" w:rsidRPr="00D44CF2">
        <w:t>amperes reactive</w:t>
      </w:r>
      <w:r w:rsidR="009A1CC6" w:rsidRPr="00D44CF2">
        <w:t>.</w:t>
      </w:r>
    </w:p>
    <w:p w14:paraId="20E89AA6" w14:textId="6D9B0621" w:rsidR="00500A65" w:rsidRPr="00D44CF2" w:rsidRDefault="561FB447" w:rsidP="004E002B">
      <w:pPr>
        <w:pStyle w:val="Heading4"/>
      </w:pPr>
      <w:r w:rsidRPr="00D44CF2">
        <w:t xml:space="preserve">The future outlook of the </w:t>
      </w:r>
      <w:r w:rsidR="00C03A12" w:rsidRPr="00D44CF2">
        <w:t xml:space="preserve">2025 </w:t>
      </w:r>
      <w:r w:rsidRPr="00D44CF2">
        <w:t xml:space="preserve">VAPR reiterates the need to progress with regulatory tests to address previously identified network limitations </w:t>
      </w:r>
    </w:p>
    <w:p w14:paraId="383A1AFB" w14:textId="6C06D844" w:rsidR="00857E47" w:rsidRPr="00D44CF2" w:rsidRDefault="00857E47" w:rsidP="00857E47">
      <w:pPr>
        <w:pStyle w:val="BodyText"/>
      </w:pPr>
      <w:r w:rsidRPr="00D44CF2">
        <w:t xml:space="preserve">AVP’s annual planning review for Victoria </w:t>
      </w:r>
      <w:r w:rsidR="00753BB9" w:rsidRPr="00D44CF2">
        <w:t xml:space="preserve">assesses </w:t>
      </w:r>
      <w:r w:rsidRPr="00D44CF2">
        <w:t xml:space="preserve">the current and forecast supply, </w:t>
      </w:r>
      <w:r w:rsidR="00F4234B" w:rsidRPr="00D44CF2">
        <w:t>demand,</w:t>
      </w:r>
      <w:r w:rsidRPr="00D44CF2">
        <w:t xml:space="preserve"> and operational challenges to identify potential </w:t>
      </w:r>
      <w:r w:rsidR="00660DBC" w:rsidRPr="00D44CF2">
        <w:t xml:space="preserve">new network </w:t>
      </w:r>
      <w:r w:rsidR="00E872FB" w:rsidRPr="00D44CF2">
        <w:t>limitations</w:t>
      </w:r>
      <w:r w:rsidR="0009216A" w:rsidRPr="00D44CF2">
        <w:t>. For new limitations</w:t>
      </w:r>
      <w:r w:rsidR="00680D8E" w:rsidRPr="00D44CF2">
        <w:t xml:space="preserve"> identified</w:t>
      </w:r>
      <w:r w:rsidR="00D16052" w:rsidRPr="00D44CF2">
        <w:t xml:space="preserve"> </w:t>
      </w:r>
      <w:r w:rsidR="00A74675" w:rsidRPr="00D44CF2">
        <w:t xml:space="preserve">in the review, </w:t>
      </w:r>
      <w:r w:rsidR="00680D8E" w:rsidRPr="00D44CF2">
        <w:t>efficient investment</w:t>
      </w:r>
      <w:r w:rsidR="0096117E" w:rsidRPr="00D44CF2">
        <w:t xml:space="preserve"> </w:t>
      </w:r>
      <w:r w:rsidR="0009216A" w:rsidRPr="00D44CF2">
        <w:t xml:space="preserve">options are proposed </w:t>
      </w:r>
      <w:r w:rsidR="00680D8E" w:rsidRPr="00D44CF2">
        <w:t>that also consider</w:t>
      </w:r>
      <w:r w:rsidR="0084309C" w:rsidRPr="00D44CF2">
        <w:t xml:space="preserve"> </w:t>
      </w:r>
      <w:r w:rsidR="001C0A63" w:rsidRPr="00D44CF2">
        <w:t xml:space="preserve">the </w:t>
      </w:r>
      <w:r w:rsidR="00680D8E" w:rsidRPr="00D44CF2">
        <w:t xml:space="preserve">benefits from </w:t>
      </w:r>
      <w:r w:rsidRPr="00D44CF2">
        <w:t xml:space="preserve">unlocking lower-cost generation </w:t>
      </w:r>
      <w:r w:rsidR="0046570D" w:rsidRPr="00D44CF2">
        <w:t>supply</w:t>
      </w:r>
      <w:r w:rsidRPr="00D44CF2">
        <w:t>, increasing power system resilience, and improving the efficiency of resource</w:t>
      </w:r>
      <w:r w:rsidR="00911DF6" w:rsidRPr="00D44CF2">
        <w:t xml:space="preserve"> </w:t>
      </w:r>
      <w:r w:rsidRPr="00D44CF2">
        <w:t>sharing between Victoria and its neighbouring regions</w:t>
      </w:r>
      <w:r w:rsidR="00D95012" w:rsidRPr="00D44CF2">
        <w:t xml:space="preserve"> in the NEM</w:t>
      </w:r>
      <w:r w:rsidRPr="00D44CF2">
        <w:t>.</w:t>
      </w:r>
    </w:p>
    <w:p w14:paraId="2829DA57" w14:textId="3DEFF6E0" w:rsidR="00857E47" w:rsidRPr="00D44CF2" w:rsidRDefault="00857E47" w:rsidP="00857E47">
      <w:pPr>
        <w:pStyle w:val="BodyText"/>
      </w:pPr>
      <w:r w:rsidRPr="00D44CF2">
        <w:t>The key messages</w:t>
      </w:r>
      <w:r w:rsidR="00815B74" w:rsidRPr="00D44CF2">
        <w:t xml:space="preserve"> from </w:t>
      </w:r>
      <w:r w:rsidR="00753BB9" w:rsidRPr="00D44CF2">
        <w:t xml:space="preserve">the </w:t>
      </w:r>
      <w:r w:rsidR="00C03A12" w:rsidRPr="00D44CF2">
        <w:t xml:space="preserve">2025 </w:t>
      </w:r>
      <w:r w:rsidR="00815B74" w:rsidRPr="00D44CF2">
        <w:t>VAPR</w:t>
      </w:r>
      <w:r w:rsidRPr="00D44CF2">
        <w:t xml:space="preserve"> are:</w:t>
      </w:r>
    </w:p>
    <w:p w14:paraId="7033BE2C" w14:textId="2A6BC69A" w:rsidR="004353B5" w:rsidRPr="00D44CF2" w:rsidRDefault="009725E1" w:rsidP="00897BB1">
      <w:pPr>
        <w:pStyle w:val="ListBullet"/>
        <w:numPr>
          <w:ilvl w:val="0"/>
          <w:numId w:val="29"/>
        </w:numPr>
        <w:rPr>
          <w:lang w:val="en-GB"/>
        </w:rPr>
      </w:pPr>
      <w:r w:rsidRPr="00D44CF2">
        <w:rPr>
          <w:lang w:val="en-GB"/>
        </w:rPr>
        <w:lastRenderedPageBreak/>
        <w:t>This assessment, like those published in the last two VAPRs,</w:t>
      </w:r>
      <w:r w:rsidR="004353B5" w:rsidRPr="00D44CF2">
        <w:rPr>
          <w:lang w:val="en-GB"/>
        </w:rPr>
        <w:t xml:space="preserve"> consistently </w:t>
      </w:r>
      <w:r w:rsidRPr="00D44CF2">
        <w:rPr>
          <w:lang w:val="en-GB"/>
        </w:rPr>
        <w:t xml:space="preserve">demonstrates </w:t>
      </w:r>
      <w:r w:rsidR="004353B5" w:rsidRPr="00D44CF2">
        <w:rPr>
          <w:lang w:val="en-GB"/>
        </w:rPr>
        <w:t xml:space="preserve">emerging network limitations and </w:t>
      </w:r>
      <w:r w:rsidR="00753BB9" w:rsidRPr="00D44CF2">
        <w:rPr>
          <w:lang w:val="en-GB"/>
        </w:rPr>
        <w:t xml:space="preserve">the </w:t>
      </w:r>
      <w:r w:rsidR="004353B5" w:rsidRPr="00D44CF2">
        <w:rPr>
          <w:b/>
          <w:lang w:val="en-GB"/>
        </w:rPr>
        <w:t xml:space="preserve">urgency of </w:t>
      </w:r>
      <w:r w:rsidR="004353B5" w:rsidRPr="00D44CF2">
        <w:rPr>
          <w:b/>
          <w:bCs/>
          <w:lang w:val="en-GB"/>
        </w:rPr>
        <w:t>deliver</w:t>
      </w:r>
      <w:r w:rsidR="00753BB9" w:rsidRPr="00D44CF2">
        <w:rPr>
          <w:b/>
          <w:bCs/>
          <w:lang w:val="en-GB"/>
        </w:rPr>
        <w:t>ing</w:t>
      </w:r>
      <w:r w:rsidR="004353B5" w:rsidRPr="00D44CF2">
        <w:rPr>
          <w:b/>
          <w:lang w:val="en-GB"/>
        </w:rPr>
        <w:t xml:space="preserve"> previously identified augmentation projects</w:t>
      </w:r>
      <w:r w:rsidR="004353B5" w:rsidRPr="00D44CF2">
        <w:rPr>
          <w:lang w:val="en-GB"/>
        </w:rPr>
        <w:t>.</w:t>
      </w:r>
    </w:p>
    <w:p w14:paraId="50D685DA" w14:textId="2FD1F792" w:rsidR="006A19ED" w:rsidRPr="00D44CF2" w:rsidRDefault="00D95012" w:rsidP="00897BB1">
      <w:pPr>
        <w:pStyle w:val="ListBullet"/>
        <w:numPr>
          <w:ilvl w:val="0"/>
          <w:numId w:val="29"/>
        </w:numPr>
      </w:pPr>
      <w:r w:rsidRPr="00D44CF2">
        <w:rPr>
          <w:b/>
          <w:bCs/>
        </w:rPr>
        <w:t>The latest a</w:t>
      </w:r>
      <w:r w:rsidR="00857E47" w:rsidRPr="00D44CF2">
        <w:rPr>
          <w:b/>
          <w:bCs/>
        </w:rPr>
        <w:t xml:space="preserve">ssessment is consistent with the </w:t>
      </w:r>
      <w:r w:rsidR="007012FE" w:rsidRPr="00D44CF2">
        <w:rPr>
          <w:b/>
          <w:bCs/>
        </w:rPr>
        <w:t xml:space="preserve">2024 </w:t>
      </w:r>
      <w:r w:rsidR="00857E47" w:rsidRPr="00D44CF2">
        <w:rPr>
          <w:b/>
          <w:bCs/>
        </w:rPr>
        <w:t>VAPR</w:t>
      </w:r>
      <w:r w:rsidR="00857E47" w:rsidRPr="00D44CF2">
        <w:t xml:space="preserve"> – </w:t>
      </w:r>
      <w:r w:rsidR="00D21D61" w:rsidRPr="00D44CF2">
        <w:t>the</w:t>
      </w:r>
      <w:r w:rsidR="00857E47" w:rsidRPr="00D44CF2">
        <w:t xml:space="preserve"> projection of network limitations and their impact on the performance of the DSN is </w:t>
      </w:r>
      <w:r w:rsidR="003C67AE" w:rsidRPr="00D44CF2">
        <w:t xml:space="preserve">largely </w:t>
      </w:r>
      <w:r w:rsidR="00857E47" w:rsidRPr="00D44CF2">
        <w:t xml:space="preserve">consistent with the </w:t>
      </w:r>
      <w:r w:rsidR="007012FE" w:rsidRPr="00D44CF2">
        <w:t xml:space="preserve">2024 </w:t>
      </w:r>
      <w:r w:rsidR="00857E47" w:rsidRPr="00D44CF2">
        <w:t xml:space="preserve">assessment. </w:t>
      </w:r>
    </w:p>
    <w:p w14:paraId="5B56DE03" w14:textId="6C1869E4" w:rsidR="00857E47" w:rsidRPr="00D44CF2" w:rsidRDefault="006A19ED" w:rsidP="007749C1">
      <w:pPr>
        <w:pStyle w:val="ListBullet"/>
      </w:pPr>
      <w:r w:rsidRPr="00D44CF2">
        <w:t xml:space="preserve"> AVP has classified </w:t>
      </w:r>
      <w:r w:rsidRPr="00D44CF2">
        <w:rPr>
          <w:b/>
          <w:bCs/>
        </w:rPr>
        <w:t>one new priority limitation</w:t>
      </w:r>
      <w:r w:rsidRPr="00D44CF2">
        <w:t xml:space="preserve"> – </w:t>
      </w:r>
      <w:r w:rsidR="00496714" w:rsidRPr="00D44CF2">
        <w:rPr>
          <w:b/>
          <w:bCs/>
        </w:rPr>
        <w:t>Keilor A2 and A4 500/220</w:t>
      </w:r>
      <w:r w:rsidR="007749C1" w:rsidRPr="00D44CF2">
        <w:rPr>
          <w:b/>
          <w:bCs/>
        </w:rPr>
        <w:t xml:space="preserve"> </w:t>
      </w:r>
      <w:r w:rsidR="00496714" w:rsidRPr="00D44CF2">
        <w:rPr>
          <w:b/>
          <w:bCs/>
        </w:rPr>
        <w:t xml:space="preserve">kV transformer thermal </w:t>
      </w:r>
      <w:r w:rsidR="6F385B22" w:rsidRPr="00D44CF2">
        <w:rPr>
          <w:b/>
          <w:bCs/>
        </w:rPr>
        <w:t xml:space="preserve">capacity </w:t>
      </w:r>
      <w:r w:rsidR="00496714" w:rsidRPr="00D44CF2">
        <w:rPr>
          <w:b/>
          <w:bCs/>
        </w:rPr>
        <w:t>limitation</w:t>
      </w:r>
      <w:r w:rsidRPr="00D44CF2">
        <w:t>.</w:t>
      </w:r>
      <w:r w:rsidR="00D21D61" w:rsidRPr="00D44CF2">
        <w:t xml:space="preserve"> </w:t>
      </w:r>
      <w:r w:rsidR="00E87917" w:rsidRPr="00D44CF2">
        <w:t>Thermal loading on the Keilor 500/220</w:t>
      </w:r>
      <w:r w:rsidRPr="00D44CF2">
        <w:t xml:space="preserve"> k</w:t>
      </w:r>
      <w:r w:rsidR="00E87917" w:rsidRPr="00D44CF2">
        <w:t>V transformers A2 and A4 has been identified as a priority limitation at times of maximum demand. The primary driver behind this limitation is increasing demand in the western metropolitan area</w:t>
      </w:r>
      <w:r w:rsidRPr="00D44CF2">
        <w:t>. I</w:t>
      </w:r>
      <w:r w:rsidR="00E87917" w:rsidRPr="00D44CF2">
        <w:t>t is anticipated that remediation of this limitation can be included in either the Ausnet transformer replacement RIT-T for these transformers</w:t>
      </w:r>
      <w:r w:rsidR="007749C1" w:rsidRPr="00D44CF2">
        <w:rPr>
          <w:rStyle w:val="FootnoteReference"/>
        </w:rPr>
        <w:footnoteReference w:id="7"/>
      </w:r>
      <w:r w:rsidR="00E87917" w:rsidRPr="00D44CF2">
        <w:t xml:space="preserve"> or the existing </w:t>
      </w:r>
      <w:r w:rsidR="00C0666F" w:rsidRPr="00D44CF2">
        <w:t>AEMO RIT-T for the Western Metropolitan Grid Reinforcement</w:t>
      </w:r>
      <w:r w:rsidR="007749C1" w:rsidRPr="00D44CF2">
        <w:rPr>
          <w:rStyle w:val="FootnoteReference"/>
        </w:rPr>
        <w:footnoteReference w:id="8"/>
      </w:r>
      <w:r w:rsidR="00C0666F" w:rsidRPr="00D44CF2">
        <w:t>.</w:t>
      </w:r>
    </w:p>
    <w:p w14:paraId="4D11DDE5" w14:textId="3178E453" w:rsidR="00857E47" w:rsidRPr="00D44CF2" w:rsidRDefault="007E1EF6" w:rsidP="009A1D79">
      <w:pPr>
        <w:pStyle w:val="ListBullet"/>
      </w:pPr>
      <w:r w:rsidRPr="00D44CF2">
        <w:t>It is critically important to p</w:t>
      </w:r>
      <w:r w:rsidR="00857E47" w:rsidRPr="00D44CF2">
        <w:t xml:space="preserve">rogress </w:t>
      </w:r>
      <w:r w:rsidR="001268F1" w:rsidRPr="00D44CF2">
        <w:t>the</w:t>
      </w:r>
      <w:r w:rsidR="00857E47" w:rsidRPr="00D44CF2">
        <w:t xml:space="preserve"> transmission projects</w:t>
      </w:r>
      <w:r w:rsidR="001268F1" w:rsidRPr="00D44CF2">
        <w:t xml:space="preserve"> in Victoria’s network development plan</w:t>
      </w:r>
      <w:r w:rsidRPr="00D44CF2">
        <w:t>,</w:t>
      </w:r>
      <w:r w:rsidR="00857E47" w:rsidRPr="00D44CF2">
        <w:t xml:space="preserve"> to ensure supply reliability and deliver consumer benefits</w:t>
      </w:r>
      <w:r w:rsidRPr="00D44CF2">
        <w:t xml:space="preserve"> – t</w:t>
      </w:r>
      <w:r w:rsidR="00857E47" w:rsidRPr="00D44CF2">
        <w:t xml:space="preserve">he </w:t>
      </w:r>
      <w:r w:rsidR="00DD7F81" w:rsidRPr="00D44CF2">
        <w:t xml:space="preserve">future outlook of the </w:t>
      </w:r>
      <w:r w:rsidR="004A4FC6" w:rsidRPr="00D44CF2">
        <w:t xml:space="preserve">2025 </w:t>
      </w:r>
      <w:r w:rsidR="00857E47" w:rsidRPr="00D44CF2">
        <w:t xml:space="preserve">VAPR highlights the </w:t>
      </w:r>
      <w:r w:rsidR="0099425F" w:rsidRPr="00D44CF2">
        <w:t>importance</w:t>
      </w:r>
      <w:r w:rsidR="00857E47" w:rsidRPr="00D44CF2">
        <w:t xml:space="preserve"> of moving forward with the already commenced regulatory tests and approvals of the planned projects initiated by the previous VAPRs to deliver consumer benefits in a timely manner</w:t>
      </w:r>
      <w:r w:rsidR="00A20785" w:rsidRPr="00D44CF2">
        <w:t xml:space="preserve"> and maintain the reliability of </w:t>
      </w:r>
      <w:r w:rsidR="004D6177" w:rsidRPr="00D44CF2">
        <w:t>electricity</w:t>
      </w:r>
      <w:r w:rsidR="00A20785" w:rsidRPr="00D44CF2">
        <w:t xml:space="preserve"> supply in Victoria</w:t>
      </w:r>
      <w:r w:rsidR="00857E47" w:rsidRPr="00D44CF2">
        <w:t>.</w:t>
      </w:r>
    </w:p>
    <w:p w14:paraId="6C0C6320" w14:textId="65BCEE83" w:rsidR="003702B8" w:rsidRPr="00D44CF2" w:rsidRDefault="00857E47" w:rsidP="00897BB1">
      <w:pPr>
        <w:pStyle w:val="ListBullet"/>
        <w:numPr>
          <w:ilvl w:val="0"/>
          <w:numId w:val="29"/>
        </w:numPr>
      </w:pPr>
      <w:r w:rsidRPr="00D44CF2">
        <w:t xml:space="preserve">Proactive engagement </w:t>
      </w:r>
      <w:r w:rsidR="007E1EF6" w:rsidRPr="00D44CF2">
        <w:t xml:space="preserve">is needed between AVP and </w:t>
      </w:r>
      <w:r w:rsidR="003702B8" w:rsidRPr="00D44CF2">
        <w:t>Victoria’s</w:t>
      </w:r>
      <w:r w:rsidR="00AA4598" w:rsidRPr="00D44CF2">
        <w:t xml:space="preserve"> </w:t>
      </w:r>
      <w:r w:rsidR="004C0E61" w:rsidRPr="00D44CF2">
        <w:t>D</w:t>
      </w:r>
      <w:r w:rsidR="00C72569" w:rsidRPr="00D44CF2">
        <w:t>eclared Transmission System Operators (DTSOs)</w:t>
      </w:r>
      <w:r w:rsidRPr="00D44CF2">
        <w:t xml:space="preserve"> </w:t>
      </w:r>
      <w:r w:rsidR="004C0E61" w:rsidRPr="00D44CF2">
        <w:t xml:space="preserve">and </w:t>
      </w:r>
      <w:r w:rsidR="009725E1" w:rsidRPr="00D44CF2">
        <w:t xml:space="preserve">distribution businesses </w:t>
      </w:r>
      <w:r w:rsidR="004C0E61" w:rsidRPr="00D44CF2">
        <w:t>(DB</w:t>
      </w:r>
      <w:r w:rsidR="009725E1" w:rsidRPr="00D44CF2">
        <w:t>s</w:t>
      </w:r>
      <w:r w:rsidR="004C0E61" w:rsidRPr="00D44CF2">
        <w:t xml:space="preserve">) </w:t>
      </w:r>
      <w:r w:rsidRPr="00D44CF2">
        <w:t>to identify the optimal solutions for asset replacement projects and manage operational challenges</w:t>
      </w:r>
      <w:r w:rsidR="00C72569" w:rsidRPr="00D44CF2">
        <w:t>:</w:t>
      </w:r>
    </w:p>
    <w:p w14:paraId="417A8B8F" w14:textId="6EAEA297" w:rsidR="00857E47" w:rsidRPr="00D44CF2" w:rsidRDefault="00857E47" w:rsidP="00794653">
      <w:pPr>
        <w:pStyle w:val="ListBullet2"/>
        <w:numPr>
          <w:ilvl w:val="1"/>
          <w:numId w:val="29"/>
        </w:numPr>
      </w:pPr>
      <w:r w:rsidRPr="00D44CF2">
        <w:t xml:space="preserve">AVP continues timely and effective </w:t>
      </w:r>
      <w:r w:rsidR="00C72569" w:rsidRPr="00D44CF2">
        <w:t>joint planning</w:t>
      </w:r>
      <w:r w:rsidRPr="00D44CF2">
        <w:t xml:space="preserve"> with AusNet Services to identify the optimal solutions to key replacement projects </w:t>
      </w:r>
      <w:r w:rsidR="008C0B3F" w:rsidRPr="00D44CF2">
        <w:t>including</w:t>
      </w:r>
      <w:r w:rsidR="000557B8" w:rsidRPr="00D44CF2">
        <w:t xml:space="preserve"> (but not limited to)</w:t>
      </w:r>
      <w:r w:rsidRPr="00D44CF2">
        <w:t xml:space="preserve">: </w:t>
      </w:r>
    </w:p>
    <w:p w14:paraId="1548BFF9" w14:textId="05DC0724" w:rsidR="00857E47" w:rsidRPr="00D44CF2" w:rsidRDefault="00857E47" w:rsidP="00794653">
      <w:pPr>
        <w:pStyle w:val="ListBullet3"/>
        <w:numPr>
          <w:ilvl w:val="2"/>
          <w:numId w:val="29"/>
        </w:numPr>
      </w:pPr>
      <w:r w:rsidRPr="00D44CF2">
        <w:t>South Morang Terminal Station 500/330 kV and 330/220 kV transformers</w:t>
      </w:r>
      <w:r w:rsidR="00461B83" w:rsidRPr="00D44CF2">
        <w:t>,</w:t>
      </w:r>
    </w:p>
    <w:p w14:paraId="22F970D3" w14:textId="650AB263" w:rsidR="00857E47" w:rsidRPr="00D44CF2" w:rsidRDefault="00857E47" w:rsidP="00794653">
      <w:pPr>
        <w:pStyle w:val="ListBullet3"/>
        <w:numPr>
          <w:ilvl w:val="2"/>
          <w:numId w:val="29"/>
        </w:numPr>
      </w:pPr>
      <w:r w:rsidRPr="00D44CF2">
        <w:t>Keilor 500/220 kV transformers</w:t>
      </w:r>
      <w:r w:rsidR="00461B83" w:rsidRPr="00D44CF2">
        <w:t>, and</w:t>
      </w:r>
    </w:p>
    <w:p w14:paraId="64E62369" w14:textId="666A76A6" w:rsidR="00BD10A9" w:rsidRPr="00D44CF2" w:rsidRDefault="00461B83" w:rsidP="00794653">
      <w:pPr>
        <w:pStyle w:val="ListBullet3"/>
        <w:numPr>
          <w:ilvl w:val="2"/>
          <w:numId w:val="29"/>
        </w:numPr>
      </w:pPr>
      <w:r w:rsidRPr="00D44CF2">
        <w:t xml:space="preserve">tower </w:t>
      </w:r>
      <w:r w:rsidR="002C477B" w:rsidRPr="00D44CF2">
        <w:t>replacement on the Heywood to Alcoa Portland 500</w:t>
      </w:r>
      <w:r w:rsidRPr="00D44CF2">
        <w:t xml:space="preserve"> </w:t>
      </w:r>
      <w:r w:rsidR="002C477B" w:rsidRPr="00D44CF2">
        <w:t>kV line</w:t>
      </w:r>
      <w:r w:rsidRPr="00D44CF2">
        <w:t>.</w:t>
      </w:r>
    </w:p>
    <w:p w14:paraId="2191F5EC" w14:textId="0160017E" w:rsidR="00871CB8" w:rsidRPr="00D44CF2" w:rsidRDefault="00857E47" w:rsidP="004C55F6">
      <w:pPr>
        <w:pStyle w:val="ListBullet2"/>
        <w:numPr>
          <w:ilvl w:val="1"/>
          <w:numId w:val="29"/>
        </w:numPr>
      </w:pPr>
      <w:r w:rsidRPr="00D44CF2">
        <w:t xml:space="preserve">AVP continues </w:t>
      </w:r>
      <w:r w:rsidR="00C72569" w:rsidRPr="00D44CF2">
        <w:t xml:space="preserve">to work with </w:t>
      </w:r>
      <w:r w:rsidR="003679F7" w:rsidRPr="00D44CF2">
        <w:t xml:space="preserve">other </w:t>
      </w:r>
      <w:r w:rsidR="00BD10A9" w:rsidRPr="00D44CF2">
        <w:t xml:space="preserve">DTSOs and </w:t>
      </w:r>
      <w:r w:rsidRPr="00D44CF2">
        <w:t>D</w:t>
      </w:r>
      <w:r w:rsidR="00BD10A9" w:rsidRPr="00D44CF2">
        <w:t xml:space="preserve">Bs </w:t>
      </w:r>
      <w:r w:rsidRPr="00D44CF2">
        <w:t xml:space="preserve">to identify credible and cost-effective solutions to the emerging challenges </w:t>
      </w:r>
      <w:r w:rsidR="00AD3578" w:rsidRPr="00D44CF2">
        <w:t xml:space="preserve">caused by </w:t>
      </w:r>
      <w:r w:rsidRPr="00D44CF2">
        <w:t>increased fault levels across the DSN</w:t>
      </w:r>
      <w:r w:rsidR="00BB0673" w:rsidRPr="00D44CF2">
        <w:t>,</w:t>
      </w:r>
      <w:r w:rsidR="00AD3578" w:rsidRPr="00D44CF2">
        <w:t xml:space="preserve"> due to the growing </w:t>
      </w:r>
      <w:r w:rsidR="00DE1316" w:rsidRPr="00D44CF2">
        <w:t xml:space="preserve">generation </w:t>
      </w:r>
      <w:r w:rsidR="009B77E4" w:rsidRPr="00D44CF2">
        <w:t>portfolio</w:t>
      </w:r>
      <w:r w:rsidR="00BB0673" w:rsidRPr="00D44CF2">
        <w:t>, and managing system security at times of low demand</w:t>
      </w:r>
      <w:r w:rsidRPr="00D44CF2">
        <w:t>.</w:t>
      </w:r>
    </w:p>
    <w:p w14:paraId="453DEE05" w14:textId="7801A3E0" w:rsidR="00A471F3" w:rsidRPr="00D44CF2" w:rsidRDefault="00A471F3" w:rsidP="004C55F6">
      <w:pPr>
        <w:pStyle w:val="ListBullet2"/>
        <w:numPr>
          <w:ilvl w:val="1"/>
          <w:numId w:val="29"/>
        </w:numPr>
      </w:pPr>
      <w:r w:rsidRPr="00D44CF2">
        <w:t>AVP continues to work with VicGrid on the programs identified by the VTP and has assessed these programs and identified no new limitations will be created, while some limitations will be addressed by these programs.</w:t>
      </w:r>
    </w:p>
    <w:p w14:paraId="4F5B1938" w14:textId="77777777" w:rsidR="00461B83" w:rsidRPr="00D44CF2" w:rsidRDefault="00461B83" w:rsidP="00845F17">
      <w:pPr>
        <w:pStyle w:val="BodyText"/>
      </w:pPr>
    </w:p>
    <w:p w14:paraId="46F71FFA" w14:textId="77777777" w:rsidR="00461B83" w:rsidRPr="00D44CF2" w:rsidRDefault="00461B83" w:rsidP="00845F17">
      <w:pPr>
        <w:pStyle w:val="BodyText"/>
        <w:sectPr w:rsidR="00461B83" w:rsidRPr="00D44CF2" w:rsidSect="009A1D79">
          <w:pgSz w:w="11907" w:h="16840" w:code="9"/>
          <w:pgMar w:top="1956" w:right="907" w:bottom="1418" w:left="907" w:header="788" w:footer="471" w:gutter="0"/>
          <w:cols w:space="708"/>
          <w:docGrid w:linePitch="360"/>
        </w:sectPr>
      </w:pPr>
    </w:p>
    <w:p w14:paraId="1192A605" w14:textId="77777777" w:rsidR="009C3524" w:rsidRPr="00D44CF2" w:rsidRDefault="007C5294" w:rsidP="00071143">
      <w:pPr>
        <w:pStyle w:val="TOCHeading"/>
      </w:pPr>
      <w:r w:rsidRPr="00D44CF2">
        <w:lastRenderedPageBreak/>
        <w:t>Contents</w:t>
      </w:r>
    </w:p>
    <w:p w14:paraId="666632F7" w14:textId="4A7C8A5D" w:rsidR="004230A9" w:rsidRDefault="00BC2FA7">
      <w:pPr>
        <w:pStyle w:val="TOC1"/>
        <w:rPr>
          <w:rFonts w:eastAsiaTheme="minorEastAsia" w:cstheme="minorBidi"/>
          <w:bCs w:val="0"/>
          <w:color w:val="auto"/>
          <w:kern w:val="2"/>
          <w:sz w:val="24"/>
          <w:lang w:val="en-AU" w:eastAsia="en-AU"/>
          <w14:ligatures w14:val="standardContextual"/>
        </w:rPr>
      </w:pPr>
      <w:r w:rsidRPr="00D44CF2">
        <w:rPr>
          <w:color w:val="auto"/>
        </w:rPr>
        <w:fldChar w:fldCharType="begin"/>
      </w:r>
      <w:r w:rsidRPr="00D44CF2">
        <w:rPr>
          <w:color w:val="auto"/>
        </w:rPr>
        <w:instrText xml:space="preserve"> TOC \o "1-2" \h \z \t "Heading - No number,1" </w:instrText>
      </w:r>
      <w:r w:rsidRPr="00D44CF2">
        <w:rPr>
          <w:color w:val="auto"/>
        </w:rPr>
        <w:fldChar w:fldCharType="separate"/>
      </w:r>
      <w:hyperlink w:anchor="_Toc212023266" w:history="1">
        <w:r w:rsidR="004230A9" w:rsidRPr="00C27D3D">
          <w:rPr>
            <w:rStyle w:val="Hyperlink"/>
          </w:rPr>
          <w:t>Executive summary</w:t>
        </w:r>
        <w:r w:rsidR="004230A9">
          <w:rPr>
            <w:webHidden/>
          </w:rPr>
          <w:tab/>
        </w:r>
        <w:r w:rsidR="004230A9">
          <w:rPr>
            <w:webHidden/>
          </w:rPr>
          <w:fldChar w:fldCharType="begin"/>
        </w:r>
        <w:r w:rsidR="004230A9">
          <w:rPr>
            <w:webHidden/>
          </w:rPr>
          <w:instrText xml:space="preserve"> PAGEREF _Toc212023266 \h </w:instrText>
        </w:r>
        <w:r w:rsidR="004230A9">
          <w:rPr>
            <w:webHidden/>
          </w:rPr>
        </w:r>
        <w:r w:rsidR="004230A9">
          <w:rPr>
            <w:webHidden/>
          </w:rPr>
          <w:fldChar w:fldCharType="separate"/>
        </w:r>
        <w:r w:rsidR="004973D2">
          <w:rPr>
            <w:webHidden/>
          </w:rPr>
          <w:t>3</w:t>
        </w:r>
        <w:r w:rsidR="004230A9">
          <w:rPr>
            <w:webHidden/>
          </w:rPr>
          <w:fldChar w:fldCharType="end"/>
        </w:r>
      </w:hyperlink>
    </w:p>
    <w:p w14:paraId="79BE0B50" w14:textId="51CD65E2" w:rsidR="004230A9" w:rsidRDefault="004230A9">
      <w:pPr>
        <w:pStyle w:val="TOC1"/>
        <w:rPr>
          <w:rFonts w:eastAsiaTheme="minorEastAsia" w:cstheme="minorBidi"/>
          <w:bCs w:val="0"/>
          <w:color w:val="auto"/>
          <w:kern w:val="2"/>
          <w:sz w:val="24"/>
          <w:lang w:val="en-AU" w:eastAsia="en-AU"/>
          <w14:ligatures w14:val="standardContextual"/>
        </w:rPr>
      </w:pPr>
      <w:hyperlink w:anchor="_Toc212023267" w:history="1">
        <w:r w:rsidRPr="00C27D3D">
          <w:rPr>
            <w:rStyle w:val="Hyperlink"/>
          </w:rPr>
          <w:t>1</w:t>
        </w:r>
        <w:r>
          <w:rPr>
            <w:rFonts w:eastAsiaTheme="minorEastAsia" w:cstheme="minorBidi"/>
            <w:bCs w:val="0"/>
            <w:color w:val="auto"/>
            <w:kern w:val="2"/>
            <w:sz w:val="24"/>
            <w:lang w:val="en-AU" w:eastAsia="en-AU"/>
            <w14:ligatures w14:val="standardContextual"/>
          </w:rPr>
          <w:tab/>
        </w:r>
        <w:r w:rsidRPr="00C27D3D">
          <w:rPr>
            <w:rStyle w:val="Hyperlink"/>
          </w:rPr>
          <w:t>Introduction</w:t>
        </w:r>
        <w:r>
          <w:rPr>
            <w:webHidden/>
          </w:rPr>
          <w:tab/>
        </w:r>
        <w:r>
          <w:rPr>
            <w:webHidden/>
          </w:rPr>
          <w:fldChar w:fldCharType="begin"/>
        </w:r>
        <w:r>
          <w:rPr>
            <w:webHidden/>
          </w:rPr>
          <w:instrText xml:space="preserve"> PAGEREF _Toc212023267 \h </w:instrText>
        </w:r>
        <w:r>
          <w:rPr>
            <w:webHidden/>
          </w:rPr>
        </w:r>
        <w:r>
          <w:rPr>
            <w:webHidden/>
          </w:rPr>
          <w:fldChar w:fldCharType="separate"/>
        </w:r>
        <w:r w:rsidR="004973D2">
          <w:rPr>
            <w:webHidden/>
          </w:rPr>
          <w:t>14</w:t>
        </w:r>
        <w:r>
          <w:rPr>
            <w:webHidden/>
          </w:rPr>
          <w:fldChar w:fldCharType="end"/>
        </w:r>
      </w:hyperlink>
    </w:p>
    <w:p w14:paraId="0AC4F740" w14:textId="229EBD6F" w:rsidR="004230A9" w:rsidRDefault="004230A9">
      <w:pPr>
        <w:pStyle w:val="TOC2"/>
        <w:rPr>
          <w:rFonts w:eastAsiaTheme="minorEastAsia" w:cstheme="minorBidi"/>
          <w:bCs w:val="0"/>
          <w:color w:val="auto"/>
          <w:kern w:val="2"/>
          <w:sz w:val="24"/>
          <w:lang w:val="en-AU" w:eastAsia="en-AU"/>
          <w14:ligatures w14:val="standardContextual"/>
        </w:rPr>
      </w:pPr>
      <w:hyperlink w:anchor="_Toc212023268" w:history="1">
        <w:r w:rsidRPr="00C27D3D">
          <w:rPr>
            <w:rStyle w:val="Hyperlink"/>
          </w:rPr>
          <w:t>1.1</w:t>
        </w:r>
        <w:r>
          <w:rPr>
            <w:rFonts w:eastAsiaTheme="minorEastAsia" w:cstheme="minorBidi"/>
            <w:bCs w:val="0"/>
            <w:color w:val="auto"/>
            <w:kern w:val="2"/>
            <w:sz w:val="24"/>
            <w:lang w:val="en-AU" w:eastAsia="en-AU"/>
            <w14:ligatures w14:val="standardContextual"/>
          </w:rPr>
          <w:tab/>
        </w:r>
        <w:r w:rsidRPr="00C27D3D">
          <w:rPr>
            <w:rStyle w:val="Hyperlink"/>
          </w:rPr>
          <w:t>Purpose and scope of the 2025 VAPR</w:t>
        </w:r>
        <w:r>
          <w:rPr>
            <w:webHidden/>
          </w:rPr>
          <w:tab/>
        </w:r>
        <w:r>
          <w:rPr>
            <w:webHidden/>
          </w:rPr>
          <w:fldChar w:fldCharType="begin"/>
        </w:r>
        <w:r>
          <w:rPr>
            <w:webHidden/>
          </w:rPr>
          <w:instrText xml:space="preserve"> PAGEREF _Toc212023268 \h </w:instrText>
        </w:r>
        <w:r>
          <w:rPr>
            <w:webHidden/>
          </w:rPr>
        </w:r>
        <w:r>
          <w:rPr>
            <w:webHidden/>
          </w:rPr>
          <w:fldChar w:fldCharType="separate"/>
        </w:r>
        <w:r w:rsidR="004973D2">
          <w:rPr>
            <w:webHidden/>
          </w:rPr>
          <w:t>14</w:t>
        </w:r>
        <w:r>
          <w:rPr>
            <w:webHidden/>
          </w:rPr>
          <w:fldChar w:fldCharType="end"/>
        </w:r>
      </w:hyperlink>
    </w:p>
    <w:p w14:paraId="414DF70A" w14:textId="33718693" w:rsidR="004230A9" w:rsidRDefault="004230A9">
      <w:pPr>
        <w:pStyle w:val="TOC2"/>
        <w:rPr>
          <w:rFonts w:eastAsiaTheme="minorEastAsia" w:cstheme="minorBidi"/>
          <w:bCs w:val="0"/>
          <w:color w:val="auto"/>
          <w:kern w:val="2"/>
          <w:sz w:val="24"/>
          <w:lang w:val="en-AU" w:eastAsia="en-AU"/>
          <w14:ligatures w14:val="standardContextual"/>
        </w:rPr>
      </w:pPr>
      <w:hyperlink w:anchor="_Toc212023269" w:history="1">
        <w:r w:rsidRPr="00C27D3D">
          <w:rPr>
            <w:rStyle w:val="Hyperlink"/>
          </w:rPr>
          <w:t>1.2</w:t>
        </w:r>
        <w:r>
          <w:rPr>
            <w:rFonts w:eastAsiaTheme="minorEastAsia" w:cstheme="minorBidi"/>
            <w:bCs w:val="0"/>
            <w:color w:val="auto"/>
            <w:kern w:val="2"/>
            <w:sz w:val="24"/>
            <w:lang w:val="en-AU" w:eastAsia="en-AU"/>
            <w14:ligatures w14:val="standardContextual"/>
          </w:rPr>
          <w:tab/>
        </w:r>
        <w:r w:rsidRPr="00C27D3D">
          <w:rPr>
            <w:rStyle w:val="Hyperlink"/>
          </w:rPr>
          <w:t>Roles and responsibilities</w:t>
        </w:r>
        <w:r>
          <w:rPr>
            <w:webHidden/>
          </w:rPr>
          <w:tab/>
        </w:r>
        <w:r>
          <w:rPr>
            <w:webHidden/>
          </w:rPr>
          <w:fldChar w:fldCharType="begin"/>
        </w:r>
        <w:r>
          <w:rPr>
            <w:webHidden/>
          </w:rPr>
          <w:instrText xml:space="preserve"> PAGEREF _Toc212023269 \h </w:instrText>
        </w:r>
        <w:r>
          <w:rPr>
            <w:webHidden/>
          </w:rPr>
        </w:r>
        <w:r>
          <w:rPr>
            <w:webHidden/>
          </w:rPr>
          <w:fldChar w:fldCharType="separate"/>
        </w:r>
        <w:r w:rsidR="004973D2">
          <w:rPr>
            <w:webHidden/>
          </w:rPr>
          <w:t>15</w:t>
        </w:r>
        <w:r>
          <w:rPr>
            <w:webHidden/>
          </w:rPr>
          <w:fldChar w:fldCharType="end"/>
        </w:r>
      </w:hyperlink>
    </w:p>
    <w:p w14:paraId="670B1B97" w14:textId="52718C9C" w:rsidR="004230A9" w:rsidRDefault="004230A9">
      <w:pPr>
        <w:pStyle w:val="TOC2"/>
        <w:rPr>
          <w:rFonts w:eastAsiaTheme="minorEastAsia" w:cstheme="minorBidi"/>
          <w:bCs w:val="0"/>
          <w:color w:val="auto"/>
          <w:kern w:val="2"/>
          <w:sz w:val="24"/>
          <w:lang w:val="en-AU" w:eastAsia="en-AU"/>
          <w14:ligatures w14:val="standardContextual"/>
        </w:rPr>
      </w:pPr>
      <w:hyperlink w:anchor="_Toc212023270" w:history="1">
        <w:r w:rsidRPr="00C27D3D">
          <w:rPr>
            <w:rStyle w:val="Hyperlink"/>
          </w:rPr>
          <w:t>1.3</w:t>
        </w:r>
        <w:r>
          <w:rPr>
            <w:rFonts w:eastAsiaTheme="minorEastAsia" w:cstheme="minorBidi"/>
            <w:bCs w:val="0"/>
            <w:color w:val="auto"/>
            <w:kern w:val="2"/>
            <w:sz w:val="24"/>
            <w:lang w:val="en-AU" w:eastAsia="en-AU"/>
            <w14:ligatures w14:val="standardContextual"/>
          </w:rPr>
          <w:tab/>
        </w:r>
        <w:r w:rsidRPr="00C27D3D">
          <w:rPr>
            <w:rStyle w:val="Hyperlink"/>
          </w:rPr>
          <w:t>Structure of the 2025 VAPR</w:t>
        </w:r>
        <w:r>
          <w:rPr>
            <w:webHidden/>
          </w:rPr>
          <w:tab/>
        </w:r>
        <w:r>
          <w:rPr>
            <w:webHidden/>
          </w:rPr>
          <w:fldChar w:fldCharType="begin"/>
        </w:r>
        <w:r>
          <w:rPr>
            <w:webHidden/>
          </w:rPr>
          <w:instrText xml:space="preserve"> PAGEREF _Toc212023270 \h </w:instrText>
        </w:r>
        <w:r>
          <w:rPr>
            <w:webHidden/>
          </w:rPr>
        </w:r>
        <w:r>
          <w:rPr>
            <w:webHidden/>
          </w:rPr>
          <w:fldChar w:fldCharType="separate"/>
        </w:r>
        <w:r w:rsidR="004973D2">
          <w:rPr>
            <w:webHidden/>
          </w:rPr>
          <w:t>17</w:t>
        </w:r>
        <w:r>
          <w:rPr>
            <w:webHidden/>
          </w:rPr>
          <w:fldChar w:fldCharType="end"/>
        </w:r>
      </w:hyperlink>
    </w:p>
    <w:p w14:paraId="302E4B58" w14:textId="5A7CBBDD" w:rsidR="004230A9" w:rsidRDefault="004230A9">
      <w:pPr>
        <w:pStyle w:val="TOC2"/>
        <w:rPr>
          <w:rFonts w:eastAsiaTheme="minorEastAsia" w:cstheme="minorBidi"/>
          <w:bCs w:val="0"/>
          <w:color w:val="auto"/>
          <w:kern w:val="2"/>
          <w:sz w:val="24"/>
          <w:lang w:val="en-AU" w:eastAsia="en-AU"/>
          <w14:ligatures w14:val="standardContextual"/>
        </w:rPr>
      </w:pPr>
      <w:hyperlink w:anchor="_Toc212023271" w:history="1">
        <w:r w:rsidRPr="00C27D3D">
          <w:rPr>
            <w:rStyle w:val="Hyperlink"/>
          </w:rPr>
          <w:t>1.4</w:t>
        </w:r>
        <w:r>
          <w:rPr>
            <w:rFonts w:eastAsiaTheme="minorEastAsia" w:cstheme="minorBidi"/>
            <w:bCs w:val="0"/>
            <w:color w:val="auto"/>
            <w:kern w:val="2"/>
            <w:sz w:val="24"/>
            <w:lang w:val="en-AU" w:eastAsia="en-AU"/>
            <w14:ligatures w14:val="standardContextual"/>
          </w:rPr>
          <w:tab/>
        </w:r>
        <w:r w:rsidRPr="00C27D3D">
          <w:rPr>
            <w:rStyle w:val="Hyperlink"/>
          </w:rPr>
          <w:t>AVP is seeking feedback on the value of information in this report</w:t>
        </w:r>
        <w:r>
          <w:rPr>
            <w:webHidden/>
          </w:rPr>
          <w:tab/>
        </w:r>
        <w:r>
          <w:rPr>
            <w:webHidden/>
          </w:rPr>
          <w:fldChar w:fldCharType="begin"/>
        </w:r>
        <w:r>
          <w:rPr>
            <w:webHidden/>
          </w:rPr>
          <w:instrText xml:space="preserve"> PAGEREF _Toc212023271 \h </w:instrText>
        </w:r>
        <w:r>
          <w:rPr>
            <w:webHidden/>
          </w:rPr>
        </w:r>
        <w:r>
          <w:rPr>
            <w:webHidden/>
          </w:rPr>
          <w:fldChar w:fldCharType="separate"/>
        </w:r>
        <w:r w:rsidR="004973D2">
          <w:rPr>
            <w:webHidden/>
          </w:rPr>
          <w:t>17</w:t>
        </w:r>
        <w:r>
          <w:rPr>
            <w:webHidden/>
          </w:rPr>
          <w:fldChar w:fldCharType="end"/>
        </w:r>
      </w:hyperlink>
    </w:p>
    <w:p w14:paraId="7B0D407D" w14:textId="79275387" w:rsidR="004230A9" w:rsidRDefault="004230A9">
      <w:pPr>
        <w:pStyle w:val="TOC2"/>
        <w:rPr>
          <w:rFonts w:eastAsiaTheme="minorEastAsia" w:cstheme="minorBidi"/>
          <w:bCs w:val="0"/>
          <w:color w:val="auto"/>
          <w:kern w:val="2"/>
          <w:sz w:val="24"/>
          <w:lang w:val="en-AU" w:eastAsia="en-AU"/>
          <w14:ligatures w14:val="standardContextual"/>
        </w:rPr>
      </w:pPr>
      <w:hyperlink w:anchor="_Toc212023272" w:history="1">
        <w:r w:rsidRPr="00C27D3D">
          <w:rPr>
            <w:rStyle w:val="Hyperlink"/>
          </w:rPr>
          <w:t>1.5</w:t>
        </w:r>
        <w:r>
          <w:rPr>
            <w:rFonts w:eastAsiaTheme="minorEastAsia" w:cstheme="minorBidi"/>
            <w:bCs w:val="0"/>
            <w:color w:val="auto"/>
            <w:kern w:val="2"/>
            <w:sz w:val="24"/>
            <w:lang w:val="en-AU" w:eastAsia="en-AU"/>
            <w14:ligatures w14:val="standardContextual"/>
          </w:rPr>
          <w:tab/>
        </w:r>
        <w:r w:rsidRPr="00C27D3D">
          <w:rPr>
            <w:rStyle w:val="Hyperlink"/>
          </w:rPr>
          <w:t>Supporting material</w:t>
        </w:r>
        <w:r>
          <w:rPr>
            <w:webHidden/>
          </w:rPr>
          <w:tab/>
        </w:r>
        <w:r>
          <w:rPr>
            <w:webHidden/>
          </w:rPr>
          <w:fldChar w:fldCharType="begin"/>
        </w:r>
        <w:r>
          <w:rPr>
            <w:webHidden/>
          </w:rPr>
          <w:instrText xml:space="preserve"> PAGEREF _Toc212023272 \h </w:instrText>
        </w:r>
        <w:r>
          <w:rPr>
            <w:webHidden/>
          </w:rPr>
        </w:r>
        <w:r>
          <w:rPr>
            <w:webHidden/>
          </w:rPr>
          <w:fldChar w:fldCharType="separate"/>
        </w:r>
        <w:r w:rsidR="004973D2">
          <w:rPr>
            <w:webHidden/>
          </w:rPr>
          <w:t>17</w:t>
        </w:r>
        <w:r>
          <w:rPr>
            <w:webHidden/>
          </w:rPr>
          <w:fldChar w:fldCharType="end"/>
        </w:r>
      </w:hyperlink>
    </w:p>
    <w:p w14:paraId="466FED3A" w14:textId="7B0351C4" w:rsidR="004230A9" w:rsidRDefault="004230A9">
      <w:pPr>
        <w:pStyle w:val="TOC1"/>
        <w:rPr>
          <w:rFonts w:eastAsiaTheme="minorEastAsia" w:cstheme="minorBidi"/>
          <w:bCs w:val="0"/>
          <w:color w:val="auto"/>
          <w:kern w:val="2"/>
          <w:sz w:val="24"/>
          <w:lang w:val="en-AU" w:eastAsia="en-AU"/>
          <w14:ligatures w14:val="standardContextual"/>
        </w:rPr>
      </w:pPr>
      <w:hyperlink w:anchor="_Toc212023273" w:history="1">
        <w:r w:rsidRPr="00C27D3D">
          <w:rPr>
            <w:rStyle w:val="Hyperlink"/>
          </w:rPr>
          <w:t>2</w:t>
        </w:r>
        <w:r>
          <w:rPr>
            <w:rFonts w:eastAsiaTheme="minorEastAsia" w:cstheme="minorBidi"/>
            <w:bCs w:val="0"/>
            <w:color w:val="auto"/>
            <w:kern w:val="2"/>
            <w:sz w:val="24"/>
            <w:lang w:val="en-AU" w:eastAsia="en-AU"/>
            <w14:ligatures w14:val="standardContextual"/>
          </w:rPr>
          <w:tab/>
        </w:r>
        <w:r w:rsidRPr="00C27D3D">
          <w:rPr>
            <w:rStyle w:val="Hyperlink"/>
          </w:rPr>
          <w:t>Drivers of the energy transition in Victoria</w:t>
        </w:r>
        <w:r>
          <w:rPr>
            <w:webHidden/>
          </w:rPr>
          <w:tab/>
        </w:r>
        <w:r>
          <w:rPr>
            <w:webHidden/>
          </w:rPr>
          <w:fldChar w:fldCharType="begin"/>
        </w:r>
        <w:r>
          <w:rPr>
            <w:webHidden/>
          </w:rPr>
          <w:instrText xml:space="preserve"> PAGEREF _Toc212023273 \h </w:instrText>
        </w:r>
        <w:r>
          <w:rPr>
            <w:webHidden/>
          </w:rPr>
        </w:r>
        <w:r>
          <w:rPr>
            <w:webHidden/>
          </w:rPr>
          <w:fldChar w:fldCharType="separate"/>
        </w:r>
        <w:r w:rsidR="004973D2">
          <w:rPr>
            <w:webHidden/>
          </w:rPr>
          <w:t>19</w:t>
        </w:r>
        <w:r>
          <w:rPr>
            <w:webHidden/>
          </w:rPr>
          <w:fldChar w:fldCharType="end"/>
        </w:r>
      </w:hyperlink>
    </w:p>
    <w:p w14:paraId="4EECA09D" w14:textId="3BDCF9B3" w:rsidR="004230A9" w:rsidRDefault="004230A9">
      <w:pPr>
        <w:pStyle w:val="TOC2"/>
        <w:rPr>
          <w:rFonts w:eastAsiaTheme="minorEastAsia" w:cstheme="minorBidi"/>
          <w:bCs w:val="0"/>
          <w:color w:val="auto"/>
          <w:kern w:val="2"/>
          <w:sz w:val="24"/>
          <w:lang w:val="en-AU" w:eastAsia="en-AU"/>
          <w14:ligatures w14:val="standardContextual"/>
        </w:rPr>
      </w:pPr>
      <w:hyperlink w:anchor="_Toc212023274" w:history="1">
        <w:r w:rsidRPr="00C27D3D">
          <w:rPr>
            <w:rStyle w:val="Hyperlink"/>
          </w:rPr>
          <w:t>2.1</w:t>
        </w:r>
        <w:r>
          <w:rPr>
            <w:rFonts w:eastAsiaTheme="minorEastAsia" w:cstheme="minorBidi"/>
            <w:bCs w:val="0"/>
            <w:color w:val="auto"/>
            <w:kern w:val="2"/>
            <w:sz w:val="24"/>
            <w:lang w:val="en-AU" w:eastAsia="en-AU"/>
            <w14:ligatures w14:val="standardContextual"/>
          </w:rPr>
          <w:tab/>
        </w:r>
        <w:r w:rsidRPr="00C27D3D">
          <w:rPr>
            <w:rStyle w:val="Hyperlink"/>
          </w:rPr>
          <w:t>Evolving energy consumption and supply</w:t>
        </w:r>
        <w:r>
          <w:rPr>
            <w:webHidden/>
          </w:rPr>
          <w:tab/>
        </w:r>
        <w:r>
          <w:rPr>
            <w:webHidden/>
          </w:rPr>
          <w:fldChar w:fldCharType="begin"/>
        </w:r>
        <w:r>
          <w:rPr>
            <w:webHidden/>
          </w:rPr>
          <w:instrText xml:space="preserve"> PAGEREF _Toc212023274 \h </w:instrText>
        </w:r>
        <w:r>
          <w:rPr>
            <w:webHidden/>
          </w:rPr>
        </w:r>
        <w:r>
          <w:rPr>
            <w:webHidden/>
          </w:rPr>
          <w:fldChar w:fldCharType="separate"/>
        </w:r>
        <w:r w:rsidR="004973D2">
          <w:rPr>
            <w:webHidden/>
          </w:rPr>
          <w:t>20</w:t>
        </w:r>
        <w:r>
          <w:rPr>
            <w:webHidden/>
          </w:rPr>
          <w:fldChar w:fldCharType="end"/>
        </w:r>
      </w:hyperlink>
    </w:p>
    <w:p w14:paraId="66DA7901" w14:textId="477CB2EF" w:rsidR="004230A9" w:rsidRDefault="004230A9">
      <w:pPr>
        <w:pStyle w:val="TOC2"/>
        <w:rPr>
          <w:rFonts w:eastAsiaTheme="minorEastAsia" w:cstheme="minorBidi"/>
          <w:bCs w:val="0"/>
          <w:color w:val="auto"/>
          <w:kern w:val="2"/>
          <w:sz w:val="24"/>
          <w:lang w:val="en-AU" w:eastAsia="en-AU"/>
          <w14:ligatures w14:val="standardContextual"/>
        </w:rPr>
      </w:pPr>
      <w:hyperlink w:anchor="_Toc212023275" w:history="1">
        <w:r w:rsidRPr="00C27D3D">
          <w:rPr>
            <w:rStyle w:val="Hyperlink"/>
          </w:rPr>
          <w:t>2.2</w:t>
        </w:r>
        <w:r>
          <w:rPr>
            <w:rFonts w:eastAsiaTheme="minorEastAsia" w:cstheme="minorBidi"/>
            <w:bCs w:val="0"/>
            <w:color w:val="auto"/>
            <w:kern w:val="2"/>
            <w:sz w:val="24"/>
            <w:lang w:val="en-AU" w:eastAsia="en-AU"/>
            <w14:ligatures w14:val="standardContextual"/>
          </w:rPr>
          <w:tab/>
        </w:r>
        <w:r w:rsidRPr="00C27D3D">
          <w:rPr>
            <w:rStyle w:val="Hyperlink"/>
          </w:rPr>
          <w:t>Growth in renewable energy sources allowing orderly exit of coal power plants</w:t>
        </w:r>
        <w:r>
          <w:rPr>
            <w:webHidden/>
          </w:rPr>
          <w:tab/>
        </w:r>
        <w:r>
          <w:rPr>
            <w:webHidden/>
          </w:rPr>
          <w:fldChar w:fldCharType="begin"/>
        </w:r>
        <w:r>
          <w:rPr>
            <w:webHidden/>
          </w:rPr>
          <w:instrText xml:space="preserve"> PAGEREF _Toc212023275 \h </w:instrText>
        </w:r>
        <w:r>
          <w:rPr>
            <w:webHidden/>
          </w:rPr>
        </w:r>
        <w:r>
          <w:rPr>
            <w:webHidden/>
          </w:rPr>
          <w:fldChar w:fldCharType="separate"/>
        </w:r>
        <w:r w:rsidR="004973D2">
          <w:rPr>
            <w:webHidden/>
          </w:rPr>
          <w:t>21</w:t>
        </w:r>
        <w:r>
          <w:rPr>
            <w:webHidden/>
          </w:rPr>
          <w:fldChar w:fldCharType="end"/>
        </w:r>
      </w:hyperlink>
    </w:p>
    <w:p w14:paraId="666110A0" w14:textId="3176458C" w:rsidR="004230A9" w:rsidRDefault="004230A9">
      <w:pPr>
        <w:pStyle w:val="TOC2"/>
        <w:rPr>
          <w:rFonts w:eastAsiaTheme="minorEastAsia" w:cstheme="minorBidi"/>
          <w:bCs w:val="0"/>
          <w:color w:val="auto"/>
          <w:kern w:val="2"/>
          <w:sz w:val="24"/>
          <w:lang w:val="en-AU" w:eastAsia="en-AU"/>
          <w14:ligatures w14:val="standardContextual"/>
        </w:rPr>
      </w:pPr>
      <w:hyperlink w:anchor="_Toc212023276" w:history="1">
        <w:r w:rsidRPr="00C27D3D">
          <w:rPr>
            <w:rStyle w:val="Hyperlink"/>
          </w:rPr>
          <w:t>2.3</w:t>
        </w:r>
        <w:r>
          <w:rPr>
            <w:rFonts w:eastAsiaTheme="minorEastAsia" w:cstheme="minorBidi"/>
            <w:bCs w:val="0"/>
            <w:color w:val="auto"/>
            <w:kern w:val="2"/>
            <w:sz w:val="24"/>
            <w:lang w:val="en-AU" w:eastAsia="en-AU"/>
            <w14:ligatures w14:val="standardContextual"/>
          </w:rPr>
          <w:tab/>
        </w:r>
        <w:r w:rsidRPr="00C27D3D">
          <w:rPr>
            <w:rStyle w:val="Hyperlink"/>
          </w:rPr>
          <w:t>The critical role of the transmission network in a robust power system</w:t>
        </w:r>
        <w:r>
          <w:rPr>
            <w:webHidden/>
          </w:rPr>
          <w:tab/>
        </w:r>
        <w:r>
          <w:rPr>
            <w:webHidden/>
          </w:rPr>
          <w:fldChar w:fldCharType="begin"/>
        </w:r>
        <w:r>
          <w:rPr>
            <w:webHidden/>
          </w:rPr>
          <w:instrText xml:space="preserve"> PAGEREF _Toc212023276 \h </w:instrText>
        </w:r>
        <w:r>
          <w:rPr>
            <w:webHidden/>
          </w:rPr>
        </w:r>
        <w:r>
          <w:rPr>
            <w:webHidden/>
          </w:rPr>
          <w:fldChar w:fldCharType="separate"/>
        </w:r>
        <w:r w:rsidR="004973D2">
          <w:rPr>
            <w:webHidden/>
          </w:rPr>
          <w:t>23</w:t>
        </w:r>
        <w:r>
          <w:rPr>
            <w:webHidden/>
          </w:rPr>
          <w:fldChar w:fldCharType="end"/>
        </w:r>
      </w:hyperlink>
    </w:p>
    <w:p w14:paraId="34C7AE3B" w14:textId="1A052040" w:rsidR="004230A9" w:rsidRDefault="004230A9">
      <w:pPr>
        <w:pStyle w:val="TOC2"/>
        <w:rPr>
          <w:rFonts w:eastAsiaTheme="minorEastAsia" w:cstheme="minorBidi"/>
          <w:bCs w:val="0"/>
          <w:color w:val="auto"/>
          <w:kern w:val="2"/>
          <w:sz w:val="24"/>
          <w:lang w:val="en-AU" w:eastAsia="en-AU"/>
          <w14:ligatures w14:val="standardContextual"/>
        </w:rPr>
      </w:pPr>
      <w:hyperlink w:anchor="_Toc212023277" w:history="1">
        <w:r w:rsidRPr="00C27D3D">
          <w:rPr>
            <w:rStyle w:val="Hyperlink"/>
          </w:rPr>
          <w:t>2.4</w:t>
        </w:r>
        <w:r>
          <w:rPr>
            <w:rFonts w:eastAsiaTheme="minorEastAsia" w:cstheme="minorBidi"/>
            <w:bCs w:val="0"/>
            <w:color w:val="auto"/>
            <w:kern w:val="2"/>
            <w:sz w:val="24"/>
            <w:lang w:val="en-AU" w:eastAsia="en-AU"/>
            <w14:ligatures w14:val="standardContextual"/>
          </w:rPr>
          <w:tab/>
        </w:r>
        <w:r w:rsidRPr="00C27D3D">
          <w:rPr>
            <w:rStyle w:val="Hyperlink"/>
          </w:rPr>
          <w:t>Government policies and initiatives supporting the energy transition</w:t>
        </w:r>
        <w:r>
          <w:rPr>
            <w:webHidden/>
          </w:rPr>
          <w:tab/>
        </w:r>
        <w:r>
          <w:rPr>
            <w:webHidden/>
          </w:rPr>
          <w:fldChar w:fldCharType="begin"/>
        </w:r>
        <w:r>
          <w:rPr>
            <w:webHidden/>
          </w:rPr>
          <w:instrText xml:space="preserve"> PAGEREF _Toc212023277 \h </w:instrText>
        </w:r>
        <w:r>
          <w:rPr>
            <w:webHidden/>
          </w:rPr>
        </w:r>
        <w:r>
          <w:rPr>
            <w:webHidden/>
          </w:rPr>
          <w:fldChar w:fldCharType="separate"/>
        </w:r>
        <w:r w:rsidR="004973D2">
          <w:rPr>
            <w:webHidden/>
          </w:rPr>
          <w:t>24</w:t>
        </w:r>
        <w:r>
          <w:rPr>
            <w:webHidden/>
          </w:rPr>
          <w:fldChar w:fldCharType="end"/>
        </w:r>
      </w:hyperlink>
    </w:p>
    <w:p w14:paraId="6B73DAAF" w14:textId="59C97D63" w:rsidR="004230A9" w:rsidRDefault="004230A9">
      <w:pPr>
        <w:pStyle w:val="TOC2"/>
        <w:rPr>
          <w:rFonts w:eastAsiaTheme="minorEastAsia" w:cstheme="minorBidi"/>
          <w:bCs w:val="0"/>
          <w:color w:val="auto"/>
          <w:kern w:val="2"/>
          <w:sz w:val="24"/>
          <w:lang w:val="en-AU" w:eastAsia="en-AU"/>
          <w14:ligatures w14:val="standardContextual"/>
        </w:rPr>
      </w:pPr>
      <w:hyperlink w:anchor="_Toc212023278" w:history="1">
        <w:r w:rsidRPr="00C27D3D">
          <w:rPr>
            <w:rStyle w:val="Hyperlink"/>
          </w:rPr>
          <w:t>2.5</w:t>
        </w:r>
        <w:r>
          <w:rPr>
            <w:rFonts w:eastAsiaTheme="minorEastAsia" w:cstheme="minorBidi"/>
            <w:bCs w:val="0"/>
            <w:color w:val="auto"/>
            <w:kern w:val="2"/>
            <w:sz w:val="24"/>
            <w:lang w:val="en-AU" w:eastAsia="en-AU"/>
            <w14:ligatures w14:val="standardContextual"/>
          </w:rPr>
          <w:tab/>
        </w:r>
        <w:r w:rsidRPr="00C27D3D">
          <w:rPr>
            <w:rStyle w:val="Hyperlink"/>
          </w:rPr>
          <w:t>Supply changes – continuing investments in grid-scale renewable generation and storage</w:t>
        </w:r>
        <w:r>
          <w:rPr>
            <w:webHidden/>
          </w:rPr>
          <w:tab/>
        </w:r>
        <w:r>
          <w:rPr>
            <w:webHidden/>
          </w:rPr>
          <w:fldChar w:fldCharType="begin"/>
        </w:r>
        <w:r>
          <w:rPr>
            <w:webHidden/>
          </w:rPr>
          <w:instrText xml:space="preserve"> PAGEREF _Toc212023278 \h </w:instrText>
        </w:r>
        <w:r>
          <w:rPr>
            <w:webHidden/>
          </w:rPr>
        </w:r>
        <w:r>
          <w:rPr>
            <w:webHidden/>
          </w:rPr>
          <w:fldChar w:fldCharType="separate"/>
        </w:r>
        <w:r w:rsidR="004973D2">
          <w:rPr>
            <w:webHidden/>
          </w:rPr>
          <w:t>25</w:t>
        </w:r>
        <w:r>
          <w:rPr>
            <w:webHidden/>
          </w:rPr>
          <w:fldChar w:fldCharType="end"/>
        </w:r>
      </w:hyperlink>
    </w:p>
    <w:p w14:paraId="56994FD4" w14:textId="12BC1381" w:rsidR="004230A9" w:rsidRDefault="004230A9">
      <w:pPr>
        <w:pStyle w:val="TOC2"/>
        <w:rPr>
          <w:rFonts w:eastAsiaTheme="minorEastAsia" w:cstheme="minorBidi"/>
          <w:bCs w:val="0"/>
          <w:color w:val="auto"/>
          <w:kern w:val="2"/>
          <w:sz w:val="24"/>
          <w:lang w:val="en-AU" w:eastAsia="en-AU"/>
          <w14:ligatures w14:val="standardContextual"/>
        </w:rPr>
      </w:pPr>
      <w:hyperlink w:anchor="_Toc212023279" w:history="1">
        <w:r w:rsidRPr="00C27D3D">
          <w:rPr>
            <w:rStyle w:val="Hyperlink"/>
          </w:rPr>
          <w:t>2.6</w:t>
        </w:r>
        <w:r>
          <w:rPr>
            <w:rFonts w:eastAsiaTheme="minorEastAsia" w:cstheme="minorBidi"/>
            <w:bCs w:val="0"/>
            <w:color w:val="auto"/>
            <w:kern w:val="2"/>
            <w:sz w:val="24"/>
            <w:lang w:val="en-AU" w:eastAsia="en-AU"/>
            <w14:ligatures w14:val="standardContextual"/>
          </w:rPr>
          <w:tab/>
        </w:r>
        <w:r w:rsidRPr="00C27D3D">
          <w:rPr>
            <w:rStyle w:val="Hyperlink"/>
          </w:rPr>
          <w:t>Electricity consumption and demand trends and forecasts</w:t>
        </w:r>
        <w:r>
          <w:rPr>
            <w:webHidden/>
          </w:rPr>
          <w:tab/>
        </w:r>
        <w:r>
          <w:rPr>
            <w:webHidden/>
          </w:rPr>
          <w:fldChar w:fldCharType="begin"/>
        </w:r>
        <w:r>
          <w:rPr>
            <w:webHidden/>
          </w:rPr>
          <w:instrText xml:space="preserve"> PAGEREF _Toc212023279 \h </w:instrText>
        </w:r>
        <w:r>
          <w:rPr>
            <w:webHidden/>
          </w:rPr>
        </w:r>
        <w:r>
          <w:rPr>
            <w:webHidden/>
          </w:rPr>
          <w:fldChar w:fldCharType="separate"/>
        </w:r>
        <w:r w:rsidR="004973D2">
          <w:rPr>
            <w:webHidden/>
          </w:rPr>
          <w:t>29</w:t>
        </w:r>
        <w:r>
          <w:rPr>
            <w:webHidden/>
          </w:rPr>
          <w:fldChar w:fldCharType="end"/>
        </w:r>
      </w:hyperlink>
    </w:p>
    <w:p w14:paraId="5298535A" w14:textId="744E0663" w:rsidR="004230A9" w:rsidRDefault="004230A9">
      <w:pPr>
        <w:pStyle w:val="TOC1"/>
        <w:rPr>
          <w:rFonts w:eastAsiaTheme="minorEastAsia" w:cstheme="minorBidi"/>
          <w:bCs w:val="0"/>
          <w:color w:val="auto"/>
          <w:kern w:val="2"/>
          <w:sz w:val="24"/>
          <w:lang w:val="en-AU" w:eastAsia="en-AU"/>
          <w14:ligatures w14:val="standardContextual"/>
        </w:rPr>
      </w:pPr>
      <w:hyperlink w:anchor="_Toc212023280" w:history="1">
        <w:r w:rsidRPr="00C27D3D">
          <w:rPr>
            <w:rStyle w:val="Hyperlink"/>
          </w:rPr>
          <w:t>3</w:t>
        </w:r>
        <w:r>
          <w:rPr>
            <w:rFonts w:eastAsiaTheme="minorEastAsia" w:cstheme="minorBidi"/>
            <w:bCs w:val="0"/>
            <w:color w:val="auto"/>
            <w:kern w:val="2"/>
            <w:sz w:val="24"/>
            <w:lang w:val="en-AU" w:eastAsia="en-AU"/>
            <w14:ligatures w14:val="standardContextual"/>
          </w:rPr>
          <w:tab/>
        </w:r>
        <w:r w:rsidRPr="00C27D3D">
          <w:rPr>
            <w:rStyle w:val="Hyperlink"/>
            <w:lang w:val="en-GB"/>
          </w:rPr>
          <w:t>Transmission Development Plan for Victoria</w:t>
        </w:r>
        <w:r>
          <w:rPr>
            <w:webHidden/>
          </w:rPr>
          <w:tab/>
        </w:r>
        <w:r>
          <w:rPr>
            <w:webHidden/>
          </w:rPr>
          <w:fldChar w:fldCharType="begin"/>
        </w:r>
        <w:r>
          <w:rPr>
            <w:webHidden/>
          </w:rPr>
          <w:instrText xml:space="preserve"> PAGEREF _Toc212023280 \h </w:instrText>
        </w:r>
        <w:r>
          <w:rPr>
            <w:webHidden/>
          </w:rPr>
        </w:r>
        <w:r>
          <w:rPr>
            <w:webHidden/>
          </w:rPr>
          <w:fldChar w:fldCharType="separate"/>
        </w:r>
        <w:r w:rsidR="004973D2">
          <w:rPr>
            <w:webHidden/>
          </w:rPr>
          <w:t>38</w:t>
        </w:r>
        <w:r>
          <w:rPr>
            <w:webHidden/>
          </w:rPr>
          <w:fldChar w:fldCharType="end"/>
        </w:r>
      </w:hyperlink>
    </w:p>
    <w:p w14:paraId="38C28DA5" w14:textId="7865FCD1" w:rsidR="004230A9" w:rsidRDefault="004230A9">
      <w:pPr>
        <w:pStyle w:val="TOC2"/>
        <w:rPr>
          <w:rFonts w:eastAsiaTheme="minorEastAsia" w:cstheme="minorBidi"/>
          <w:bCs w:val="0"/>
          <w:color w:val="auto"/>
          <w:kern w:val="2"/>
          <w:sz w:val="24"/>
          <w:lang w:val="en-AU" w:eastAsia="en-AU"/>
          <w14:ligatures w14:val="standardContextual"/>
        </w:rPr>
      </w:pPr>
      <w:hyperlink w:anchor="_Toc212023281" w:history="1">
        <w:r w:rsidRPr="00C27D3D">
          <w:rPr>
            <w:rStyle w:val="Hyperlink"/>
          </w:rPr>
          <w:t>3.1</w:t>
        </w:r>
        <w:r>
          <w:rPr>
            <w:rFonts w:eastAsiaTheme="minorEastAsia" w:cstheme="minorBidi"/>
            <w:bCs w:val="0"/>
            <w:color w:val="auto"/>
            <w:kern w:val="2"/>
            <w:sz w:val="24"/>
            <w:lang w:val="en-AU" w:eastAsia="en-AU"/>
            <w14:ligatures w14:val="standardContextual"/>
          </w:rPr>
          <w:tab/>
        </w:r>
        <w:r w:rsidRPr="00C27D3D">
          <w:rPr>
            <w:rStyle w:val="Hyperlink"/>
          </w:rPr>
          <w:t>Major projects in the Transmission Development Plan</w:t>
        </w:r>
        <w:r>
          <w:rPr>
            <w:webHidden/>
          </w:rPr>
          <w:tab/>
        </w:r>
        <w:r>
          <w:rPr>
            <w:webHidden/>
          </w:rPr>
          <w:fldChar w:fldCharType="begin"/>
        </w:r>
        <w:r>
          <w:rPr>
            <w:webHidden/>
          </w:rPr>
          <w:instrText xml:space="preserve"> PAGEREF _Toc212023281 \h </w:instrText>
        </w:r>
        <w:r>
          <w:rPr>
            <w:webHidden/>
          </w:rPr>
        </w:r>
        <w:r>
          <w:rPr>
            <w:webHidden/>
          </w:rPr>
          <w:fldChar w:fldCharType="separate"/>
        </w:r>
        <w:r w:rsidR="004973D2">
          <w:rPr>
            <w:webHidden/>
          </w:rPr>
          <w:t>43</w:t>
        </w:r>
        <w:r>
          <w:rPr>
            <w:webHidden/>
          </w:rPr>
          <w:fldChar w:fldCharType="end"/>
        </w:r>
      </w:hyperlink>
    </w:p>
    <w:p w14:paraId="1AC0C6A4" w14:textId="62011191" w:rsidR="004230A9" w:rsidRDefault="004230A9">
      <w:pPr>
        <w:pStyle w:val="TOC1"/>
        <w:rPr>
          <w:rFonts w:eastAsiaTheme="minorEastAsia" w:cstheme="minorBidi"/>
          <w:bCs w:val="0"/>
          <w:color w:val="auto"/>
          <w:kern w:val="2"/>
          <w:sz w:val="24"/>
          <w:lang w:val="en-AU" w:eastAsia="en-AU"/>
          <w14:ligatures w14:val="standardContextual"/>
        </w:rPr>
      </w:pPr>
      <w:hyperlink w:anchor="_Toc212023282" w:history="1">
        <w:r w:rsidRPr="00C27D3D">
          <w:rPr>
            <w:rStyle w:val="Hyperlink"/>
          </w:rPr>
          <w:t>4</w:t>
        </w:r>
        <w:r>
          <w:rPr>
            <w:rFonts w:eastAsiaTheme="minorEastAsia" w:cstheme="minorBidi"/>
            <w:bCs w:val="0"/>
            <w:color w:val="auto"/>
            <w:kern w:val="2"/>
            <w:sz w:val="24"/>
            <w:lang w:val="en-AU" w:eastAsia="en-AU"/>
            <w14:ligatures w14:val="standardContextual"/>
          </w:rPr>
          <w:tab/>
        </w:r>
        <w:r w:rsidRPr="00C27D3D">
          <w:rPr>
            <w:rStyle w:val="Hyperlink"/>
          </w:rPr>
          <w:t>Future outlook of the DSN</w:t>
        </w:r>
        <w:r>
          <w:rPr>
            <w:webHidden/>
          </w:rPr>
          <w:tab/>
        </w:r>
        <w:r>
          <w:rPr>
            <w:webHidden/>
          </w:rPr>
          <w:fldChar w:fldCharType="begin"/>
        </w:r>
        <w:r>
          <w:rPr>
            <w:webHidden/>
          </w:rPr>
          <w:instrText xml:space="preserve"> PAGEREF _Toc212023282 \h </w:instrText>
        </w:r>
        <w:r>
          <w:rPr>
            <w:webHidden/>
          </w:rPr>
        </w:r>
        <w:r>
          <w:rPr>
            <w:webHidden/>
          </w:rPr>
          <w:fldChar w:fldCharType="separate"/>
        </w:r>
        <w:r w:rsidR="004973D2">
          <w:rPr>
            <w:webHidden/>
          </w:rPr>
          <w:t>70</w:t>
        </w:r>
        <w:r>
          <w:rPr>
            <w:webHidden/>
          </w:rPr>
          <w:fldChar w:fldCharType="end"/>
        </w:r>
      </w:hyperlink>
    </w:p>
    <w:p w14:paraId="709130EE" w14:textId="0587258F" w:rsidR="004230A9" w:rsidRDefault="004230A9">
      <w:pPr>
        <w:pStyle w:val="TOC2"/>
        <w:rPr>
          <w:rFonts w:eastAsiaTheme="minorEastAsia" w:cstheme="minorBidi"/>
          <w:bCs w:val="0"/>
          <w:color w:val="auto"/>
          <w:kern w:val="2"/>
          <w:sz w:val="24"/>
          <w:lang w:val="en-AU" w:eastAsia="en-AU"/>
          <w14:ligatures w14:val="standardContextual"/>
        </w:rPr>
      </w:pPr>
      <w:hyperlink w:anchor="_Toc212023283" w:history="1">
        <w:r w:rsidRPr="00C27D3D">
          <w:rPr>
            <w:rStyle w:val="Hyperlink"/>
          </w:rPr>
          <w:t>4.1</w:t>
        </w:r>
        <w:r>
          <w:rPr>
            <w:rFonts w:eastAsiaTheme="minorEastAsia" w:cstheme="minorBidi"/>
            <w:bCs w:val="0"/>
            <w:color w:val="auto"/>
            <w:kern w:val="2"/>
            <w:sz w:val="24"/>
            <w:lang w:val="en-AU" w:eastAsia="en-AU"/>
            <w14:ligatures w14:val="standardContextual"/>
          </w:rPr>
          <w:tab/>
        </w:r>
        <w:r w:rsidRPr="00C27D3D">
          <w:rPr>
            <w:rStyle w:val="Hyperlink"/>
          </w:rPr>
          <w:t>Annual Planning Review methodology</w:t>
        </w:r>
        <w:r>
          <w:rPr>
            <w:webHidden/>
          </w:rPr>
          <w:tab/>
        </w:r>
        <w:r>
          <w:rPr>
            <w:webHidden/>
          </w:rPr>
          <w:fldChar w:fldCharType="begin"/>
        </w:r>
        <w:r>
          <w:rPr>
            <w:webHidden/>
          </w:rPr>
          <w:instrText xml:space="preserve"> PAGEREF _Toc212023283 \h </w:instrText>
        </w:r>
        <w:r>
          <w:rPr>
            <w:webHidden/>
          </w:rPr>
        </w:r>
        <w:r>
          <w:rPr>
            <w:webHidden/>
          </w:rPr>
          <w:fldChar w:fldCharType="separate"/>
        </w:r>
        <w:r w:rsidR="004973D2">
          <w:rPr>
            <w:webHidden/>
          </w:rPr>
          <w:t>72</w:t>
        </w:r>
        <w:r>
          <w:rPr>
            <w:webHidden/>
          </w:rPr>
          <w:fldChar w:fldCharType="end"/>
        </w:r>
      </w:hyperlink>
    </w:p>
    <w:p w14:paraId="0D0F12E0" w14:textId="3EBC7DF2" w:rsidR="004230A9" w:rsidRDefault="004230A9">
      <w:pPr>
        <w:pStyle w:val="TOC2"/>
        <w:rPr>
          <w:rFonts w:eastAsiaTheme="minorEastAsia" w:cstheme="minorBidi"/>
          <w:bCs w:val="0"/>
          <w:color w:val="auto"/>
          <w:kern w:val="2"/>
          <w:sz w:val="24"/>
          <w:lang w:val="en-AU" w:eastAsia="en-AU"/>
          <w14:ligatures w14:val="standardContextual"/>
        </w:rPr>
      </w:pPr>
      <w:hyperlink w:anchor="_Toc212023284" w:history="1">
        <w:r w:rsidRPr="00C27D3D">
          <w:rPr>
            <w:rStyle w:val="Hyperlink"/>
          </w:rPr>
          <w:t>4.2</w:t>
        </w:r>
        <w:r>
          <w:rPr>
            <w:rFonts w:eastAsiaTheme="minorEastAsia" w:cstheme="minorBidi"/>
            <w:bCs w:val="0"/>
            <w:color w:val="auto"/>
            <w:kern w:val="2"/>
            <w:sz w:val="24"/>
            <w:lang w:val="en-AU" w:eastAsia="en-AU"/>
            <w14:ligatures w14:val="standardContextual"/>
          </w:rPr>
          <w:tab/>
        </w:r>
        <w:r w:rsidRPr="00C27D3D">
          <w:rPr>
            <w:rStyle w:val="Hyperlink"/>
          </w:rPr>
          <w:t>Projection of network limitations in the planning horizon</w:t>
        </w:r>
        <w:r>
          <w:rPr>
            <w:webHidden/>
          </w:rPr>
          <w:tab/>
        </w:r>
        <w:r>
          <w:rPr>
            <w:webHidden/>
          </w:rPr>
          <w:fldChar w:fldCharType="begin"/>
        </w:r>
        <w:r>
          <w:rPr>
            <w:webHidden/>
          </w:rPr>
          <w:instrText xml:space="preserve"> PAGEREF _Toc212023284 \h </w:instrText>
        </w:r>
        <w:r>
          <w:rPr>
            <w:webHidden/>
          </w:rPr>
        </w:r>
        <w:r>
          <w:rPr>
            <w:webHidden/>
          </w:rPr>
          <w:fldChar w:fldCharType="separate"/>
        </w:r>
        <w:r w:rsidR="004973D2">
          <w:rPr>
            <w:webHidden/>
          </w:rPr>
          <w:t>74</w:t>
        </w:r>
        <w:r>
          <w:rPr>
            <w:webHidden/>
          </w:rPr>
          <w:fldChar w:fldCharType="end"/>
        </w:r>
      </w:hyperlink>
    </w:p>
    <w:p w14:paraId="1653CAF5" w14:textId="70CD8BDB" w:rsidR="004230A9" w:rsidRDefault="004230A9">
      <w:pPr>
        <w:pStyle w:val="TOC2"/>
        <w:rPr>
          <w:rFonts w:eastAsiaTheme="minorEastAsia" w:cstheme="minorBidi"/>
          <w:bCs w:val="0"/>
          <w:color w:val="auto"/>
          <w:kern w:val="2"/>
          <w:sz w:val="24"/>
          <w:lang w:val="en-AU" w:eastAsia="en-AU"/>
          <w14:ligatures w14:val="standardContextual"/>
        </w:rPr>
      </w:pPr>
      <w:hyperlink w:anchor="_Toc212023285" w:history="1">
        <w:r w:rsidRPr="00C27D3D">
          <w:rPr>
            <w:rStyle w:val="Hyperlink"/>
          </w:rPr>
          <w:t>4.3</w:t>
        </w:r>
        <w:r>
          <w:rPr>
            <w:rFonts w:eastAsiaTheme="minorEastAsia" w:cstheme="minorBidi"/>
            <w:bCs w:val="0"/>
            <w:color w:val="auto"/>
            <w:kern w:val="2"/>
            <w:sz w:val="24"/>
            <w:lang w:val="en-AU" w:eastAsia="en-AU"/>
            <w14:ligatures w14:val="standardContextual"/>
          </w:rPr>
          <w:tab/>
        </w:r>
        <w:r w:rsidRPr="00C27D3D">
          <w:rPr>
            <w:rStyle w:val="Hyperlink"/>
          </w:rPr>
          <w:t>System security planning for the DSN</w:t>
        </w:r>
        <w:r>
          <w:rPr>
            <w:webHidden/>
          </w:rPr>
          <w:tab/>
        </w:r>
        <w:r>
          <w:rPr>
            <w:webHidden/>
          </w:rPr>
          <w:fldChar w:fldCharType="begin"/>
        </w:r>
        <w:r>
          <w:rPr>
            <w:webHidden/>
          </w:rPr>
          <w:instrText xml:space="preserve"> PAGEREF _Toc212023285 \h </w:instrText>
        </w:r>
        <w:r>
          <w:rPr>
            <w:webHidden/>
          </w:rPr>
        </w:r>
        <w:r>
          <w:rPr>
            <w:webHidden/>
          </w:rPr>
          <w:fldChar w:fldCharType="separate"/>
        </w:r>
        <w:r w:rsidR="004973D2">
          <w:rPr>
            <w:webHidden/>
          </w:rPr>
          <w:t>83</w:t>
        </w:r>
        <w:r>
          <w:rPr>
            <w:webHidden/>
          </w:rPr>
          <w:fldChar w:fldCharType="end"/>
        </w:r>
      </w:hyperlink>
    </w:p>
    <w:p w14:paraId="279DD998" w14:textId="4BB3F328" w:rsidR="004230A9" w:rsidRDefault="004230A9">
      <w:pPr>
        <w:pStyle w:val="TOC2"/>
        <w:rPr>
          <w:rFonts w:eastAsiaTheme="minorEastAsia" w:cstheme="minorBidi"/>
          <w:bCs w:val="0"/>
          <w:color w:val="auto"/>
          <w:kern w:val="2"/>
          <w:sz w:val="24"/>
          <w:lang w:val="en-AU" w:eastAsia="en-AU"/>
          <w14:ligatures w14:val="standardContextual"/>
        </w:rPr>
      </w:pPr>
      <w:hyperlink w:anchor="_Toc212023286" w:history="1">
        <w:r w:rsidRPr="00C27D3D">
          <w:rPr>
            <w:rStyle w:val="Hyperlink"/>
          </w:rPr>
          <w:t>4.4</w:t>
        </w:r>
        <w:r>
          <w:rPr>
            <w:rFonts w:eastAsiaTheme="minorEastAsia" w:cstheme="minorBidi"/>
            <w:bCs w:val="0"/>
            <w:color w:val="auto"/>
            <w:kern w:val="2"/>
            <w:sz w:val="24"/>
            <w:lang w:val="en-AU" w:eastAsia="en-AU"/>
            <w14:ligatures w14:val="standardContextual"/>
          </w:rPr>
          <w:tab/>
        </w:r>
        <w:r w:rsidRPr="00C27D3D">
          <w:rPr>
            <w:rStyle w:val="Hyperlink"/>
          </w:rPr>
          <w:t>Control schemes in the DSN</w:t>
        </w:r>
        <w:r>
          <w:rPr>
            <w:webHidden/>
          </w:rPr>
          <w:tab/>
        </w:r>
        <w:r>
          <w:rPr>
            <w:webHidden/>
          </w:rPr>
          <w:fldChar w:fldCharType="begin"/>
        </w:r>
        <w:r>
          <w:rPr>
            <w:webHidden/>
          </w:rPr>
          <w:instrText xml:space="preserve"> PAGEREF _Toc212023286 \h </w:instrText>
        </w:r>
        <w:r>
          <w:rPr>
            <w:webHidden/>
          </w:rPr>
        </w:r>
        <w:r>
          <w:rPr>
            <w:webHidden/>
          </w:rPr>
          <w:fldChar w:fldCharType="separate"/>
        </w:r>
        <w:r w:rsidR="004973D2">
          <w:rPr>
            <w:webHidden/>
          </w:rPr>
          <w:t>89</w:t>
        </w:r>
        <w:r>
          <w:rPr>
            <w:webHidden/>
          </w:rPr>
          <w:fldChar w:fldCharType="end"/>
        </w:r>
      </w:hyperlink>
    </w:p>
    <w:p w14:paraId="6DB165B9" w14:textId="580A0AC6" w:rsidR="004230A9" w:rsidRDefault="004230A9">
      <w:pPr>
        <w:pStyle w:val="TOC2"/>
        <w:rPr>
          <w:rFonts w:eastAsiaTheme="minorEastAsia" w:cstheme="minorBidi"/>
          <w:bCs w:val="0"/>
          <w:color w:val="auto"/>
          <w:kern w:val="2"/>
          <w:sz w:val="24"/>
          <w:lang w:val="en-AU" w:eastAsia="en-AU"/>
          <w14:ligatures w14:val="standardContextual"/>
        </w:rPr>
      </w:pPr>
      <w:hyperlink w:anchor="_Toc212023287" w:history="1">
        <w:r w:rsidRPr="00C27D3D">
          <w:rPr>
            <w:rStyle w:val="Hyperlink"/>
          </w:rPr>
          <w:t>4.5</w:t>
        </w:r>
        <w:r>
          <w:rPr>
            <w:rFonts w:eastAsiaTheme="minorEastAsia" w:cstheme="minorBidi"/>
            <w:bCs w:val="0"/>
            <w:color w:val="auto"/>
            <w:kern w:val="2"/>
            <w:sz w:val="24"/>
            <w:lang w:val="en-AU" w:eastAsia="en-AU"/>
            <w14:ligatures w14:val="standardContextual"/>
          </w:rPr>
          <w:tab/>
        </w:r>
        <w:r w:rsidRPr="00C27D3D">
          <w:rPr>
            <w:rStyle w:val="Hyperlink"/>
          </w:rPr>
          <w:t>General Power System Risk Review – planned activities</w:t>
        </w:r>
        <w:r>
          <w:rPr>
            <w:webHidden/>
          </w:rPr>
          <w:tab/>
        </w:r>
        <w:r>
          <w:rPr>
            <w:webHidden/>
          </w:rPr>
          <w:fldChar w:fldCharType="begin"/>
        </w:r>
        <w:r>
          <w:rPr>
            <w:webHidden/>
          </w:rPr>
          <w:instrText xml:space="preserve"> PAGEREF _Toc212023287 \h </w:instrText>
        </w:r>
        <w:r>
          <w:rPr>
            <w:webHidden/>
          </w:rPr>
        </w:r>
        <w:r>
          <w:rPr>
            <w:webHidden/>
          </w:rPr>
          <w:fldChar w:fldCharType="separate"/>
        </w:r>
        <w:r w:rsidR="004973D2">
          <w:rPr>
            <w:webHidden/>
          </w:rPr>
          <w:t>92</w:t>
        </w:r>
        <w:r>
          <w:rPr>
            <w:webHidden/>
          </w:rPr>
          <w:fldChar w:fldCharType="end"/>
        </w:r>
      </w:hyperlink>
    </w:p>
    <w:p w14:paraId="49984B50" w14:textId="491A1CAD" w:rsidR="004230A9" w:rsidRDefault="004230A9">
      <w:pPr>
        <w:pStyle w:val="TOC2"/>
        <w:rPr>
          <w:rFonts w:eastAsiaTheme="minorEastAsia" w:cstheme="minorBidi"/>
          <w:bCs w:val="0"/>
          <w:color w:val="auto"/>
          <w:kern w:val="2"/>
          <w:sz w:val="24"/>
          <w:lang w:val="en-AU" w:eastAsia="en-AU"/>
          <w14:ligatures w14:val="standardContextual"/>
        </w:rPr>
      </w:pPr>
      <w:hyperlink w:anchor="_Toc212023288" w:history="1">
        <w:r w:rsidRPr="00C27D3D">
          <w:rPr>
            <w:rStyle w:val="Hyperlink"/>
          </w:rPr>
          <w:t>4.6</w:t>
        </w:r>
        <w:r>
          <w:rPr>
            <w:rFonts w:eastAsiaTheme="minorEastAsia" w:cstheme="minorBidi"/>
            <w:bCs w:val="0"/>
            <w:color w:val="auto"/>
            <w:kern w:val="2"/>
            <w:sz w:val="24"/>
            <w:lang w:val="en-AU" w:eastAsia="en-AU"/>
            <w14:ligatures w14:val="standardContextual"/>
          </w:rPr>
          <w:tab/>
        </w:r>
        <w:r w:rsidRPr="00C27D3D">
          <w:rPr>
            <w:rStyle w:val="Hyperlink"/>
          </w:rPr>
          <w:t>Joint planning activities to maintain the DSN</w:t>
        </w:r>
        <w:r>
          <w:rPr>
            <w:webHidden/>
          </w:rPr>
          <w:tab/>
        </w:r>
        <w:r>
          <w:rPr>
            <w:webHidden/>
          </w:rPr>
          <w:fldChar w:fldCharType="begin"/>
        </w:r>
        <w:r>
          <w:rPr>
            <w:webHidden/>
          </w:rPr>
          <w:instrText xml:space="preserve"> PAGEREF _Toc212023288 \h </w:instrText>
        </w:r>
        <w:r>
          <w:rPr>
            <w:webHidden/>
          </w:rPr>
        </w:r>
        <w:r>
          <w:rPr>
            <w:webHidden/>
          </w:rPr>
          <w:fldChar w:fldCharType="separate"/>
        </w:r>
        <w:r w:rsidR="004973D2">
          <w:rPr>
            <w:webHidden/>
          </w:rPr>
          <w:t>94</w:t>
        </w:r>
        <w:r>
          <w:rPr>
            <w:webHidden/>
          </w:rPr>
          <w:fldChar w:fldCharType="end"/>
        </w:r>
      </w:hyperlink>
    </w:p>
    <w:p w14:paraId="728E257C" w14:textId="4BEC632B" w:rsidR="004230A9" w:rsidRDefault="004230A9">
      <w:pPr>
        <w:pStyle w:val="TOC2"/>
        <w:rPr>
          <w:rFonts w:eastAsiaTheme="minorEastAsia" w:cstheme="minorBidi"/>
          <w:bCs w:val="0"/>
          <w:color w:val="auto"/>
          <w:kern w:val="2"/>
          <w:sz w:val="24"/>
          <w:lang w:val="en-AU" w:eastAsia="en-AU"/>
          <w14:ligatures w14:val="standardContextual"/>
        </w:rPr>
      </w:pPr>
      <w:hyperlink w:anchor="_Toc212023289" w:history="1">
        <w:r w:rsidRPr="00C27D3D">
          <w:rPr>
            <w:rStyle w:val="Hyperlink"/>
          </w:rPr>
          <w:t>4.7</w:t>
        </w:r>
        <w:r>
          <w:rPr>
            <w:rFonts w:eastAsiaTheme="minorEastAsia" w:cstheme="minorBidi"/>
            <w:bCs w:val="0"/>
            <w:color w:val="auto"/>
            <w:kern w:val="2"/>
            <w:sz w:val="24"/>
            <w:lang w:val="en-AU" w:eastAsia="en-AU"/>
            <w14:ligatures w14:val="standardContextual"/>
          </w:rPr>
          <w:tab/>
        </w:r>
        <w:r w:rsidRPr="00C27D3D">
          <w:rPr>
            <w:rStyle w:val="Hyperlink"/>
          </w:rPr>
          <w:t>Proposed updates to the Transmission Development Plan</w:t>
        </w:r>
        <w:r>
          <w:rPr>
            <w:webHidden/>
          </w:rPr>
          <w:tab/>
        </w:r>
        <w:r>
          <w:rPr>
            <w:webHidden/>
          </w:rPr>
          <w:fldChar w:fldCharType="begin"/>
        </w:r>
        <w:r>
          <w:rPr>
            <w:webHidden/>
          </w:rPr>
          <w:instrText xml:space="preserve"> PAGEREF _Toc212023289 \h </w:instrText>
        </w:r>
        <w:r>
          <w:rPr>
            <w:webHidden/>
          </w:rPr>
        </w:r>
        <w:r>
          <w:rPr>
            <w:webHidden/>
          </w:rPr>
          <w:fldChar w:fldCharType="separate"/>
        </w:r>
        <w:r w:rsidR="004973D2">
          <w:rPr>
            <w:webHidden/>
          </w:rPr>
          <w:t>105</w:t>
        </w:r>
        <w:r>
          <w:rPr>
            <w:webHidden/>
          </w:rPr>
          <w:fldChar w:fldCharType="end"/>
        </w:r>
      </w:hyperlink>
    </w:p>
    <w:p w14:paraId="5240F5B0" w14:textId="4B24AF5C" w:rsidR="004230A9" w:rsidRDefault="004230A9">
      <w:pPr>
        <w:pStyle w:val="TOC1"/>
        <w:rPr>
          <w:rFonts w:eastAsiaTheme="minorEastAsia" w:cstheme="minorBidi"/>
          <w:bCs w:val="0"/>
          <w:color w:val="auto"/>
          <w:kern w:val="2"/>
          <w:sz w:val="24"/>
          <w:lang w:val="en-AU" w:eastAsia="en-AU"/>
          <w14:ligatures w14:val="standardContextual"/>
        </w:rPr>
      </w:pPr>
      <w:hyperlink w:anchor="_Toc212023290" w:history="1">
        <w:r w:rsidRPr="00C27D3D">
          <w:rPr>
            <w:rStyle w:val="Hyperlink"/>
          </w:rPr>
          <w:t>A1.</w:t>
        </w:r>
        <w:r>
          <w:rPr>
            <w:rFonts w:eastAsiaTheme="minorEastAsia" w:cstheme="minorBidi"/>
            <w:bCs w:val="0"/>
            <w:color w:val="auto"/>
            <w:kern w:val="2"/>
            <w:sz w:val="24"/>
            <w:lang w:val="en-AU" w:eastAsia="en-AU"/>
            <w14:ligatures w14:val="standardContextual"/>
          </w:rPr>
          <w:tab/>
        </w:r>
        <w:r w:rsidRPr="00C27D3D">
          <w:rPr>
            <w:rStyle w:val="Hyperlink"/>
          </w:rPr>
          <w:t>Government policies and initiatives</w:t>
        </w:r>
        <w:r>
          <w:rPr>
            <w:webHidden/>
          </w:rPr>
          <w:tab/>
        </w:r>
        <w:r>
          <w:rPr>
            <w:webHidden/>
          </w:rPr>
          <w:fldChar w:fldCharType="begin"/>
        </w:r>
        <w:r>
          <w:rPr>
            <w:webHidden/>
          </w:rPr>
          <w:instrText xml:space="preserve"> PAGEREF _Toc212023290 \h </w:instrText>
        </w:r>
        <w:r>
          <w:rPr>
            <w:webHidden/>
          </w:rPr>
        </w:r>
        <w:r>
          <w:rPr>
            <w:webHidden/>
          </w:rPr>
          <w:fldChar w:fldCharType="separate"/>
        </w:r>
        <w:r w:rsidR="004973D2">
          <w:rPr>
            <w:webHidden/>
          </w:rPr>
          <w:t>107</w:t>
        </w:r>
        <w:r>
          <w:rPr>
            <w:webHidden/>
          </w:rPr>
          <w:fldChar w:fldCharType="end"/>
        </w:r>
      </w:hyperlink>
    </w:p>
    <w:p w14:paraId="211E53A8" w14:textId="0F974743" w:rsidR="004230A9" w:rsidRDefault="004230A9">
      <w:pPr>
        <w:pStyle w:val="TOC1"/>
        <w:rPr>
          <w:rFonts w:eastAsiaTheme="minorEastAsia" w:cstheme="minorBidi"/>
          <w:bCs w:val="0"/>
          <w:color w:val="auto"/>
          <w:kern w:val="2"/>
          <w:sz w:val="24"/>
          <w:lang w:val="en-AU" w:eastAsia="en-AU"/>
          <w14:ligatures w14:val="standardContextual"/>
        </w:rPr>
      </w:pPr>
      <w:hyperlink w:anchor="_Toc212023291" w:history="1">
        <w:r w:rsidRPr="00C27D3D">
          <w:rPr>
            <w:rStyle w:val="Hyperlink"/>
          </w:rPr>
          <w:t>A2.</w:t>
        </w:r>
        <w:r>
          <w:rPr>
            <w:rFonts w:eastAsiaTheme="minorEastAsia" w:cstheme="minorBidi"/>
            <w:bCs w:val="0"/>
            <w:color w:val="auto"/>
            <w:kern w:val="2"/>
            <w:sz w:val="24"/>
            <w:lang w:val="en-AU" w:eastAsia="en-AU"/>
            <w14:ligatures w14:val="standardContextual"/>
          </w:rPr>
          <w:tab/>
        </w:r>
        <w:r w:rsidRPr="00C27D3D">
          <w:rPr>
            <w:rStyle w:val="Hyperlink"/>
          </w:rPr>
          <w:t>Approach to network limitation review</w:t>
        </w:r>
        <w:r>
          <w:rPr>
            <w:webHidden/>
          </w:rPr>
          <w:tab/>
        </w:r>
        <w:r>
          <w:rPr>
            <w:webHidden/>
          </w:rPr>
          <w:fldChar w:fldCharType="begin"/>
        </w:r>
        <w:r>
          <w:rPr>
            <w:webHidden/>
          </w:rPr>
          <w:instrText xml:space="preserve"> PAGEREF _Toc212023291 \h </w:instrText>
        </w:r>
        <w:r>
          <w:rPr>
            <w:webHidden/>
          </w:rPr>
        </w:r>
        <w:r>
          <w:rPr>
            <w:webHidden/>
          </w:rPr>
          <w:fldChar w:fldCharType="separate"/>
        </w:r>
        <w:r w:rsidR="004973D2">
          <w:rPr>
            <w:webHidden/>
          </w:rPr>
          <w:t>109</w:t>
        </w:r>
        <w:r>
          <w:rPr>
            <w:webHidden/>
          </w:rPr>
          <w:fldChar w:fldCharType="end"/>
        </w:r>
      </w:hyperlink>
    </w:p>
    <w:p w14:paraId="237C0B08" w14:textId="3B0D104F" w:rsidR="004230A9" w:rsidRDefault="004230A9">
      <w:pPr>
        <w:pStyle w:val="TOC1"/>
        <w:rPr>
          <w:rFonts w:eastAsiaTheme="minorEastAsia" w:cstheme="minorBidi"/>
          <w:bCs w:val="0"/>
          <w:color w:val="auto"/>
          <w:kern w:val="2"/>
          <w:sz w:val="24"/>
          <w:lang w:val="en-AU" w:eastAsia="en-AU"/>
          <w14:ligatures w14:val="standardContextual"/>
        </w:rPr>
      </w:pPr>
      <w:hyperlink w:anchor="_Toc212023292" w:history="1">
        <w:r w:rsidRPr="00C27D3D">
          <w:rPr>
            <w:rStyle w:val="Hyperlink"/>
          </w:rPr>
          <w:t>A3.</w:t>
        </w:r>
        <w:r>
          <w:rPr>
            <w:rFonts w:eastAsiaTheme="minorEastAsia" w:cstheme="minorBidi"/>
            <w:bCs w:val="0"/>
            <w:color w:val="auto"/>
            <w:kern w:val="2"/>
            <w:sz w:val="24"/>
            <w:lang w:val="en-AU" w:eastAsia="en-AU"/>
            <w14:ligatures w14:val="standardContextual"/>
          </w:rPr>
          <w:tab/>
        </w:r>
        <w:r w:rsidRPr="00C27D3D">
          <w:rPr>
            <w:rStyle w:val="Hyperlink"/>
          </w:rPr>
          <w:t>Input assumptions for VAPR models</w:t>
        </w:r>
        <w:r>
          <w:rPr>
            <w:webHidden/>
          </w:rPr>
          <w:tab/>
        </w:r>
        <w:r>
          <w:rPr>
            <w:webHidden/>
          </w:rPr>
          <w:fldChar w:fldCharType="begin"/>
        </w:r>
        <w:r>
          <w:rPr>
            <w:webHidden/>
          </w:rPr>
          <w:instrText xml:space="preserve"> PAGEREF _Toc212023292 \h </w:instrText>
        </w:r>
        <w:r>
          <w:rPr>
            <w:webHidden/>
          </w:rPr>
        </w:r>
        <w:r>
          <w:rPr>
            <w:webHidden/>
          </w:rPr>
          <w:fldChar w:fldCharType="separate"/>
        </w:r>
        <w:r w:rsidR="004973D2">
          <w:rPr>
            <w:webHidden/>
          </w:rPr>
          <w:t>111</w:t>
        </w:r>
        <w:r>
          <w:rPr>
            <w:webHidden/>
          </w:rPr>
          <w:fldChar w:fldCharType="end"/>
        </w:r>
      </w:hyperlink>
    </w:p>
    <w:p w14:paraId="68BFF1D1" w14:textId="11254A78" w:rsidR="004230A9" w:rsidRDefault="004230A9">
      <w:pPr>
        <w:pStyle w:val="TOC2"/>
        <w:rPr>
          <w:rFonts w:eastAsiaTheme="minorEastAsia" w:cstheme="minorBidi"/>
          <w:bCs w:val="0"/>
          <w:color w:val="auto"/>
          <w:kern w:val="2"/>
          <w:sz w:val="24"/>
          <w:lang w:val="en-AU" w:eastAsia="en-AU"/>
          <w14:ligatures w14:val="standardContextual"/>
        </w:rPr>
      </w:pPr>
      <w:hyperlink w:anchor="_Toc212023293" w:history="1">
        <w:r w:rsidRPr="00C27D3D">
          <w:rPr>
            <w:rStyle w:val="Hyperlink"/>
          </w:rPr>
          <w:t>A3.1</w:t>
        </w:r>
        <w:r>
          <w:rPr>
            <w:rFonts w:eastAsiaTheme="minorEastAsia" w:cstheme="minorBidi"/>
            <w:bCs w:val="0"/>
            <w:color w:val="auto"/>
            <w:kern w:val="2"/>
            <w:sz w:val="24"/>
            <w:lang w:val="en-AU" w:eastAsia="en-AU"/>
            <w14:ligatures w14:val="standardContextual"/>
          </w:rPr>
          <w:tab/>
        </w:r>
        <w:r w:rsidRPr="00C27D3D">
          <w:rPr>
            <w:rStyle w:val="Hyperlink"/>
          </w:rPr>
          <w:t>New generation, transmission and system strength projects</w:t>
        </w:r>
        <w:r>
          <w:rPr>
            <w:webHidden/>
          </w:rPr>
          <w:tab/>
        </w:r>
        <w:r>
          <w:rPr>
            <w:webHidden/>
          </w:rPr>
          <w:fldChar w:fldCharType="begin"/>
        </w:r>
        <w:r>
          <w:rPr>
            <w:webHidden/>
          </w:rPr>
          <w:instrText xml:space="preserve"> PAGEREF _Toc212023293 \h </w:instrText>
        </w:r>
        <w:r>
          <w:rPr>
            <w:webHidden/>
          </w:rPr>
        </w:r>
        <w:r>
          <w:rPr>
            <w:webHidden/>
          </w:rPr>
          <w:fldChar w:fldCharType="separate"/>
        </w:r>
        <w:r w:rsidR="004973D2">
          <w:rPr>
            <w:webHidden/>
          </w:rPr>
          <w:t>111</w:t>
        </w:r>
        <w:r>
          <w:rPr>
            <w:webHidden/>
          </w:rPr>
          <w:fldChar w:fldCharType="end"/>
        </w:r>
      </w:hyperlink>
    </w:p>
    <w:p w14:paraId="26ACDCCF" w14:textId="389F1FA0" w:rsidR="004230A9" w:rsidRDefault="004230A9">
      <w:pPr>
        <w:pStyle w:val="TOC2"/>
        <w:rPr>
          <w:rFonts w:eastAsiaTheme="minorEastAsia" w:cstheme="minorBidi"/>
          <w:bCs w:val="0"/>
          <w:color w:val="auto"/>
          <w:kern w:val="2"/>
          <w:sz w:val="24"/>
          <w:lang w:val="en-AU" w:eastAsia="en-AU"/>
          <w14:ligatures w14:val="standardContextual"/>
        </w:rPr>
      </w:pPr>
      <w:hyperlink w:anchor="_Toc212023294" w:history="1">
        <w:r w:rsidRPr="00C27D3D">
          <w:rPr>
            <w:rStyle w:val="Hyperlink"/>
          </w:rPr>
          <w:t>A3.2</w:t>
        </w:r>
        <w:r>
          <w:rPr>
            <w:rFonts w:eastAsiaTheme="minorEastAsia" w:cstheme="minorBidi"/>
            <w:bCs w:val="0"/>
            <w:color w:val="auto"/>
            <w:kern w:val="2"/>
            <w:sz w:val="24"/>
            <w:lang w:val="en-AU" w:eastAsia="en-AU"/>
            <w14:ligatures w14:val="standardContextual"/>
          </w:rPr>
          <w:tab/>
        </w:r>
        <w:r w:rsidRPr="00C27D3D">
          <w:rPr>
            <w:rStyle w:val="Hyperlink"/>
          </w:rPr>
          <w:t>VicGrid network augmentation projects</w:t>
        </w:r>
        <w:r>
          <w:rPr>
            <w:webHidden/>
          </w:rPr>
          <w:tab/>
        </w:r>
        <w:r>
          <w:rPr>
            <w:webHidden/>
          </w:rPr>
          <w:fldChar w:fldCharType="begin"/>
        </w:r>
        <w:r>
          <w:rPr>
            <w:webHidden/>
          </w:rPr>
          <w:instrText xml:space="preserve"> PAGEREF _Toc212023294 \h </w:instrText>
        </w:r>
        <w:r>
          <w:rPr>
            <w:webHidden/>
          </w:rPr>
        </w:r>
        <w:r>
          <w:rPr>
            <w:webHidden/>
          </w:rPr>
          <w:fldChar w:fldCharType="separate"/>
        </w:r>
        <w:r w:rsidR="004973D2">
          <w:rPr>
            <w:webHidden/>
          </w:rPr>
          <w:t>113</w:t>
        </w:r>
        <w:r>
          <w:rPr>
            <w:webHidden/>
          </w:rPr>
          <w:fldChar w:fldCharType="end"/>
        </w:r>
      </w:hyperlink>
    </w:p>
    <w:p w14:paraId="509FAAAB" w14:textId="7B24BC86" w:rsidR="004230A9" w:rsidRDefault="004230A9">
      <w:pPr>
        <w:pStyle w:val="TOC1"/>
        <w:rPr>
          <w:rFonts w:eastAsiaTheme="minorEastAsia" w:cstheme="minorBidi"/>
          <w:bCs w:val="0"/>
          <w:color w:val="auto"/>
          <w:kern w:val="2"/>
          <w:sz w:val="24"/>
          <w:lang w:val="en-AU" w:eastAsia="en-AU"/>
          <w14:ligatures w14:val="standardContextual"/>
        </w:rPr>
      </w:pPr>
      <w:hyperlink w:anchor="_Toc212023295" w:history="1">
        <w:r w:rsidRPr="00C27D3D">
          <w:rPr>
            <w:rStyle w:val="Hyperlink"/>
          </w:rPr>
          <w:t>A4.</w:t>
        </w:r>
        <w:r>
          <w:rPr>
            <w:rFonts w:eastAsiaTheme="minorEastAsia" w:cstheme="minorBidi"/>
            <w:bCs w:val="0"/>
            <w:color w:val="auto"/>
            <w:kern w:val="2"/>
            <w:sz w:val="24"/>
            <w:lang w:val="en-AU" w:eastAsia="en-AU"/>
            <w14:ligatures w14:val="standardContextual"/>
          </w:rPr>
          <w:tab/>
        </w:r>
        <w:r w:rsidRPr="00C27D3D">
          <w:rPr>
            <w:rStyle w:val="Hyperlink"/>
          </w:rPr>
          <w:t>DSN limitations detail</w:t>
        </w:r>
        <w:r>
          <w:rPr>
            <w:webHidden/>
          </w:rPr>
          <w:tab/>
        </w:r>
        <w:r>
          <w:rPr>
            <w:webHidden/>
          </w:rPr>
          <w:fldChar w:fldCharType="begin"/>
        </w:r>
        <w:r>
          <w:rPr>
            <w:webHidden/>
          </w:rPr>
          <w:instrText xml:space="preserve"> PAGEREF _Toc212023295 \h </w:instrText>
        </w:r>
        <w:r>
          <w:rPr>
            <w:webHidden/>
          </w:rPr>
        </w:r>
        <w:r>
          <w:rPr>
            <w:webHidden/>
          </w:rPr>
          <w:fldChar w:fldCharType="separate"/>
        </w:r>
        <w:r w:rsidR="004973D2">
          <w:rPr>
            <w:webHidden/>
          </w:rPr>
          <w:t>114</w:t>
        </w:r>
        <w:r>
          <w:rPr>
            <w:webHidden/>
          </w:rPr>
          <w:fldChar w:fldCharType="end"/>
        </w:r>
      </w:hyperlink>
    </w:p>
    <w:p w14:paraId="1863482D" w14:textId="72A90604" w:rsidR="004230A9" w:rsidRDefault="004230A9">
      <w:pPr>
        <w:pStyle w:val="TOC2"/>
        <w:rPr>
          <w:rFonts w:eastAsiaTheme="minorEastAsia" w:cstheme="minorBidi"/>
          <w:bCs w:val="0"/>
          <w:color w:val="auto"/>
          <w:kern w:val="2"/>
          <w:sz w:val="24"/>
          <w:lang w:val="en-AU" w:eastAsia="en-AU"/>
          <w14:ligatures w14:val="standardContextual"/>
        </w:rPr>
      </w:pPr>
      <w:hyperlink w:anchor="_Toc212023296" w:history="1">
        <w:r w:rsidRPr="00C27D3D">
          <w:rPr>
            <w:rStyle w:val="Hyperlink"/>
          </w:rPr>
          <w:t>A4.1</w:t>
        </w:r>
        <w:r>
          <w:rPr>
            <w:rFonts w:eastAsiaTheme="minorEastAsia" w:cstheme="minorBidi"/>
            <w:bCs w:val="0"/>
            <w:color w:val="auto"/>
            <w:kern w:val="2"/>
            <w:sz w:val="24"/>
            <w:lang w:val="en-AU" w:eastAsia="en-AU"/>
            <w14:ligatures w14:val="standardContextual"/>
          </w:rPr>
          <w:tab/>
        </w:r>
        <w:r w:rsidRPr="00C27D3D">
          <w:rPr>
            <w:rStyle w:val="Hyperlink"/>
          </w:rPr>
          <w:t>Central North Victoria corridor</w:t>
        </w:r>
        <w:r>
          <w:rPr>
            <w:webHidden/>
          </w:rPr>
          <w:tab/>
        </w:r>
        <w:r>
          <w:rPr>
            <w:webHidden/>
          </w:rPr>
          <w:fldChar w:fldCharType="begin"/>
        </w:r>
        <w:r>
          <w:rPr>
            <w:webHidden/>
          </w:rPr>
          <w:instrText xml:space="preserve"> PAGEREF _Toc212023296 \h </w:instrText>
        </w:r>
        <w:r>
          <w:rPr>
            <w:webHidden/>
          </w:rPr>
        </w:r>
        <w:r>
          <w:rPr>
            <w:webHidden/>
          </w:rPr>
          <w:fldChar w:fldCharType="separate"/>
        </w:r>
        <w:r w:rsidR="004973D2">
          <w:rPr>
            <w:webHidden/>
          </w:rPr>
          <w:t>115</w:t>
        </w:r>
        <w:r>
          <w:rPr>
            <w:webHidden/>
          </w:rPr>
          <w:fldChar w:fldCharType="end"/>
        </w:r>
      </w:hyperlink>
    </w:p>
    <w:p w14:paraId="33D4A8F6" w14:textId="3DF8E977" w:rsidR="004230A9" w:rsidRDefault="004230A9">
      <w:pPr>
        <w:pStyle w:val="TOC2"/>
        <w:rPr>
          <w:rFonts w:eastAsiaTheme="minorEastAsia" w:cstheme="minorBidi"/>
          <w:bCs w:val="0"/>
          <w:color w:val="auto"/>
          <w:kern w:val="2"/>
          <w:sz w:val="24"/>
          <w:lang w:val="en-AU" w:eastAsia="en-AU"/>
          <w14:ligatures w14:val="standardContextual"/>
        </w:rPr>
      </w:pPr>
      <w:hyperlink w:anchor="_Toc212023297" w:history="1">
        <w:r w:rsidRPr="00C27D3D">
          <w:rPr>
            <w:rStyle w:val="Hyperlink"/>
          </w:rPr>
          <w:t>A4.2</w:t>
        </w:r>
        <w:r>
          <w:rPr>
            <w:rFonts w:eastAsiaTheme="minorEastAsia" w:cstheme="minorBidi"/>
            <w:bCs w:val="0"/>
            <w:color w:val="auto"/>
            <w:kern w:val="2"/>
            <w:sz w:val="24"/>
            <w:lang w:val="en-AU" w:eastAsia="en-AU"/>
            <w14:ligatures w14:val="standardContextual"/>
          </w:rPr>
          <w:tab/>
        </w:r>
        <w:r w:rsidRPr="00C27D3D">
          <w:rPr>
            <w:rStyle w:val="Hyperlink"/>
          </w:rPr>
          <w:t>Eastern Victoria Corridor</w:t>
        </w:r>
        <w:r>
          <w:rPr>
            <w:webHidden/>
          </w:rPr>
          <w:tab/>
        </w:r>
        <w:r>
          <w:rPr>
            <w:webHidden/>
          </w:rPr>
          <w:fldChar w:fldCharType="begin"/>
        </w:r>
        <w:r>
          <w:rPr>
            <w:webHidden/>
          </w:rPr>
          <w:instrText xml:space="preserve"> PAGEREF _Toc212023297 \h </w:instrText>
        </w:r>
        <w:r>
          <w:rPr>
            <w:webHidden/>
          </w:rPr>
        </w:r>
        <w:r>
          <w:rPr>
            <w:webHidden/>
          </w:rPr>
          <w:fldChar w:fldCharType="separate"/>
        </w:r>
        <w:r w:rsidR="004973D2">
          <w:rPr>
            <w:webHidden/>
          </w:rPr>
          <w:t>115</w:t>
        </w:r>
        <w:r>
          <w:rPr>
            <w:webHidden/>
          </w:rPr>
          <w:fldChar w:fldCharType="end"/>
        </w:r>
      </w:hyperlink>
    </w:p>
    <w:p w14:paraId="0062AB34" w14:textId="46CE2645" w:rsidR="004230A9" w:rsidRDefault="004230A9">
      <w:pPr>
        <w:pStyle w:val="TOC2"/>
        <w:rPr>
          <w:rFonts w:eastAsiaTheme="minorEastAsia" w:cstheme="minorBidi"/>
          <w:bCs w:val="0"/>
          <w:color w:val="auto"/>
          <w:kern w:val="2"/>
          <w:sz w:val="24"/>
          <w:lang w:val="en-AU" w:eastAsia="en-AU"/>
          <w14:ligatures w14:val="standardContextual"/>
        </w:rPr>
      </w:pPr>
      <w:hyperlink w:anchor="_Toc212023298" w:history="1">
        <w:r w:rsidRPr="00C27D3D">
          <w:rPr>
            <w:rStyle w:val="Hyperlink"/>
          </w:rPr>
          <w:t>A4.3</w:t>
        </w:r>
        <w:r>
          <w:rPr>
            <w:rFonts w:eastAsiaTheme="minorEastAsia" w:cstheme="minorBidi"/>
            <w:bCs w:val="0"/>
            <w:color w:val="auto"/>
            <w:kern w:val="2"/>
            <w:sz w:val="24"/>
            <w:lang w:val="en-AU" w:eastAsia="en-AU"/>
            <w14:ligatures w14:val="standardContextual"/>
          </w:rPr>
          <w:tab/>
        </w:r>
        <w:r w:rsidRPr="00C27D3D">
          <w:rPr>
            <w:rStyle w:val="Hyperlink"/>
          </w:rPr>
          <w:t>Northern Victoria corridor</w:t>
        </w:r>
        <w:r>
          <w:rPr>
            <w:webHidden/>
          </w:rPr>
          <w:tab/>
        </w:r>
        <w:r>
          <w:rPr>
            <w:webHidden/>
          </w:rPr>
          <w:fldChar w:fldCharType="begin"/>
        </w:r>
        <w:r>
          <w:rPr>
            <w:webHidden/>
          </w:rPr>
          <w:instrText xml:space="preserve"> PAGEREF _Toc212023298 \h </w:instrText>
        </w:r>
        <w:r>
          <w:rPr>
            <w:webHidden/>
          </w:rPr>
        </w:r>
        <w:r>
          <w:rPr>
            <w:webHidden/>
          </w:rPr>
          <w:fldChar w:fldCharType="separate"/>
        </w:r>
        <w:r w:rsidR="004973D2">
          <w:rPr>
            <w:webHidden/>
          </w:rPr>
          <w:t>116</w:t>
        </w:r>
        <w:r>
          <w:rPr>
            <w:webHidden/>
          </w:rPr>
          <w:fldChar w:fldCharType="end"/>
        </w:r>
      </w:hyperlink>
    </w:p>
    <w:p w14:paraId="644EA874" w14:textId="09D0A2FF" w:rsidR="004230A9" w:rsidRDefault="004230A9">
      <w:pPr>
        <w:pStyle w:val="TOC2"/>
        <w:rPr>
          <w:rFonts w:eastAsiaTheme="minorEastAsia" w:cstheme="minorBidi"/>
          <w:bCs w:val="0"/>
          <w:color w:val="auto"/>
          <w:kern w:val="2"/>
          <w:sz w:val="24"/>
          <w:lang w:val="en-AU" w:eastAsia="en-AU"/>
          <w14:ligatures w14:val="standardContextual"/>
        </w:rPr>
      </w:pPr>
      <w:hyperlink w:anchor="_Toc212023299" w:history="1">
        <w:r w:rsidRPr="00C27D3D">
          <w:rPr>
            <w:rStyle w:val="Hyperlink"/>
          </w:rPr>
          <w:t>A4.4</w:t>
        </w:r>
        <w:r>
          <w:rPr>
            <w:rFonts w:eastAsiaTheme="minorEastAsia" w:cstheme="minorBidi"/>
            <w:bCs w:val="0"/>
            <w:color w:val="auto"/>
            <w:kern w:val="2"/>
            <w:sz w:val="24"/>
            <w:lang w:val="en-AU" w:eastAsia="en-AU"/>
            <w14:ligatures w14:val="standardContextual"/>
          </w:rPr>
          <w:tab/>
        </w:r>
        <w:r w:rsidRPr="00C27D3D">
          <w:rPr>
            <w:rStyle w:val="Hyperlink"/>
          </w:rPr>
          <w:t>Murray River corridor</w:t>
        </w:r>
        <w:r>
          <w:rPr>
            <w:webHidden/>
          </w:rPr>
          <w:tab/>
        </w:r>
        <w:r>
          <w:rPr>
            <w:webHidden/>
          </w:rPr>
          <w:fldChar w:fldCharType="begin"/>
        </w:r>
        <w:r>
          <w:rPr>
            <w:webHidden/>
          </w:rPr>
          <w:instrText xml:space="preserve"> PAGEREF _Toc212023299 \h </w:instrText>
        </w:r>
        <w:r>
          <w:rPr>
            <w:webHidden/>
          </w:rPr>
        </w:r>
        <w:r>
          <w:rPr>
            <w:webHidden/>
          </w:rPr>
          <w:fldChar w:fldCharType="separate"/>
        </w:r>
        <w:r w:rsidR="004973D2">
          <w:rPr>
            <w:webHidden/>
          </w:rPr>
          <w:t>118</w:t>
        </w:r>
        <w:r>
          <w:rPr>
            <w:webHidden/>
          </w:rPr>
          <w:fldChar w:fldCharType="end"/>
        </w:r>
      </w:hyperlink>
    </w:p>
    <w:p w14:paraId="38A15DAF" w14:textId="2730CD23" w:rsidR="004230A9" w:rsidRDefault="004230A9">
      <w:pPr>
        <w:pStyle w:val="TOC2"/>
        <w:rPr>
          <w:rFonts w:eastAsiaTheme="minorEastAsia" w:cstheme="minorBidi"/>
          <w:bCs w:val="0"/>
          <w:color w:val="auto"/>
          <w:kern w:val="2"/>
          <w:sz w:val="24"/>
          <w:lang w:val="en-AU" w:eastAsia="en-AU"/>
          <w14:ligatures w14:val="standardContextual"/>
        </w:rPr>
      </w:pPr>
      <w:hyperlink w:anchor="_Toc212023300" w:history="1">
        <w:r w:rsidRPr="00C27D3D">
          <w:rPr>
            <w:rStyle w:val="Hyperlink"/>
          </w:rPr>
          <w:t>A4.5</w:t>
        </w:r>
        <w:r>
          <w:rPr>
            <w:rFonts w:eastAsiaTheme="minorEastAsia" w:cstheme="minorBidi"/>
            <w:bCs w:val="0"/>
            <w:color w:val="auto"/>
            <w:kern w:val="2"/>
            <w:sz w:val="24"/>
            <w:lang w:val="en-AU" w:eastAsia="en-AU"/>
            <w14:ligatures w14:val="standardContextual"/>
          </w:rPr>
          <w:tab/>
        </w:r>
        <w:r w:rsidRPr="00C27D3D">
          <w:rPr>
            <w:rStyle w:val="Hyperlink"/>
          </w:rPr>
          <w:t>South West Victoria corridor</w:t>
        </w:r>
        <w:r>
          <w:rPr>
            <w:webHidden/>
          </w:rPr>
          <w:tab/>
        </w:r>
        <w:r>
          <w:rPr>
            <w:webHidden/>
          </w:rPr>
          <w:fldChar w:fldCharType="begin"/>
        </w:r>
        <w:r>
          <w:rPr>
            <w:webHidden/>
          </w:rPr>
          <w:instrText xml:space="preserve"> PAGEREF _Toc212023300 \h </w:instrText>
        </w:r>
        <w:r>
          <w:rPr>
            <w:webHidden/>
          </w:rPr>
        </w:r>
        <w:r>
          <w:rPr>
            <w:webHidden/>
          </w:rPr>
          <w:fldChar w:fldCharType="separate"/>
        </w:r>
        <w:r w:rsidR="004973D2">
          <w:rPr>
            <w:webHidden/>
          </w:rPr>
          <w:t>119</w:t>
        </w:r>
        <w:r>
          <w:rPr>
            <w:webHidden/>
          </w:rPr>
          <w:fldChar w:fldCharType="end"/>
        </w:r>
      </w:hyperlink>
    </w:p>
    <w:p w14:paraId="2193C7E3" w14:textId="5ED512EE" w:rsidR="004230A9" w:rsidRDefault="004230A9">
      <w:pPr>
        <w:pStyle w:val="TOC2"/>
        <w:rPr>
          <w:rFonts w:eastAsiaTheme="minorEastAsia" w:cstheme="minorBidi"/>
          <w:bCs w:val="0"/>
          <w:color w:val="auto"/>
          <w:kern w:val="2"/>
          <w:sz w:val="24"/>
          <w:lang w:val="en-AU" w:eastAsia="en-AU"/>
          <w14:ligatures w14:val="standardContextual"/>
        </w:rPr>
      </w:pPr>
      <w:hyperlink w:anchor="_Toc212023301" w:history="1">
        <w:r w:rsidRPr="00C27D3D">
          <w:rPr>
            <w:rStyle w:val="Hyperlink"/>
          </w:rPr>
          <w:t>A4.6</w:t>
        </w:r>
        <w:r>
          <w:rPr>
            <w:rFonts w:eastAsiaTheme="minorEastAsia" w:cstheme="minorBidi"/>
            <w:bCs w:val="0"/>
            <w:color w:val="auto"/>
            <w:kern w:val="2"/>
            <w:sz w:val="24"/>
            <w:lang w:val="en-AU" w:eastAsia="en-AU"/>
            <w14:ligatures w14:val="standardContextual"/>
          </w:rPr>
          <w:tab/>
        </w:r>
        <w:r w:rsidRPr="00C27D3D">
          <w:rPr>
            <w:rStyle w:val="Hyperlink"/>
          </w:rPr>
          <w:t>Greater Melbourne and Geelong</w:t>
        </w:r>
        <w:r>
          <w:rPr>
            <w:webHidden/>
          </w:rPr>
          <w:tab/>
        </w:r>
        <w:r>
          <w:rPr>
            <w:webHidden/>
          </w:rPr>
          <w:fldChar w:fldCharType="begin"/>
        </w:r>
        <w:r>
          <w:rPr>
            <w:webHidden/>
          </w:rPr>
          <w:instrText xml:space="preserve"> PAGEREF _Toc212023301 \h </w:instrText>
        </w:r>
        <w:r>
          <w:rPr>
            <w:webHidden/>
          </w:rPr>
        </w:r>
        <w:r>
          <w:rPr>
            <w:webHidden/>
          </w:rPr>
          <w:fldChar w:fldCharType="separate"/>
        </w:r>
        <w:r w:rsidR="004973D2">
          <w:rPr>
            <w:webHidden/>
          </w:rPr>
          <w:t>120</w:t>
        </w:r>
        <w:r>
          <w:rPr>
            <w:webHidden/>
          </w:rPr>
          <w:fldChar w:fldCharType="end"/>
        </w:r>
      </w:hyperlink>
    </w:p>
    <w:p w14:paraId="3D68039E" w14:textId="63DC4F80" w:rsidR="004230A9" w:rsidRDefault="004230A9">
      <w:pPr>
        <w:pStyle w:val="TOC2"/>
        <w:rPr>
          <w:rFonts w:eastAsiaTheme="minorEastAsia" w:cstheme="minorBidi"/>
          <w:bCs w:val="0"/>
          <w:color w:val="auto"/>
          <w:kern w:val="2"/>
          <w:sz w:val="24"/>
          <w:lang w:val="en-AU" w:eastAsia="en-AU"/>
          <w14:ligatures w14:val="standardContextual"/>
        </w:rPr>
      </w:pPr>
      <w:hyperlink w:anchor="_Toc212023302" w:history="1">
        <w:r w:rsidRPr="00C27D3D">
          <w:rPr>
            <w:rStyle w:val="Hyperlink"/>
          </w:rPr>
          <w:t>A4.7</w:t>
        </w:r>
        <w:r>
          <w:rPr>
            <w:rFonts w:eastAsiaTheme="minorEastAsia" w:cstheme="minorBidi"/>
            <w:bCs w:val="0"/>
            <w:color w:val="auto"/>
            <w:kern w:val="2"/>
            <w:sz w:val="24"/>
            <w:lang w:val="en-AU" w:eastAsia="en-AU"/>
            <w14:ligatures w14:val="standardContextual"/>
          </w:rPr>
          <w:tab/>
        </w:r>
        <w:r w:rsidRPr="00C27D3D">
          <w:rPr>
            <w:rStyle w:val="Hyperlink"/>
          </w:rPr>
          <w:t>Western Victoria corridor</w:t>
        </w:r>
        <w:r>
          <w:rPr>
            <w:webHidden/>
          </w:rPr>
          <w:tab/>
        </w:r>
        <w:r>
          <w:rPr>
            <w:webHidden/>
          </w:rPr>
          <w:fldChar w:fldCharType="begin"/>
        </w:r>
        <w:r>
          <w:rPr>
            <w:webHidden/>
          </w:rPr>
          <w:instrText xml:space="preserve"> PAGEREF _Toc212023302 \h </w:instrText>
        </w:r>
        <w:r>
          <w:rPr>
            <w:webHidden/>
          </w:rPr>
        </w:r>
        <w:r>
          <w:rPr>
            <w:webHidden/>
          </w:rPr>
          <w:fldChar w:fldCharType="separate"/>
        </w:r>
        <w:r w:rsidR="004973D2">
          <w:rPr>
            <w:webHidden/>
          </w:rPr>
          <w:t>123</w:t>
        </w:r>
        <w:r>
          <w:rPr>
            <w:webHidden/>
          </w:rPr>
          <w:fldChar w:fldCharType="end"/>
        </w:r>
      </w:hyperlink>
    </w:p>
    <w:p w14:paraId="5A5F880F" w14:textId="39D760A3" w:rsidR="004230A9" w:rsidRDefault="004230A9">
      <w:pPr>
        <w:pStyle w:val="TOC2"/>
        <w:rPr>
          <w:rFonts w:eastAsiaTheme="minorEastAsia" w:cstheme="minorBidi"/>
          <w:bCs w:val="0"/>
          <w:color w:val="auto"/>
          <w:kern w:val="2"/>
          <w:sz w:val="24"/>
          <w:lang w:val="en-AU" w:eastAsia="en-AU"/>
          <w14:ligatures w14:val="standardContextual"/>
        </w:rPr>
      </w:pPr>
      <w:hyperlink w:anchor="_Toc212023303" w:history="1">
        <w:r w:rsidRPr="00C27D3D">
          <w:rPr>
            <w:rStyle w:val="Hyperlink"/>
          </w:rPr>
          <w:t>A4.8</w:t>
        </w:r>
        <w:r>
          <w:rPr>
            <w:rFonts w:eastAsiaTheme="minorEastAsia" w:cstheme="minorBidi"/>
            <w:bCs w:val="0"/>
            <w:color w:val="auto"/>
            <w:kern w:val="2"/>
            <w:sz w:val="24"/>
            <w:lang w:val="en-AU" w:eastAsia="en-AU"/>
            <w14:ligatures w14:val="standardContextual"/>
          </w:rPr>
          <w:tab/>
        </w:r>
        <w:r w:rsidRPr="00C27D3D">
          <w:rPr>
            <w:rStyle w:val="Hyperlink"/>
          </w:rPr>
          <w:t>Victoria system-wide</w:t>
        </w:r>
        <w:r>
          <w:rPr>
            <w:webHidden/>
          </w:rPr>
          <w:tab/>
        </w:r>
        <w:r>
          <w:rPr>
            <w:webHidden/>
          </w:rPr>
          <w:fldChar w:fldCharType="begin"/>
        </w:r>
        <w:r>
          <w:rPr>
            <w:webHidden/>
          </w:rPr>
          <w:instrText xml:space="preserve"> PAGEREF _Toc212023303 \h </w:instrText>
        </w:r>
        <w:r>
          <w:rPr>
            <w:webHidden/>
          </w:rPr>
        </w:r>
        <w:r>
          <w:rPr>
            <w:webHidden/>
          </w:rPr>
          <w:fldChar w:fldCharType="separate"/>
        </w:r>
        <w:r w:rsidR="004973D2">
          <w:rPr>
            <w:webHidden/>
          </w:rPr>
          <w:t>123</w:t>
        </w:r>
        <w:r>
          <w:rPr>
            <w:webHidden/>
          </w:rPr>
          <w:fldChar w:fldCharType="end"/>
        </w:r>
      </w:hyperlink>
    </w:p>
    <w:p w14:paraId="1DF3821D" w14:textId="08A8BD98" w:rsidR="004230A9" w:rsidRDefault="004230A9">
      <w:pPr>
        <w:pStyle w:val="TOC1"/>
        <w:rPr>
          <w:rFonts w:eastAsiaTheme="minorEastAsia" w:cstheme="minorBidi"/>
          <w:bCs w:val="0"/>
          <w:color w:val="auto"/>
          <w:kern w:val="2"/>
          <w:sz w:val="24"/>
          <w:lang w:val="en-AU" w:eastAsia="en-AU"/>
          <w14:ligatures w14:val="standardContextual"/>
        </w:rPr>
      </w:pPr>
      <w:hyperlink w:anchor="_Toc212023304" w:history="1">
        <w:r w:rsidRPr="00C27D3D">
          <w:rPr>
            <w:rStyle w:val="Hyperlink"/>
          </w:rPr>
          <w:t>Abbreviations</w:t>
        </w:r>
        <w:r>
          <w:rPr>
            <w:webHidden/>
          </w:rPr>
          <w:tab/>
        </w:r>
        <w:r>
          <w:rPr>
            <w:webHidden/>
          </w:rPr>
          <w:fldChar w:fldCharType="begin"/>
        </w:r>
        <w:r>
          <w:rPr>
            <w:webHidden/>
          </w:rPr>
          <w:instrText xml:space="preserve"> PAGEREF _Toc212023304 \h </w:instrText>
        </w:r>
        <w:r>
          <w:rPr>
            <w:webHidden/>
          </w:rPr>
        </w:r>
        <w:r>
          <w:rPr>
            <w:webHidden/>
          </w:rPr>
          <w:fldChar w:fldCharType="separate"/>
        </w:r>
        <w:r w:rsidR="004973D2">
          <w:rPr>
            <w:webHidden/>
          </w:rPr>
          <w:t>124</w:t>
        </w:r>
        <w:r>
          <w:rPr>
            <w:webHidden/>
          </w:rPr>
          <w:fldChar w:fldCharType="end"/>
        </w:r>
      </w:hyperlink>
    </w:p>
    <w:p w14:paraId="420ACF4D" w14:textId="21D36422" w:rsidR="007C5294" w:rsidRPr="00D44CF2" w:rsidRDefault="00BC2FA7" w:rsidP="007C5294">
      <w:r w:rsidRPr="00D44CF2">
        <w:rPr>
          <w:rFonts w:eastAsiaTheme="majorEastAsia" w:cs="Times New Roman"/>
          <w:szCs w:val="24"/>
          <w:lang w:val="en-US"/>
        </w:rPr>
        <w:fldChar w:fldCharType="end"/>
      </w:r>
    </w:p>
    <w:p w14:paraId="33BF9012" w14:textId="77777777" w:rsidR="00DE7D80" w:rsidRPr="00D44CF2" w:rsidRDefault="00DE7D80" w:rsidP="00021A12">
      <w:pPr>
        <w:pStyle w:val="TOC-Heading2"/>
        <w:keepNext/>
      </w:pPr>
      <w:r w:rsidRPr="00D44CF2">
        <w:t>Tables</w:t>
      </w:r>
    </w:p>
    <w:p w14:paraId="11B56BEF" w14:textId="1E99706D" w:rsidR="004230A9" w:rsidRDefault="00DE7D80">
      <w:pPr>
        <w:pStyle w:val="TOC4"/>
        <w:rPr>
          <w:rFonts w:cstheme="minorBidi"/>
          <w:bCs w:val="0"/>
          <w:color w:val="auto"/>
          <w:kern w:val="2"/>
          <w:sz w:val="24"/>
          <w:szCs w:val="24"/>
          <w:lang w:eastAsia="en-AU"/>
          <w14:ligatures w14:val="standardContextual"/>
        </w:rPr>
      </w:pPr>
      <w:r w:rsidRPr="00D44CF2">
        <w:rPr>
          <w:rFonts w:ascii="Arial Nova" w:hAnsi="Arial Nova"/>
        </w:rPr>
        <w:fldChar w:fldCharType="begin"/>
      </w:r>
      <w:r w:rsidRPr="00D44CF2">
        <w:instrText xml:space="preserve"> TOC \h \z \t "Caption Table,4" </w:instrText>
      </w:r>
      <w:r w:rsidRPr="00D44CF2">
        <w:rPr>
          <w:rFonts w:ascii="Arial Nova" w:hAnsi="Arial Nova"/>
        </w:rPr>
        <w:fldChar w:fldCharType="separate"/>
      </w:r>
      <w:hyperlink w:anchor="_Toc212023305" w:history="1">
        <w:r w:rsidR="004230A9" w:rsidRPr="002C3A1A">
          <w:rPr>
            <w:rStyle w:val="Hyperlink"/>
          </w:rPr>
          <w:t>Table 1</w:t>
        </w:r>
        <w:r w:rsidR="004230A9">
          <w:rPr>
            <w:rFonts w:cstheme="minorBidi"/>
            <w:bCs w:val="0"/>
            <w:color w:val="auto"/>
            <w:kern w:val="2"/>
            <w:sz w:val="24"/>
            <w:szCs w:val="24"/>
            <w:lang w:eastAsia="en-AU"/>
            <w14:ligatures w14:val="standardContextual"/>
          </w:rPr>
          <w:tab/>
        </w:r>
        <w:r w:rsidR="004230A9" w:rsidRPr="002C3A1A">
          <w:rPr>
            <w:rStyle w:val="Hyperlink"/>
          </w:rPr>
          <w:t>2025 VAPR supporting resources</w:t>
        </w:r>
        <w:r w:rsidR="004230A9">
          <w:rPr>
            <w:webHidden/>
          </w:rPr>
          <w:tab/>
        </w:r>
        <w:r w:rsidR="004230A9">
          <w:rPr>
            <w:webHidden/>
          </w:rPr>
          <w:fldChar w:fldCharType="begin"/>
        </w:r>
        <w:r w:rsidR="004230A9">
          <w:rPr>
            <w:webHidden/>
          </w:rPr>
          <w:instrText xml:space="preserve"> PAGEREF _Toc212023305 \h </w:instrText>
        </w:r>
        <w:r w:rsidR="004230A9">
          <w:rPr>
            <w:webHidden/>
          </w:rPr>
        </w:r>
        <w:r w:rsidR="004230A9">
          <w:rPr>
            <w:webHidden/>
          </w:rPr>
          <w:fldChar w:fldCharType="separate"/>
        </w:r>
        <w:r w:rsidR="004973D2">
          <w:rPr>
            <w:webHidden/>
          </w:rPr>
          <w:t>18</w:t>
        </w:r>
        <w:r w:rsidR="004230A9">
          <w:rPr>
            <w:webHidden/>
          </w:rPr>
          <w:fldChar w:fldCharType="end"/>
        </w:r>
      </w:hyperlink>
    </w:p>
    <w:p w14:paraId="77FA6372" w14:textId="2190E5C9" w:rsidR="004230A9" w:rsidRDefault="004230A9">
      <w:pPr>
        <w:pStyle w:val="TOC4"/>
        <w:rPr>
          <w:rFonts w:cstheme="minorBidi"/>
          <w:bCs w:val="0"/>
          <w:color w:val="auto"/>
          <w:kern w:val="2"/>
          <w:sz w:val="24"/>
          <w:szCs w:val="24"/>
          <w:lang w:eastAsia="en-AU"/>
          <w14:ligatures w14:val="standardContextual"/>
        </w:rPr>
      </w:pPr>
      <w:hyperlink w:anchor="_Toc212023306" w:history="1">
        <w:r w:rsidRPr="002C3A1A">
          <w:rPr>
            <w:rStyle w:val="Hyperlink"/>
          </w:rPr>
          <w:t>Table 2</w:t>
        </w:r>
        <w:r>
          <w:rPr>
            <w:rFonts w:cstheme="minorBidi"/>
            <w:bCs w:val="0"/>
            <w:color w:val="auto"/>
            <w:kern w:val="2"/>
            <w:sz w:val="24"/>
            <w:szCs w:val="24"/>
            <w:lang w:eastAsia="en-AU"/>
            <w14:ligatures w14:val="standardContextual"/>
          </w:rPr>
          <w:tab/>
        </w:r>
        <w:r w:rsidRPr="002C3A1A">
          <w:rPr>
            <w:rStyle w:val="Hyperlink"/>
          </w:rPr>
          <w:t>Newly committed large-scale renewable projects since 2024 VAPR</w:t>
        </w:r>
        <w:r>
          <w:rPr>
            <w:webHidden/>
          </w:rPr>
          <w:tab/>
        </w:r>
        <w:r>
          <w:rPr>
            <w:webHidden/>
          </w:rPr>
          <w:fldChar w:fldCharType="begin"/>
        </w:r>
        <w:r>
          <w:rPr>
            <w:webHidden/>
          </w:rPr>
          <w:instrText xml:space="preserve"> PAGEREF _Toc212023306 \h </w:instrText>
        </w:r>
        <w:r>
          <w:rPr>
            <w:webHidden/>
          </w:rPr>
        </w:r>
        <w:r>
          <w:rPr>
            <w:webHidden/>
          </w:rPr>
          <w:fldChar w:fldCharType="separate"/>
        </w:r>
        <w:r w:rsidR="004973D2">
          <w:rPr>
            <w:webHidden/>
          </w:rPr>
          <w:t>28</w:t>
        </w:r>
        <w:r>
          <w:rPr>
            <w:webHidden/>
          </w:rPr>
          <w:fldChar w:fldCharType="end"/>
        </w:r>
      </w:hyperlink>
    </w:p>
    <w:p w14:paraId="5BC61262" w14:textId="048966FC" w:rsidR="004230A9" w:rsidRDefault="004230A9">
      <w:pPr>
        <w:pStyle w:val="TOC4"/>
        <w:rPr>
          <w:rFonts w:cstheme="minorBidi"/>
          <w:bCs w:val="0"/>
          <w:color w:val="auto"/>
          <w:kern w:val="2"/>
          <w:sz w:val="24"/>
          <w:szCs w:val="24"/>
          <w:lang w:eastAsia="en-AU"/>
          <w14:ligatures w14:val="standardContextual"/>
        </w:rPr>
      </w:pPr>
      <w:hyperlink w:anchor="_Toc212023307" w:history="1">
        <w:r w:rsidRPr="002C3A1A">
          <w:rPr>
            <w:rStyle w:val="Hyperlink"/>
          </w:rPr>
          <w:t>Table 3</w:t>
        </w:r>
        <w:r>
          <w:rPr>
            <w:rFonts w:cstheme="minorBidi"/>
            <w:bCs w:val="0"/>
            <w:color w:val="auto"/>
            <w:kern w:val="2"/>
            <w:sz w:val="24"/>
            <w:szCs w:val="24"/>
            <w:lang w:eastAsia="en-AU"/>
            <w14:ligatures w14:val="standardContextual"/>
          </w:rPr>
          <w:tab/>
        </w:r>
        <w:r w:rsidRPr="002C3A1A">
          <w:rPr>
            <w:rStyle w:val="Hyperlink"/>
          </w:rPr>
          <w:t>Newly commissioned large-scale renewable projects since 2024 VAPR</w:t>
        </w:r>
        <w:r>
          <w:rPr>
            <w:webHidden/>
          </w:rPr>
          <w:tab/>
        </w:r>
        <w:r>
          <w:rPr>
            <w:webHidden/>
          </w:rPr>
          <w:fldChar w:fldCharType="begin"/>
        </w:r>
        <w:r>
          <w:rPr>
            <w:webHidden/>
          </w:rPr>
          <w:instrText xml:space="preserve"> PAGEREF _Toc212023307 \h </w:instrText>
        </w:r>
        <w:r>
          <w:rPr>
            <w:webHidden/>
          </w:rPr>
        </w:r>
        <w:r>
          <w:rPr>
            <w:webHidden/>
          </w:rPr>
          <w:fldChar w:fldCharType="separate"/>
        </w:r>
        <w:r w:rsidR="004973D2">
          <w:rPr>
            <w:webHidden/>
          </w:rPr>
          <w:t>28</w:t>
        </w:r>
        <w:r>
          <w:rPr>
            <w:webHidden/>
          </w:rPr>
          <w:fldChar w:fldCharType="end"/>
        </w:r>
      </w:hyperlink>
    </w:p>
    <w:p w14:paraId="58BC311C" w14:textId="1339547E" w:rsidR="004230A9" w:rsidRDefault="004230A9">
      <w:pPr>
        <w:pStyle w:val="TOC4"/>
        <w:rPr>
          <w:rFonts w:cstheme="minorBidi"/>
          <w:bCs w:val="0"/>
          <w:color w:val="auto"/>
          <w:kern w:val="2"/>
          <w:sz w:val="24"/>
          <w:szCs w:val="24"/>
          <w:lang w:eastAsia="en-AU"/>
          <w14:ligatures w14:val="standardContextual"/>
        </w:rPr>
      </w:pPr>
      <w:hyperlink w:anchor="_Toc212023308" w:history="1">
        <w:r w:rsidRPr="002C3A1A">
          <w:rPr>
            <w:rStyle w:val="Hyperlink"/>
          </w:rPr>
          <w:t>Table 4</w:t>
        </w:r>
        <w:r>
          <w:rPr>
            <w:rFonts w:cstheme="minorBidi"/>
            <w:bCs w:val="0"/>
            <w:color w:val="auto"/>
            <w:kern w:val="2"/>
            <w:sz w:val="24"/>
            <w:szCs w:val="24"/>
            <w:lang w:eastAsia="en-AU"/>
            <w14:ligatures w14:val="standardContextual"/>
          </w:rPr>
          <w:tab/>
        </w:r>
        <w:r w:rsidRPr="002C3A1A">
          <w:rPr>
            <w:rStyle w:val="Hyperlink"/>
          </w:rPr>
          <w:t>Newly commissioned storage projects since 2024 VAPR</w:t>
        </w:r>
        <w:r>
          <w:rPr>
            <w:webHidden/>
          </w:rPr>
          <w:tab/>
        </w:r>
        <w:r>
          <w:rPr>
            <w:webHidden/>
          </w:rPr>
          <w:fldChar w:fldCharType="begin"/>
        </w:r>
        <w:r>
          <w:rPr>
            <w:webHidden/>
          </w:rPr>
          <w:instrText xml:space="preserve"> PAGEREF _Toc212023308 \h </w:instrText>
        </w:r>
        <w:r>
          <w:rPr>
            <w:webHidden/>
          </w:rPr>
        </w:r>
        <w:r>
          <w:rPr>
            <w:webHidden/>
          </w:rPr>
          <w:fldChar w:fldCharType="separate"/>
        </w:r>
        <w:r w:rsidR="004973D2">
          <w:rPr>
            <w:webHidden/>
          </w:rPr>
          <w:t>28</w:t>
        </w:r>
        <w:r>
          <w:rPr>
            <w:webHidden/>
          </w:rPr>
          <w:fldChar w:fldCharType="end"/>
        </w:r>
      </w:hyperlink>
    </w:p>
    <w:p w14:paraId="46B4F482" w14:textId="407A5278" w:rsidR="004230A9" w:rsidRDefault="004230A9">
      <w:pPr>
        <w:pStyle w:val="TOC4"/>
        <w:rPr>
          <w:rFonts w:cstheme="minorBidi"/>
          <w:bCs w:val="0"/>
          <w:color w:val="auto"/>
          <w:kern w:val="2"/>
          <w:sz w:val="24"/>
          <w:szCs w:val="24"/>
          <w:lang w:eastAsia="en-AU"/>
          <w14:ligatures w14:val="standardContextual"/>
        </w:rPr>
      </w:pPr>
      <w:hyperlink w:anchor="_Toc212023309" w:history="1">
        <w:r w:rsidRPr="002C3A1A">
          <w:rPr>
            <w:rStyle w:val="Hyperlink"/>
          </w:rPr>
          <w:t>Table 5</w:t>
        </w:r>
        <w:r>
          <w:rPr>
            <w:rFonts w:cstheme="minorBidi"/>
            <w:bCs w:val="0"/>
            <w:color w:val="auto"/>
            <w:kern w:val="2"/>
            <w:sz w:val="24"/>
            <w:szCs w:val="24"/>
            <w:lang w:eastAsia="en-AU"/>
            <w14:ligatures w14:val="standardContextual"/>
          </w:rPr>
          <w:tab/>
        </w:r>
        <w:r w:rsidRPr="002C3A1A">
          <w:rPr>
            <w:rStyle w:val="Hyperlink"/>
          </w:rPr>
          <w:t>Newly committed hybrid and storage projects since 2024 VAPR</w:t>
        </w:r>
        <w:r>
          <w:rPr>
            <w:webHidden/>
          </w:rPr>
          <w:tab/>
        </w:r>
        <w:r>
          <w:rPr>
            <w:webHidden/>
          </w:rPr>
          <w:fldChar w:fldCharType="begin"/>
        </w:r>
        <w:r>
          <w:rPr>
            <w:webHidden/>
          </w:rPr>
          <w:instrText xml:space="preserve"> PAGEREF _Toc212023309 \h </w:instrText>
        </w:r>
        <w:r>
          <w:rPr>
            <w:webHidden/>
          </w:rPr>
        </w:r>
        <w:r>
          <w:rPr>
            <w:webHidden/>
          </w:rPr>
          <w:fldChar w:fldCharType="separate"/>
        </w:r>
        <w:r w:rsidR="004973D2">
          <w:rPr>
            <w:webHidden/>
          </w:rPr>
          <w:t>28</w:t>
        </w:r>
        <w:r>
          <w:rPr>
            <w:webHidden/>
          </w:rPr>
          <w:fldChar w:fldCharType="end"/>
        </w:r>
      </w:hyperlink>
    </w:p>
    <w:p w14:paraId="27150A4D" w14:textId="24E7FDFB" w:rsidR="004230A9" w:rsidRDefault="004230A9">
      <w:pPr>
        <w:pStyle w:val="TOC4"/>
        <w:rPr>
          <w:rFonts w:cstheme="minorBidi"/>
          <w:bCs w:val="0"/>
          <w:color w:val="auto"/>
          <w:kern w:val="2"/>
          <w:sz w:val="24"/>
          <w:szCs w:val="24"/>
          <w:lang w:eastAsia="en-AU"/>
          <w14:ligatures w14:val="standardContextual"/>
        </w:rPr>
      </w:pPr>
      <w:hyperlink w:anchor="_Toc212023310" w:history="1">
        <w:r w:rsidRPr="002C3A1A">
          <w:rPr>
            <w:rStyle w:val="Hyperlink"/>
          </w:rPr>
          <w:t>Table 6</w:t>
        </w:r>
        <w:r>
          <w:rPr>
            <w:rFonts w:cstheme="minorBidi"/>
            <w:bCs w:val="0"/>
            <w:color w:val="auto"/>
            <w:kern w:val="2"/>
            <w:sz w:val="24"/>
            <w:szCs w:val="24"/>
            <w:lang w:eastAsia="en-AU"/>
            <w14:ligatures w14:val="standardContextual"/>
          </w:rPr>
          <w:tab/>
        </w:r>
        <w:r w:rsidRPr="002C3A1A">
          <w:rPr>
            <w:rStyle w:val="Hyperlink"/>
          </w:rPr>
          <w:t>RDP Stage 1 system strengthening projects underway</w:t>
        </w:r>
        <w:r>
          <w:rPr>
            <w:webHidden/>
          </w:rPr>
          <w:tab/>
        </w:r>
        <w:r>
          <w:rPr>
            <w:webHidden/>
          </w:rPr>
          <w:fldChar w:fldCharType="begin"/>
        </w:r>
        <w:r>
          <w:rPr>
            <w:webHidden/>
          </w:rPr>
          <w:instrText xml:space="preserve"> PAGEREF _Toc212023310 \h </w:instrText>
        </w:r>
        <w:r>
          <w:rPr>
            <w:webHidden/>
          </w:rPr>
        </w:r>
        <w:r>
          <w:rPr>
            <w:webHidden/>
          </w:rPr>
          <w:fldChar w:fldCharType="separate"/>
        </w:r>
        <w:r w:rsidR="004973D2">
          <w:rPr>
            <w:webHidden/>
          </w:rPr>
          <w:t>45</w:t>
        </w:r>
        <w:r>
          <w:rPr>
            <w:webHidden/>
          </w:rPr>
          <w:fldChar w:fldCharType="end"/>
        </w:r>
      </w:hyperlink>
    </w:p>
    <w:p w14:paraId="6D38F51A" w14:textId="7BC525D1" w:rsidR="004230A9" w:rsidRDefault="004230A9">
      <w:pPr>
        <w:pStyle w:val="TOC4"/>
        <w:rPr>
          <w:rFonts w:cstheme="minorBidi"/>
          <w:bCs w:val="0"/>
          <w:color w:val="auto"/>
          <w:kern w:val="2"/>
          <w:sz w:val="24"/>
          <w:szCs w:val="24"/>
          <w:lang w:eastAsia="en-AU"/>
          <w14:ligatures w14:val="standardContextual"/>
        </w:rPr>
      </w:pPr>
      <w:hyperlink w:anchor="_Toc212023311" w:history="1">
        <w:r w:rsidRPr="002C3A1A">
          <w:rPr>
            <w:rStyle w:val="Hyperlink"/>
          </w:rPr>
          <w:t>Table 7</w:t>
        </w:r>
        <w:r>
          <w:rPr>
            <w:rFonts w:cstheme="minorBidi"/>
            <w:bCs w:val="0"/>
            <w:color w:val="auto"/>
            <w:kern w:val="2"/>
            <w:sz w:val="24"/>
            <w:szCs w:val="24"/>
            <w:lang w:eastAsia="en-AU"/>
            <w14:ligatures w14:val="standardContextual"/>
          </w:rPr>
          <w:tab/>
        </w:r>
        <w:r w:rsidRPr="002C3A1A">
          <w:rPr>
            <w:rStyle w:val="Hyperlink"/>
          </w:rPr>
          <w:t>Summary of RDP Stage 1 minor augmentation projects still in progress – all projects aimed at relieving thermal constraints</w:t>
        </w:r>
        <w:r>
          <w:rPr>
            <w:webHidden/>
          </w:rPr>
          <w:tab/>
        </w:r>
        <w:r>
          <w:rPr>
            <w:webHidden/>
          </w:rPr>
          <w:fldChar w:fldCharType="begin"/>
        </w:r>
        <w:r>
          <w:rPr>
            <w:webHidden/>
          </w:rPr>
          <w:instrText xml:space="preserve"> PAGEREF _Toc212023311 \h </w:instrText>
        </w:r>
        <w:r>
          <w:rPr>
            <w:webHidden/>
          </w:rPr>
        </w:r>
        <w:r>
          <w:rPr>
            <w:webHidden/>
          </w:rPr>
          <w:fldChar w:fldCharType="separate"/>
        </w:r>
        <w:r w:rsidR="004973D2">
          <w:rPr>
            <w:webHidden/>
          </w:rPr>
          <w:t>46</w:t>
        </w:r>
        <w:r>
          <w:rPr>
            <w:webHidden/>
          </w:rPr>
          <w:fldChar w:fldCharType="end"/>
        </w:r>
      </w:hyperlink>
    </w:p>
    <w:p w14:paraId="3D1FCB13" w14:textId="611CB5A2" w:rsidR="004230A9" w:rsidRDefault="004230A9">
      <w:pPr>
        <w:pStyle w:val="TOC4"/>
        <w:rPr>
          <w:rFonts w:cstheme="minorBidi"/>
          <w:bCs w:val="0"/>
          <w:color w:val="auto"/>
          <w:kern w:val="2"/>
          <w:sz w:val="24"/>
          <w:szCs w:val="24"/>
          <w:lang w:eastAsia="en-AU"/>
          <w14:ligatures w14:val="standardContextual"/>
        </w:rPr>
      </w:pPr>
      <w:hyperlink w:anchor="_Toc212023312" w:history="1">
        <w:r w:rsidRPr="002C3A1A">
          <w:rPr>
            <w:rStyle w:val="Hyperlink"/>
          </w:rPr>
          <w:t>Table 8</w:t>
        </w:r>
        <w:r>
          <w:rPr>
            <w:rFonts w:cstheme="minorBidi"/>
            <w:bCs w:val="0"/>
            <w:color w:val="auto"/>
            <w:kern w:val="2"/>
            <w:sz w:val="24"/>
            <w:szCs w:val="24"/>
            <w:lang w:eastAsia="en-AU"/>
            <w14:ligatures w14:val="standardContextual"/>
          </w:rPr>
          <w:tab/>
        </w:r>
        <w:r w:rsidRPr="002C3A1A">
          <w:rPr>
            <w:rStyle w:val="Hyperlink"/>
          </w:rPr>
          <w:t>Victorian System Strength Requirement RIT-T – Option portfolio 3 – Summary of components</w:t>
        </w:r>
        <w:r>
          <w:rPr>
            <w:webHidden/>
          </w:rPr>
          <w:tab/>
        </w:r>
        <w:r>
          <w:rPr>
            <w:webHidden/>
          </w:rPr>
          <w:fldChar w:fldCharType="begin"/>
        </w:r>
        <w:r>
          <w:rPr>
            <w:webHidden/>
          </w:rPr>
          <w:instrText xml:space="preserve"> PAGEREF _Toc212023312 \h </w:instrText>
        </w:r>
        <w:r>
          <w:rPr>
            <w:webHidden/>
          </w:rPr>
        </w:r>
        <w:r>
          <w:rPr>
            <w:webHidden/>
          </w:rPr>
          <w:fldChar w:fldCharType="separate"/>
        </w:r>
        <w:r w:rsidR="004973D2">
          <w:rPr>
            <w:webHidden/>
          </w:rPr>
          <w:t>51</w:t>
        </w:r>
        <w:r>
          <w:rPr>
            <w:webHidden/>
          </w:rPr>
          <w:fldChar w:fldCharType="end"/>
        </w:r>
      </w:hyperlink>
    </w:p>
    <w:p w14:paraId="07BE6FA6" w14:textId="798312F5" w:rsidR="004230A9" w:rsidRDefault="004230A9">
      <w:pPr>
        <w:pStyle w:val="TOC4"/>
        <w:rPr>
          <w:rFonts w:cstheme="minorBidi"/>
          <w:bCs w:val="0"/>
          <w:color w:val="auto"/>
          <w:kern w:val="2"/>
          <w:sz w:val="24"/>
          <w:szCs w:val="24"/>
          <w:lang w:eastAsia="en-AU"/>
          <w14:ligatures w14:val="standardContextual"/>
        </w:rPr>
      </w:pPr>
      <w:hyperlink w:anchor="_Toc212023313" w:history="1">
        <w:r w:rsidRPr="002C3A1A">
          <w:rPr>
            <w:rStyle w:val="Hyperlink"/>
          </w:rPr>
          <w:t>Table 9</w:t>
        </w:r>
        <w:r>
          <w:rPr>
            <w:rFonts w:cstheme="minorBidi"/>
            <w:bCs w:val="0"/>
            <w:color w:val="auto"/>
            <w:kern w:val="2"/>
            <w:sz w:val="24"/>
            <w:szCs w:val="24"/>
            <w:lang w:eastAsia="en-AU"/>
            <w14:ligatures w14:val="standardContextual"/>
          </w:rPr>
          <w:tab/>
        </w:r>
        <w:r w:rsidRPr="002C3A1A">
          <w:rPr>
            <w:rStyle w:val="Hyperlink"/>
          </w:rPr>
          <w:t>Impact of planned projects on existing limitations – Western Victoria and Murray River corridors</w:t>
        </w:r>
        <w:r>
          <w:rPr>
            <w:webHidden/>
          </w:rPr>
          <w:tab/>
        </w:r>
        <w:r>
          <w:rPr>
            <w:webHidden/>
          </w:rPr>
          <w:fldChar w:fldCharType="begin"/>
        </w:r>
        <w:r>
          <w:rPr>
            <w:webHidden/>
          </w:rPr>
          <w:instrText xml:space="preserve"> PAGEREF _Toc212023313 \h </w:instrText>
        </w:r>
        <w:r>
          <w:rPr>
            <w:webHidden/>
          </w:rPr>
        </w:r>
        <w:r>
          <w:rPr>
            <w:webHidden/>
          </w:rPr>
          <w:fldChar w:fldCharType="separate"/>
        </w:r>
        <w:r w:rsidR="004973D2">
          <w:rPr>
            <w:webHidden/>
          </w:rPr>
          <w:t>62</w:t>
        </w:r>
        <w:r>
          <w:rPr>
            <w:webHidden/>
          </w:rPr>
          <w:fldChar w:fldCharType="end"/>
        </w:r>
      </w:hyperlink>
    </w:p>
    <w:p w14:paraId="2FCDDB51" w14:textId="75FD5162" w:rsidR="004230A9" w:rsidRDefault="004230A9">
      <w:pPr>
        <w:pStyle w:val="TOC4"/>
        <w:rPr>
          <w:rFonts w:cstheme="minorBidi"/>
          <w:bCs w:val="0"/>
          <w:color w:val="auto"/>
          <w:kern w:val="2"/>
          <w:sz w:val="24"/>
          <w:szCs w:val="24"/>
          <w:lang w:eastAsia="en-AU"/>
          <w14:ligatures w14:val="standardContextual"/>
        </w:rPr>
      </w:pPr>
      <w:hyperlink w:anchor="_Toc212023314" w:history="1">
        <w:r w:rsidRPr="002C3A1A">
          <w:rPr>
            <w:rStyle w:val="Hyperlink"/>
          </w:rPr>
          <w:t>Table 10</w:t>
        </w:r>
        <w:r>
          <w:rPr>
            <w:rFonts w:cstheme="minorBidi"/>
            <w:bCs w:val="0"/>
            <w:color w:val="auto"/>
            <w:kern w:val="2"/>
            <w:sz w:val="24"/>
            <w:szCs w:val="24"/>
            <w:lang w:eastAsia="en-AU"/>
            <w14:ligatures w14:val="standardContextual"/>
          </w:rPr>
          <w:tab/>
        </w:r>
        <w:r w:rsidRPr="002C3A1A">
          <w:rPr>
            <w:rStyle w:val="Hyperlink"/>
          </w:rPr>
          <w:t>Impact of planned projects on existing limitations – south-west corridor</w:t>
        </w:r>
        <w:r>
          <w:rPr>
            <w:webHidden/>
          </w:rPr>
          <w:tab/>
        </w:r>
        <w:r>
          <w:rPr>
            <w:webHidden/>
          </w:rPr>
          <w:fldChar w:fldCharType="begin"/>
        </w:r>
        <w:r>
          <w:rPr>
            <w:webHidden/>
          </w:rPr>
          <w:instrText xml:space="preserve"> PAGEREF _Toc212023314 \h </w:instrText>
        </w:r>
        <w:r>
          <w:rPr>
            <w:webHidden/>
          </w:rPr>
        </w:r>
        <w:r>
          <w:rPr>
            <w:webHidden/>
          </w:rPr>
          <w:fldChar w:fldCharType="separate"/>
        </w:r>
        <w:r w:rsidR="004973D2">
          <w:rPr>
            <w:webHidden/>
          </w:rPr>
          <w:t>63</w:t>
        </w:r>
        <w:r>
          <w:rPr>
            <w:webHidden/>
          </w:rPr>
          <w:fldChar w:fldCharType="end"/>
        </w:r>
      </w:hyperlink>
    </w:p>
    <w:p w14:paraId="07638C1E" w14:textId="24F79E6A" w:rsidR="004230A9" w:rsidRDefault="004230A9">
      <w:pPr>
        <w:pStyle w:val="TOC4"/>
        <w:rPr>
          <w:rFonts w:cstheme="minorBidi"/>
          <w:bCs w:val="0"/>
          <w:color w:val="auto"/>
          <w:kern w:val="2"/>
          <w:sz w:val="24"/>
          <w:szCs w:val="24"/>
          <w:lang w:eastAsia="en-AU"/>
          <w14:ligatures w14:val="standardContextual"/>
        </w:rPr>
      </w:pPr>
      <w:hyperlink w:anchor="_Toc212023315" w:history="1">
        <w:r w:rsidRPr="002C3A1A">
          <w:rPr>
            <w:rStyle w:val="Hyperlink"/>
          </w:rPr>
          <w:t>Table 11</w:t>
        </w:r>
        <w:r>
          <w:rPr>
            <w:rFonts w:cstheme="minorBidi"/>
            <w:bCs w:val="0"/>
            <w:color w:val="auto"/>
            <w:kern w:val="2"/>
            <w:sz w:val="24"/>
            <w:szCs w:val="24"/>
            <w:lang w:eastAsia="en-AU"/>
            <w14:ligatures w14:val="standardContextual"/>
          </w:rPr>
          <w:tab/>
        </w:r>
        <w:r w:rsidRPr="002C3A1A">
          <w:rPr>
            <w:rStyle w:val="Hyperlink"/>
          </w:rPr>
          <w:t>Impact of planned projects on existing limitations – Eastern Victoria, Victoria – New South Wales Interconnector and Latrobe Valley</w:t>
        </w:r>
        <w:r>
          <w:rPr>
            <w:webHidden/>
          </w:rPr>
          <w:tab/>
        </w:r>
        <w:r>
          <w:rPr>
            <w:webHidden/>
          </w:rPr>
          <w:fldChar w:fldCharType="begin"/>
        </w:r>
        <w:r>
          <w:rPr>
            <w:webHidden/>
          </w:rPr>
          <w:instrText xml:space="preserve"> PAGEREF _Toc212023315 \h </w:instrText>
        </w:r>
        <w:r>
          <w:rPr>
            <w:webHidden/>
          </w:rPr>
        </w:r>
        <w:r>
          <w:rPr>
            <w:webHidden/>
          </w:rPr>
          <w:fldChar w:fldCharType="separate"/>
        </w:r>
        <w:r w:rsidR="004973D2">
          <w:rPr>
            <w:webHidden/>
          </w:rPr>
          <w:t>64</w:t>
        </w:r>
        <w:r>
          <w:rPr>
            <w:webHidden/>
          </w:rPr>
          <w:fldChar w:fldCharType="end"/>
        </w:r>
      </w:hyperlink>
    </w:p>
    <w:p w14:paraId="11031EA3" w14:textId="6CFFCA7B" w:rsidR="004230A9" w:rsidRDefault="004230A9">
      <w:pPr>
        <w:pStyle w:val="TOC4"/>
        <w:rPr>
          <w:rFonts w:cstheme="minorBidi"/>
          <w:bCs w:val="0"/>
          <w:color w:val="auto"/>
          <w:kern w:val="2"/>
          <w:sz w:val="24"/>
          <w:szCs w:val="24"/>
          <w:lang w:eastAsia="en-AU"/>
          <w14:ligatures w14:val="standardContextual"/>
        </w:rPr>
      </w:pPr>
      <w:hyperlink w:anchor="_Toc212023316" w:history="1">
        <w:r w:rsidRPr="002C3A1A">
          <w:rPr>
            <w:rStyle w:val="Hyperlink"/>
          </w:rPr>
          <w:t>Table 12</w:t>
        </w:r>
        <w:r>
          <w:rPr>
            <w:rFonts w:cstheme="minorBidi"/>
            <w:bCs w:val="0"/>
            <w:color w:val="auto"/>
            <w:kern w:val="2"/>
            <w:sz w:val="24"/>
            <w:szCs w:val="24"/>
            <w:lang w:eastAsia="en-AU"/>
            <w14:ligatures w14:val="standardContextual"/>
          </w:rPr>
          <w:tab/>
        </w:r>
        <w:r w:rsidRPr="002C3A1A">
          <w:rPr>
            <w:rStyle w:val="Hyperlink"/>
          </w:rPr>
          <w:t>Priority limitations from 2024 VAPR</w:t>
        </w:r>
        <w:r>
          <w:rPr>
            <w:webHidden/>
          </w:rPr>
          <w:tab/>
        </w:r>
        <w:r>
          <w:rPr>
            <w:webHidden/>
          </w:rPr>
          <w:fldChar w:fldCharType="begin"/>
        </w:r>
        <w:r>
          <w:rPr>
            <w:webHidden/>
          </w:rPr>
          <w:instrText xml:space="preserve"> PAGEREF _Toc212023316 \h </w:instrText>
        </w:r>
        <w:r>
          <w:rPr>
            <w:webHidden/>
          </w:rPr>
        </w:r>
        <w:r>
          <w:rPr>
            <w:webHidden/>
          </w:rPr>
          <w:fldChar w:fldCharType="separate"/>
        </w:r>
        <w:r w:rsidR="004973D2">
          <w:rPr>
            <w:webHidden/>
          </w:rPr>
          <w:t>74</w:t>
        </w:r>
        <w:r>
          <w:rPr>
            <w:webHidden/>
          </w:rPr>
          <w:fldChar w:fldCharType="end"/>
        </w:r>
      </w:hyperlink>
    </w:p>
    <w:p w14:paraId="3FBB0E7C" w14:textId="40A95FDF" w:rsidR="004230A9" w:rsidRDefault="004230A9">
      <w:pPr>
        <w:pStyle w:val="TOC4"/>
        <w:rPr>
          <w:rFonts w:cstheme="minorBidi"/>
          <w:bCs w:val="0"/>
          <w:color w:val="auto"/>
          <w:kern w:val="2"/>
          <w:sz w:val="24"/>
          <w:szCs w:val="24"/>
          <w:lang w:eastAsia="en-AU"/>
          <w14:ligatures w14:val="standardContextual"/>
        </w:rPr>
      </w:pPr>
      <w:hyperlink w:anchor="_Toc212023317" w:history="1">
        <w:r w:rsidRPr="002C3A1A">
          <w:rPr>
            <w:rStyle w:val="Hyperlink"/>
          </w:rPr>
          <w:t>Table 13</w:t>
        </w:r>
        <w:r>
          <w:rPr>
            <w:rFonts w:cstheme="minorBidi"/>
            <w:bCs w:val="0"/>
            <w:color w:val="auto"/>
            <w:kern w:val="2"/>
            <w:sz w:val="24"/>
            <w:szCs w:val="24"/>
            <w:lang w:eastAsia="en-AU"/>
            <w14:ligatures w14:val="standardContextual"/>
          </w:rPr>
          <w:tab/>
        </w:r>
        <w:r w:rsidRPr="002C3A1A">
          <w:rPr>
            <w:rStyle w:val="Hyperlink"/>
          </w:rPr>
          <w:t>New priority limitation from 2025 VAPR</w:t>
        </w:r>
        <w:r>
          <w:rPr>
            <w:webHidden/>
          </w:rPr>
          <w:tab/>
        </w:r>
        <w:r>
          <w:rPr>
            <w:webHidden/>
          </w:rPr>
          <w:fldChar w:fldCharType="begin"/>
        </w:r>
        <w:r>
          <w:rPr>
            <w:webHidden/>
          </w:rPr>
          <w:instrText xml:space="preserve"> PAGEREF _Toc212023317 \h </w:instrText>
        </w:r>
        <w:r>
          <w:rPr>
            <w:webHidden/>
          </w:rPr>
        </w:r>
        <w:r>
          <w:rPr>
            <w:webHidden/>
          </w:rPr>
          <w:fldChar w:fldCharType="separate"/>
        </w:r>
        <w:r w:rsidR="004973D2">
          <w:rPr>
            <w:webHidden/>
          </w:rPr>
          <w:t>75</w:t>
        </w:r>
        <w:r>
          <w:rPr>
            <w:webHidden/>
          </w:rPr>
          <w:fldChar w:fldCharType="end"/>
        </w:r>
      </w:hyperlink>
    </w:p>
    <w:p w14:paraId="06277887" w14:textId="0C4C4FB0" w:rsidR="004230A9" w:rsidRDefault="004230A9">
      <w:pPr>
        <w:pStyle w:val="TOC4"/>
        <w:rPr>
          <w:rFonts w:cstheme="minorBidi"/>
          <w:bCs w:val="0"/>
          <w:color w:val="auto"/>
          <w:kern w:val="2"/>
          <w:sz w:val="24"/>
          <w:szCs w:val="24"/>
          <w:lang w:eastAsia="en-AU"/>
          <w14:ligatures w14:val="standardContextual"/>
        </w:rPr>
      </w:pPr>
      <w:hyperlink w:anchor="_Toc212023318" w:history="1">
        <w:r w:rsidRPr="002C3A1A">
          <w:rPr>
            <w:rStyle w:val="Hyperlink"/>
          </w:rPr>
          <w:t>Table 14</w:t>
        </w:r>
        <w:r>
          <w:rPr>
            <w:rFonts w:cstheme="minorBidi"/>
            <w:bCs w:val="0"/>
            <w:color w:val="auto"/>
            <w:kern w:val="2"/>
            <w:sz w:val="24"/>
            <w:szCs w:val="24"/>
            <w:lang w:eastAsia="en-AU"/>
            <w14:ligatures w14:val="standardContextual"/>
          </w:rPr>
          <w:tab/>
        </w:r>
        <w:r w:rsidRPr="002C3A1A">
          <w:rPr>
            <w:rStyle w:val="Hyperlink"/>
          </w:rPr>
          <w:t>Demand groups that influence augmentation options</w:t>
        </w:r>
        <w:r>
          <w:rPr>
            <w:webHidden/>
          </w:rPr>
          <w:tab/>
        </w:r>
        <w:r>
          <w:rPr>
            <w:webHidden/>
          </w:rPr>
          <w:fldChar w:fldCharType="begin"/>
        </w:r>
        <w:r>
          <w:rPr>
            <w:webHidden/>
          </w:rPr>
          <w:instrText xml:space="preserve"> PAGEREF _Toc212023318 \h </w:instrText>
        </w:r>
        <w:r>
          <w:rPr>
            <w:webHidden/>
          </w:rPr>
        </w:r>
        <w:r>
          <w:rPr>
            <w:webHidden/>
          </w:rPr>
          <w:fldChar w:fldCharType="separate"/>
        </w:r>
        <w:r w:rsidR="004973D2">
          <w:rPr>
            <w:webHidden/>
          </w:rPr>
          <w:t>81</w:t>
        </w:r>
        <w:r>
          <w:rPr>
            <w:webHidden/>
          </w:rPr>
          <w:fldChar w:fldCharType="end"/>
        </w:r>
      </w:hyperlink>
    </w:p>
    <w:p w14:paraId="33477F7A" w14:textId="33CB08C7" w:rsidR="004230A9" w:rsidRDefault="004230A9">
      <w:pPr>
        <w:pStyle w:val="TOC4"/>
        <w:rPr>
          <w:rFonts w:cstheme="minorBidi"/>
          <w:bCs w:val="0"/>
          <w:color w:val="auto"/>
          <w:kern w:val="2"/>
          <w:sz w:val="24"/>
          <w:szCs w:val="24"/>
          <w:lang w:eastAsia="en-AU"/>
          <w14:ligatures w14:val="standardContextual"/>
        </w:rPr>
      </w:pPr>
      <w:hyperlink w:anchor="_Toc212023319" w:history="1">
        <w:r w:rsidRPr="002C3A1A">
          <w:rPr>
            <w:rStyle w:val="Hyperlink"/>
          </w:rPr>
          <w:t>Table 15</w:t>
        </w:r>
        <w:r>
          <w:rPr>
            <w:rFonts w:cstheme="minorBidi"/>
            <w:bCs w:val="0"/>
            <w:color w:val="auto"/>
            <w:kern w:val="2"/>
            <w:sz w:val="24"/>
            <w:szCs w:val="24"/>
            <w:lang w:eastAsia="en-AU"/>
            <w14:ligatures w14:val="standardContextual"/>
          </w:rPr>
          <w:tab/>
        </w:r>
        <w:r w:rsidRPr="002C3A1A">
          <w:rPr>
            <w:rStyle w:val="Hyperlink"/>
          </w:rPr>
          <w:t>Forecast of post-contingent available fault level at significant Victorian nodes in each financial year, 2025-26 to 2034-35 (MVA)</w:t>
        </w:r>
        <w:r>
          <w:rPr>
            <w:webHidden/>
          </w:rPr>
          <w:tab/>
        </w:r>
        <w:r>
          <w:rPr>
            <w:webHidden/>
          </w:rPr>
          <w:fldChar w:fldCharType="begin"/>
        </w:r>
        <w:r>
          <w:rPr>
            <w:webHidden/>
          </w:rPr>
          <w:instrText xml:space="preserve"> PAGEREF _Toc212023319 \h </w:instrText>
        </w:r>
        <w:r>
          <w:rPr>
            <w:webHidden/>
          </w:rPr>
        </w:r>
        <w:r>
          <w:rPr>
            <w:webHidden/>
          </w:rPr>
          <w:fldChar w:fldCharType="separate"/>
        </w:r>
        <w:r w:rsidR="004973D2">
          <w:rPr>
            <w:webHidden/>
          </w:rPr>
          <w:t>86</w:t>
        </w:r>
        <w:r>
          <w:rPr>
            <w:webHidden/>
          </w:rPr>
          <w:fldChar w:fldCharType="end"/>
        </w:r>
      </w:hyperlink>
    </w:p>
    <w:p w14:paraId="58F23A25" w14:textId="535AF154" w:rsidR="004230A9" w:rsidRDefault="004230A9">
      <w:pPr>
        <w:pStyle w:val="TOC4"/>
        <w:rPr>
          <w:rFonts w:cstheme="minorBidi"/>
          <w:bCs w:val="0"/>
          <w:color w:val="auto"/>
          <w:kern w:val="2"/>
          <w:sz w:val="24"/>
          <w:szCs w:val="24"/>
          <w:lang w:eastAsia="en-AU"/>
          <w14:ligatures w14:val="standardContextual"/>
        </w:rPr>
      </w:pPr>
      <w:hyperlink w:anchor="_Toc212023320" w:history="1">
        <w:r w:rsidRPr="002C3A1A">
          <w:rPr>
            <w:rStyle w:val="Hyperlink"/>
          </w:rPr>
          <w:t>Table 16</w:t>
        </w:r>
        <w:r>
          <w:rPr>
            <w:rFonts w:cstheme="minorBidi"/>
            <w:bCs w:val="0"/>
            <w:color w:val="auto"/>
            <w:kern w:val="2"/>
            <w:sz w:val="24"/>
            <w:szCs w:val="24"/>
            <w:lang w:eastAsia="en-AU"/>
            <w14:ligatures w14:val="standardContextual"/>
          </w:rPr>
          <w:tab/>
        </w:r>
        <w:r w:rsidRPr="002C3A1A">
          <w:rPr>
            <w:rStyle w:val="Hyperlink"/>
          </w:rPr>
          <w:t>System strength locational factors</w:t>
        </w:r>
        <w:r>
          <w:rPr>
            <w:webHidden/>
          </w:rPr>
          <w:tab/>
        </w:r>
        <w:r>
          <w:rPr>
            <w:webHidden/>
          </w:rPr>
          <w:fldChar w:fldCharType="begin"/>
        </w:r>
        <w:r>
          <w:rPr>
            <w:webHidden/>
          </w:rPr>
          <w:instrText xml:space="preserve"> PAGEREF _Toc212023320 \h </w:instrText>
        </w:r>
        <w:r>
          <w:rPr>
            <w:webHidden/>
          </w:rPr>
        </w:r>
        <w:r>
          <w:rPr>
            <w:webHidden/>
          </w:rPr>
          <w:fldChar w:fldCharType="separate"/>
        </w:r>
        <w:r w:rsidR="004973D2">
          <w:rPr>
            <w:webHidden/>
          </w:rPr>
          <w:t>87</w:t>
        </w:r>
        <w:r>
          <w:rPr>
            <w:webHidden/>
          </w:rPr>
          <w:fldChar w:fldCharType="end"/>
        </w:r>
      </w:hyperlink>
    </w:p>
    <w:p w14:paraId="5FAD7A93" w14:textId="211B28E9" w:rsidR="004230A9" w:rsidRDefault="004230A9">
      <w:pPr>
        <w:pStyle w:val="TOC4"/>
        <w:rPr>
          <w:rFonts w:cstheme="minorBidi"/>
          <w:bCs w:val="0"/>
          <w:color w:val="auto"/>
          <w:kern w:val="2"/>
          <w:sz w:val="24"/>
          <w:szCs w:val="24"/>
          <w:lang w:eastAsia="en-AU"/>
          <w14:ligatures w14:val="standardContextual"/>
        </w:rPr>
      </w:pPr>
      <w:hyperlink w:anchor="_Toc212023321" w:history="1">
        <w:r w:rsidRPr="002C3A1A">
          <w:rPr>
            <w:rStyle w:val="Hyperlink"/>
          </w:rPr>
          <w:t>Table 17</w:t>
        </w:r>
        <w:r>
          <w:rPr>
            <w:rFonts w:cstheme="minorBidi"/>
            <w:bCs w:val="0"/>
            <w:color w:val="auto"/>
            <w:kern w:val="2"/>
            <w:sz w:val="24"/>
            <w:szCs w:val="24"/>
            <w:lang w:eastAsia="en-AU"/>
            <w14:ligatures w14:val="standardContextual"/>
          </w:rPr>
          <w:tab/>
        </w:r>
        <w:r w:rsidRPr="002C3A1A">
          <w:rPr>
            <w:rStyle w:val="Hyperlink"/>
          </w:rPr>
          <w:t>Victoria inertia requirements and projections</w:t>
        </w:r>
        <w:r>
          <w:rPr>
            <w:webHidden/>
          </w:rPr>
          <w:tab/>
        </w:r>
        <w:r>
          <w:rPr>
            <w:webHidden/>
          </w:rPr>
          <w:fldChar w:fldCharType="begin"/>
        </w:r>
        <w:r>
          <w:rPr>
            <w:webHidden/>
          </w:rPr>
          <w:instrText xml:space="preserve"> PAGEREF _Toc212023321 \h </w:instrText>
        </w:r>
        <w:r>
          <w:rPr>
            <w:webHidden/>
          </w:rPr>
        </w:r>
        <w:r>
          <w:rPr>
            <w:webHidden/>
          </w:rPr>
          <w:fldChar w:fldCharType="separate"/>
        </w:r>
        <w:r w:rsidR="004973D2">
          <w:rPr>
            <w:webHidden/>
          </w:rPr>
          <w:t>87</w:t>
        </w:r>
        <w:r>
          <w:rPr>
            <w:webHidden/>
          </w:rPr>
          <w:fldChar w:fldCharType="end"/>
        </w:r>
      </w:hyperlink>
    </w:p>
    <w:p w14:paraId="1D445124" w14:textId="73A8B705" w:rsidR="004230A9" w:rsidRDefault="004230A9">
      <w:pPr>
        <w:pStyle w:val="TOC4"/>
        <w:rPr>
          <w:rFonts w:cstheme="minorBidi"/>
          <w:bCs w:val="0"/>
          <w:color w:val="auto"/>
          <w:kern w:val="2"/>
          <w:sz w:val="24"/>
          <w:szCs w:val="24"/>
          <w:lang w:eastAsia="en-AU"/>
          <w14:ligatures w14:val="standardContextual"/>
        </w:rPr>
      </w:pPr>
      <w:hyperlink w:anchor="_Toc212023322" w:history="1">
        <w:r w:rsidRPr="002C3A1A">
          <w:rPr>
            <w:rStyle w:val="Hyperlink"/>
          </w:rPr>
          <w:t>Table 18</w:t>
        </w:r>
        <w:r>
          <w:rPr>
            <w:rFonts w:cstheme="minorBidi"/>
            <w:bCs w:val="0"/>
            <w:color w:val="auto"/>
            <w:kern w:val="2"/>
            <w:sz w:val="24"/>
            <w:szCs w:val="24"/>
            <w:lang w:eastAsia="en-AU"/>
            <w14:ligatures w14:val="standardContextual"/>
          </w:rPr>
          <w:tab/>
        </w:r>
        <w:r w:rsidRPr="002C3A1A">
          <w:rPr>
            <w:rStyle w:val="Hyperlink"/>
          </w:rPr>
          <w:t>Network needs assessment results</w:t>
        </w:r>
        <w:r>
          <w:rPr>
            <w:webHidden/>
          </w:rPr>
          <w:tab/>
        </w:r>
        <w:r>
          <w:rPr>
            <w:webHidden/>
          </w:rPr>
          <w:fldChar w:fldCharType="begin"/>
        </w:r>
        <w:r>
          <w:rPr>
            <w:webHidden/>
          </w:rPr>
          <w:instrText xml:space="preserve"> PAGEREF _Toc212023322 \h </w:instrText>
        </w:r>
        <w:r>
          <w:rPr>
            <w:webHidden/>
          </w:rPr>
        </w:r>
        <w:r>
          <w:rPr>
            <w:webHidden/>
          </w:rPr>
          <w:fldChar w:fldCharType="separate"/>
        </w:r>
        <w:r w:rsidR="004973D2">
          <w:rPr>
            <w:webHidden/>
          </w:rPr>
          <w:t>98</w:t>
        </w:r>
        <w:r>
          <w:rPr>
            <w:webHidden/>
          </w:rPr>
          <w:fldChar w:fldCharType="end"/>
        </w:r>
      </w:hyperlink>
    </w:p>
    <w:p w14:paraId="60E98F98" w14:textId="60476A30" w:rsidR="004230A9" w:rsidRDefault="004230A9">
      <w:pPr>
        <w:pStyle w:val="TOC4"/>
        <w:rPr>
          <w:rFonts w:cstheme="minorBidi"/>
          <w:bCs w:val="0"/>
          <w:color w:val="auto"/>
          <w:kern w:val="2"/>
          <w:sz w:val="24"/>
          <w:szCs w:val="24"/>
          <w:lang w:eastAsia="en-AU"/>
          <w14:ligatures w14:val="standardContextual"/>
        </w:rPr>
      </w:pPr>
      <w:hyperlink w:anchor="_Toc212023323" w:history="1">
        <w:r w:rsidRPr="002C3A1A">
          <w:rPr>
            <w:rStyle w:val="Hyperlink"/>
          </w:rPr>
          <w:t>Table 19</w:t>
        </w:r>
        <w:r>
          <w:rPr>
            <w:rFonts w:cstheme="minorBidi"/>
            <w:bCs w:val="0"/>
            <w:color w:val="auto"/>
            <w:kern w:val="2"/>
            <w:sz w:val="24"/>
            <w:szCs w:val="24"/>
            <w:lang w:eastAsia="en-AU"/>
            <w14:ligatures w14:val="standardContextual"/>
          </w:rPr>
          <w:tab/>
        </w:r>
        <w:r w:rsidRPr="002C3A1A">
          <w:rPr>
            <w:rStyle w:val="Hyperlink"/>
          </w:rPr>
          <w:t>Asset retirements in the DSN</w:t>
        </w:r>
        <w:r>
          <w:rPr>
            <w:webHidden/>
          </w:rPr>
          <w:tab/>
        </w:r>
        <w:r>
          <w:rPr>
            <w:webHidden/>
          </w:rPr>
          <w:fldChar w:fldCharType="begin"/>
        </w:r>
        <w:r>
          <w:rPr>
            <w:webHidden/>
          </w:rPr>
          <w:instrText xml:space="preserve"> PAGEREF _Toc212023323 \h </w:instrText>
        </w:r>
        <w:r>
          <w:rPr>
            <w:webHidden/>
          </w:rPr>
        </w:r>
        <w:r>
          <w:rPr>
            <w:webHidden/>
          </w:rPr>
          <w:fldChar w:fldCharType="separate"/>
        </w:r>
        <w:r w:rsidR="004973D2">
          <w:rPr>
            <w:webHidden/>
          </w:rPr>
          <w:t>100</w:t>
        </w:r>
        <w:r>
          <w:rPr>
            <w:webHidden/>
          </w:rPr>
          <w:fldChar w:fldCharType="end"/>
        </w:r>
      </w:hyperlink>
    </w:p>
    <w:p w14:paraId="7B3698ED" w14:textId="5297CB7D" w:rsidR="004230A9" w:rsidRDefault="004230A9">
      <w:pPr>
        <w:pStyle w:val="TOC4"/>
        <w:rPr>
          <w:rFonts w:cstheme="minorBidi"/>
          <w:bCs w:val="0"/>
          <w:color w:val="auto"/>
          <w:kern w:val="2"/>
          <w:sz w:val="24"/>
          <w:szCs w:val="24"/>
          <w:lang w:eastAsia="en-AU"/>
          <w14:ligatures w14:val="standardContextual"/>
        </w:rPr>
      </w:pPr>
      <w:hyperlink w:anchor="_Toc212023324" w:history="1">
        <w:r w:rsidRPr="002C3A1A">
          <w:rPr>
            <w:rStyle w:val="Hyperlink"/>
          </w:rPr>
          <w:t>Table 20</w:t>
        </w:r>
        <w:r>
          <w:rPr>
            <w:rFonts w:cstheme="minorBidi"/>
            <w:bCs w:val="0"/>
            <w:color w:val="auto"/>
            <w:kern w:val="2"/>
            <w:sz w:val="24"/>
            <w:szCs w:val="24"/>
            <w:lang w:eastAsia="en-AU"/>
            <w14:ligatures w14:val="standardContextual"/>
          </w:rPr>
          <w:tab/>
        </w:r>
        <w:r w:rsidRPr="002C3A1A">
          <w:rPr>
            <w:rStyle w:val="Hyperlink"/>
          </w:rPr>
          <w:t>DNSP preferred connection modifications</w:t>
        </w:r>
        <w:r>
          <w:rPr>
            <w:webHidden/>
          </w:rPr>
          <w:tab/>
        </w:r>
        <w:r>
          <w:rPr>
            <w:webHidden/>
          </w:rPr>
          <w:fldChar w:fldCharType="begin"/>
        </w:r>
        <w:r>
          <w:rPr>
            <w:webHidden/>
          </w:rPr>
          <w:instrText xml:space="preserve"> PAGEREF _Toc212023324 \h </w:instrText>
        </w:r>
        <w:r>
          <w:rPr>
            <w:webHidden/>
          </w:rPr>
        </w:r>
        <w:r>
          <w:rPr>
            <w:webHidden/>
          </w:rPr>
          <w:fldChar w:fldCharType="separate"/>
        </w:r>
        <w:r w:rsidR="004973D2">
          <w:rPr>
            <w:webHidden/>
          </w:rPr>
          <w:t>105</w:t>
        </w:r>
        <w:r>
          <w:rPr>
            <w:webHidden/>
          </w:rPr>
          <w:fldChar w:fldCharType="end"/>
        </w:r>
      </w:hyperlink>
    </w:p>
    <w:p w14:paraId="7895ACB6" w14:textId="07B4AAA7" w:rsidR="004230A9" w:rsidRDefault="004230A9">
      <w:pPr>
        <w:pStyle w:val="TOC4"/>
        <w:rPr>
          <w:rFonts w:cstheme="minorBidi"/>
          <w:bCs w:val="0"/>
          <w:color w:val="auto"/>
          <w:kern w:val="2"/>
          <w:sz w:val="24"/>
          <w:szCs w:val="24"/>
          <w:lang w:eastAsia="en-AU"/>
          <w14:ligatures w14:val="standardContextual"/>
        </w:rPr>
      </w:pPr>
      <w:hyperlink w:anchor="_Toc212023325" w:history="1">
        <w:r w:rsidRPr="002C3A1A">
          <w:rPr>
            <w:rStyle w:val="Hyperlink"/>
          </w:rPr>
          <w:t>Table 21</w:t>
        </w:r>
        <w:r>
          <w:rPr>
            <w:rFonts w:cstheme="minorBidi"/>
            <w:bCs w:val="0"/>
            <w:color w:val="auto"/>
            <w:kern w:val="2"/>
            <w:sz w:val="24"/>
            <w:szCs w:val="24"/>
            <w:lang w:eastAsia="en-AU"/>
            <w14:ligatures w14:val="standardContextual"/>
          </w:rPr>
          <w:tab/>
        </w:r>
        <w:r w:rsidRPr="002C3A1A">
          <w:rPr>
            <w:rStyle w:val="Hyperlink"/>
          </w:rPr>
          <w:t>Committed generation, transmission augmentation and system stability projects</w:t>
        </w:r>
        <w:r>
          <w:rPr>
            <w:webHidden/>
          </w:rPr>
          <w:tab/>
        </w:r>
        <w:r>
          <w:rPr>
            <w:webHidden/>
          </w:rPr>
          <w:fldChar w:fldCharType="begin"/>
        </w:r>
        <w:r>
          <w:rPr>
            <w:webHidden/>
          </w:rPr>
          <w:instrText xml:space="preserve"> PAGEREF _Toc212023325 \h </w:instrText>
        </w:r>
        <w:r>
          <w:rPr>
            <w:webHidden/>
          </w:rPr>
        </w:r>
        <w:r>
          <w:rPr>
            <w:webHidden/>
          </w:rPr>
          <w:fldChar w:fldCharType="separate"/>
        </w:r>
        <w:r w:rsidR="004973D2">
          <w:rPr>
            <w:webHidden/>
          </w:rPr>
          <w:t>111</w:t>
        </w:r>
        <w:r>
          <w:rPr>
            <w:webHidden/>
          </w:rPr>
          <w:fldChar w:fldCharType="end"/>
        </w:r>
      </w:hyperlink>
    </w:p>
    <w:p w14:paraId="210FC29F" w14:textId="58BDE695" w:rsidR="004230A9" w:rsidRDefault="004230A9">
      <w:pPr>
        <w:pStyle w:val="TOC4"/>
        <w:rPr>
          <w:rFonts w:cstheme="minorBidi"/>
          <w:bCs w:val="0"/>
          <w:color w:val="auto"/>
          <w:kern w:val="2"/>
          <w:sz w:val="24"/>
          <w:szCs w:val="24"/>
          <w:lang w:eastAsia="en-AU"/>
          <w14:ligatures w14:val="standardContextual"/>
        </w:rPr>
      </w:pPr>
      <w:hyperlink w:anchor="_Toc212023326" w:history="1">
        <w:r w:rsidRPr="002C3A1A">
          <w:rPr>
            <w:rStyle w:val="Hyperlink"/>
          </w:rPr>
          <w:t>Table 22</w:t>
        </w:r>
        <w:r>
          <w:rPr>
            <w:rFonts w:cstheme="minorBidi"/>
            <w:bCs w:val="0"/>
            <w:color w:val="auto"/>
            <w:kern w:val="2"/>
            <w:sz w:val="24"/>
            <w:szCs w:val="24"/>
            <w:lang w:eastAsia="en-AU"/>
            <w14:ligatures w14:val="standardContextual"/>
          </w:rPr>
          <w:tab/>
        </w:r>
        <w:r w:rsidRPr="002C3A1A">
          <w:rPr>
            <w:rStyle w:val="Hyperlink"/>
          </w:rPr>
          <w:t>VicGrid network augmentation projects</w:t>
        </w:r>
        <w:r>
          <w:rPr>
            <w:webHidden/>
          </w:rPr>
          <w:tab/>
        </w:r>
        <w:r>
          <w:rPr>
            <w:webHidden/>
          </w:rPr>
          <w:fldChar w:fldCharType="begin"/>
        </w:r>
        <w:r>
          <w:rPr>
            <w:webHidden/>
          </w:rPr>
          <w:instrText xml:space="preserve"> PAGEREF _Toc212023326 \h </w:instrText>
        </w:r>
        <w:r>
          <w:rPr>
            <w:webHidden/>
          </w:rPr>
        </w:r>
        <w:r>
          <w:rPr>
            <w:webHidden/>
          </w:rPr>
          <w:fldChar w:fldCharType="separate"/>
        </w:r>
        <w:r w:rsidR="004973D2">
          <w:rPr>
            <w:webHidden/>
          </w:rPr>
          <w:t>113</w:t>
        </w:r>
        <w:r>
          <w:rPr>
            <w:webHidden/>
          </w:rPr>
          <w:fldChar w:fldCharType="end"/>
        </w:r>
      </w:hyperlink>
    </w:p>
    <w:p w14:paraId="74AA1504" w14:textId="2B523677" w:rsidR="004230A9" w:rsidRDefault="004230A9">
      <w:pPr>
        <w:pStyle w:val="TOC4"/>
        <w:rPr>
          <w:rFonts w:cstheme="minorBidi"/>
          <w:bCs w:val="0"/>
          <w:color w:val="auto"/>
          <w:kern w:val="2"/>
          <w:sz w:val="24"/>
          <w:szCs w:val="24"/>
          <w:lang w:eastAsia="en-AU"/>
          <w14:ligatures w14:val="standardContextual"/>
        </w:rPr>
      </w:pPr>
      <w:hyperlink w:anchor="_Toc212023327" w:history="1">
        <w:r w:rsidRPr="002C3A1A">
          <w:rPr>
            <w:rStyle w:val="Hyperlink"/>
          </w:rPr>
          <w:t>Table 23</w:t>
        </w:r>
        <w:r>
          <w:rPr>
            <w:rFonts w:cstheme="minorBidi"/>
            <w:bCs w:val="0"/>
            <w:color w:val="auto"/>
            <w:kern w:val="2"/>
            <w:sz w:val="24"/>
            <w:szCs w:val="24"/>
            <w:lang w:eastAsia="en-AU"/>
            <w14:ligatures w14:val="standardContextual"/>
          </w:rPr>
          <w:tab/>
        </w:r>
        <w:r w:rsidRPr="002C3A1A">
          <w:rPr>
            <w:rStyle w:val="Hyperlink"/>
          </w:rPr>
          <w:t>Limitations in the Central North Victoria corridor</w:t>
        </w:r>
        <w:r>
          <w:rPr>
            <w:webHidden/>
          </w:rPr>
          <w:tab/>
        </w:r>
        <w:r>
          <w:rPr>
            <w:webHidden/>
          </w:rPr>
          <w:fldChar w:fldCharType="begin"/>
        </w:r>
        <w:r>
          <w:rPr>
            <w:webHidden/>
          </w:rPr>
          <w:instrText xml:space="preserve"> PAGEREF _Toc212023327 \h </w:instrText>
        </w:r>
        <w:r>
          <w:rPr>
            <w:webHidden/>
          </w:rPr>
        </w:r>
        <w:r>
          <w:rPr>
            <w:webHidden/>
          </w:rPr>
          <w:fldChar w:fldCharType="separate"/>
        </w:r>
        <w:r w:rsidR="004973D2">
          <w:rPr>
            <w:webHidden/>
          </w:rPr>
          <w:t>115</w:t>
        </w:r>
        <w:r>
          <w:rPr>
            <w:webHidden/>
          </w:rPr>
          <w:fldChar w:fldCharType="end"/>
        </w:r>
      </w:hyperlink>
    </w:p>
    <w:p w14:paraId="3BF530B1" w14:textId="7D8ED746" w:rsidR="004230A9" w:rsidRDefault="004230A9">
      <w:pPr>
        <w:pStyle w:val="TOC4"/>
        <w:rPr>
          <w:rFonts w:cstheme="minorBidi"/>
          <w:bCs w:val="0"/>
          <w:color w:val="auto"/>
          <w:kern w:val="2"/>
          <w:sz w:val="24"/>
          <w:szCs w:val="24"/>
          <w:lang w:eastAsia="en-AU"/>
          <w14:ligatures w14:val="standardContextual"/>
        </w:rPr>
      </w:pPr>
      <w:hyperlink w:anchor="_Toc212023328" w:history="1">
        <w:r w:rsidRPr="002C3A1A">
          <w:rPr>
            <w:rStyle w:val="Hyperlink"/>
          </w:rPr>
          <w:t>Table 24</w:t>
        </w:r>
        <w:r>
          <w:rPr>
            <w:rFonts w:cstheme="minorBidi"/>
            <w:bCs w:val="0"/>
            <w:color w:val="auto"/>
            <w:kern w:val="2"/>
            <w:sz w:val="24"/>
            <w:szCs w:val="24"/>
            <w:lang w:eastAsia="en-AU"/>
            <w14:ligatures w14:val="standardContextual"/>
          </w:rPr>
          <w:tab/>
        </w:r>
        <w:r w:rsidRPr="002C3A1A">
          <w:rPr>
            <w:rStyle w:val="Hyperlink"/>
          </w:rPr>
          <w:t>Limitations in the Eastern Victoria corridor</w:t>
        </w:r>
        <w:r>
          <w:rPr>
            <w:webHidden/>
          </w:rPr>
          <w:tab/>
        </w:r>
        <w:r>
          <w:rPr>
            <w:webHidden/>
          </w:rPr>
          <w:fldChar w:fldCharType="begin"/>
        </w:r>
        <w:r>
          <w:rPr>
            <w:webHidden/>
          </w:rPr>
          <w:instrText xml:space="preserve"> PAGEREF _Toc212023328 \h </w:instrText>
        </w:r>
        <w:r>
          <w:rPr>
            <w:webHidden/>
          </w:rPr>
        </w:r>
        <w:r>
          <w:rPr>
            <w:webHidden/>
          </w:rPr>
          <w:fldChar w:fldCharType="separate"/>
        </w:r>
        <w:r w:rsidR="004973D2">
          <w:rPr>
            <w:webHidden/>
          </w:rPr>
          <w:t>115</w:t>
        </w:r>
        <w:r>
          <w:rPr>
            <w:webHidden/>
          </w:rPr>
          <w:fldChar w:fldCharType="end"/>
        </w:r>
      </w:hyperlink>
    </w:p>
    <w:p w14:paraId="4859C20E" w14:textId="636221E8" w:rsidR="004230A9" w:rsidRDefault="004230A9">
      <w:pPr>
        <w:pStyle w:val="TOC4"/>
        <w:rPr>
          <w:rFonts w:cstheme="minorBidi"/>
          <w:bCs w:val="0"/>
          <w:color w:val="auto"/>
          <w:kern w:val="2"/>
          <w:sz w:val="24"/>
          <w:szCs w:val="24"/>
          <w:lang w:eastAsia="en-AU"/>
          <w14:ligatures w14:val="standardContextual"/>
        </w:rPr>
      </w:pPr>
      <w:hyperlink w:anchor="_Toc212023329" w:history="1">
        <w:r w:rsidRPr="002C3A1A">
          <w:rPr>
            <w:rStyle w:val="Hyperlink"/>
          </w:rPr>
          <w:t>Table 25</w:t>
        </w:r>
        <w:r>
          <w:rPr>
            <w:rFonts w:cstheme="minorBidi"/>
            <w:bCs w:val="0"/>
            <w:color w:val="auto"/>
            <w:kern w:val="2"/>
            <w:sz w:val="24"/>
            <w:szCs w:val="24"/>
            <w:lang w:eastAsia="en-AU"/>
            <w14:ligatures w14:val="standardContextual"/>
          </w:rPr>
          <w:tab/>
        </w:r>
        <w:r w:rsidRPr="002C3A1A">
          <w:rPr>
            <w:rStyle w:val="Hyperlink"/>
          </w:rPr>
          <w:t>Limitations in the Northern Victoria corridor</w:t>
        </w:r>
        <w:r>
          <w:rPr>
            <w:webHidden/>
          </w:rPr>
          <w:tab/>
        </w:r>
        <w:r>
          <w:rPr>
            <w:webHidden/>
          </w:rPr>
          <w:fldChar w:fldCharType="begin"/>
        </w:r>
        <w:r>
          <w:rPr>
            <w:webHidden/>
          </w:rPr>
          <w:instrText xml:space="preserve"> PAGEREF _Toc212023329 \h </w:instrText>
        </w:r>
        <w:r>
          <w:rPr>
            <w:webHidden/>
          </w:rPr>
        </w:r>
        <w:r>
          <w:rPr>
            <w:webHidden/>
          </w:rPr>
          <w:fldChar w:fldCharType="separate"/>
        </w:r>
        <w:r w:rsidR="004973D2">
          <w:rPr>
            <w:webHidden/>
          </w:rPr>
          <w:t>116</w:t>
        </w:r>
        <w:r>
          <w:rPr>
            <w:webHidden/>
          </w:rPr>
          <w:fldChar w:fldCharType="end"/>
        </w:r>
      </w:hyperlink>
    </w:p>
    <w:p w14:paraId="36765F10" w14:textId="2B200D8D" w:rsidR="004230A9" w:rsidRDefault="004230A9">
      <w:pPr>
        <w:pStyle w:val="TOC4"/>
        <w:rPr>
          <w:rFonts w:cstheme="minorBidi"/>
          <w:bCs w:val="0"/>
          <w:color w:val="auto"/>
          <w:kern w:val="2"/>
          <w:sz w:val="24"/>
          <w:szCs w:val="24"/>
          <w:lang w:eastAsia="en-AU"/>
          <w14:ligatures w14:val="standardContextual"/>
        </w:rPr>
      </w:pPr>
      <w:hyperlink w:anchor="_Toc212023330" w:history="1">
        <w:r w:rsidRPr="002C3A1A">
          <w:rPr>
            <w:rStyle w:val="Hyperlink"/>
          </w:rPr>
          <w:t>Table 26</w:t>
        </w:r>
        <w:r>
          <w:rPr>
            <w:rFonts w:cstheme="minorBidi"/>
            <w:bCs w:val="0"/>
            <w:color w:val="auto"/>
            <w:kern w:val="2"/>
            <w:sz w:val="24"/>
            <w:szCs w:val="24"/>
            <w:lang w:eastAsia="en-AU"/>
            <w14:ligatures w14:val="standardContextual"/>
          </w:rPr>
          <w:tab/>
        </w:r>
        <w:r w:rsidRPr="002C3A1A">
          <w:rPr>
            <w:rStyle w:val="Hyperlink"/>
          </w:rPr>
          <w:t>Limitations in the Murray River corridor</w:t>
        </w:r>
        <w:r>
          <w:rPr>
            <w:webHidden/>
          </w:rPr>
          <w:tab/>
        </w:r>
        <w:r>
          <w:rPr>
            <w:webHidden/>
          </w:rPr>
          <w:fldChar w:fldCharType="begin"/>
        </w:r>
        <w:r>
          <w:rPr>
            <w:webHidden/>
          </w:rPr>
          <w:instrText xml:space="preserve"> PAGEREF _Toc212023330 \h </w:instrText>
        </w:r>
        <w:r>
          <w:rPr>
            <w:webHidden/>
          </w:rPr>
        </w:r>
        <w:r>
          <w:rPr>
            <w:webHidden/>
          </w:rPr>
          <w:fldChar w:fldCharType="separate"/>
        </w:r>
        <w:r w:rsidR="004973D2">
          <w:rPr>
            <w:webHidden/>
          </w:rPr>
          <w:t>118</w:t>
        </w:r>
        <w:r>
          <w:rPr>
            <w:webHidden/>
          </w:rPr>
          <w:fldChar w:fldCharType="end"/>
        </w:r>
      </w:hyperlink>
    </w:p>
    <w:p w14:paraId="7629C9B1" w14:textId="358D139D" w:rsidR="004230A9" w:rsidRDefault="004230A9">
      <w:pPr>
        <w:pStyle w:val="TOC4"/>
        <w:rPr>
          <w:rFonts w:cstheme="minorBidi"/>
          <w:bCs w:val="0"/>
          <w:color w:val="auto"/>
          <w:kern w:val="2"/>
          <w:sz w:val="24"/>
          <w:szCs w:val="24"/>
          <w:lang w:eastAsia="en-AU"/>
          <w14:ligatures w14:val="standardContextual"/>
        </w:rPr>
      </w:pPr>
      <w:hyperlink w:anchor="_Toc212023331" w:history="1">
        <w:r w:rsidRPr="002C3A1A">
          <w:rPr>
            <w:rStyle w:val="Hyperlink"/>
          </w:rPr>
          <w:t>Table 27</w:t>
        </w:r>
        <w:r>
          <w:rPr>
            <w:rFonts w:cstheme="minorBidi"/>
            <w:bCs w:val="0"/>
            <w:color w:val="auto"/>
            <w:kern w:val="2"/>
            <w:sz w:val="24"/>
            <w:szCs w:val="24"/>
            <w:lang w:eastAsia="en-AU"/>
            <w14:ligatures w14:val="standardContextual"/>
          </w:rPr>
          <w:tab/>
        </w:r>
        <w:r w:rsidRPr="002C3A1A">
          <w:rPr>
            <w:rStyle w:val="Hyperlink"/>
          </w:rPr>
          <w:t>Limitations in the South West Victoria corridor</w:t>
        </w:r>
        <w:r>
          <w:rPr>
            <w:webHidden/>
          </w:rPr>
          <w:tab/>
        </w:r>
        <w:r>
          <w:rPr>
            <w:webHidden/>
          </w:rPr>
          <w:fldChar w:fldCharType="begin"/>
        </w:r>
        <w:r>
          <w:rPr>
            <w:webHidden/>
          </w:rPr>
          <w:instrText xml:space="preserve"> PAGEREF _Toc212023331 \h </w:instrText>
        </w:r>
        <w:r>
          <w:rPr>
            <w:webHidden/>
          </w:rPr>
        </w:r>
        <w:r>
          <w:rPr>
            <w:webHidden/>
          </w:rPr>
          <w:fldChar w:fldCharType="separate"/>
        </w:r>
        <w:r w:rsidR="004973D2">
          <w:rPr>
            <w:webHidden/>
          </w:rPr>
          <w:t>119</w:t>
        </w:r>
        <w:r>
          <w:rPr>
            <w:webHidden/>
          </w:rPr>
          <w:fldChar w:fldCharType="end"/>
        </w:r>
      </w:hyperlink>
    </w:p>
    <w:p w14:paraId="3C2B862F" w14:textId="3B3147EA" w:rsidR="004230A9" w:rsidRDefault="004230A9">
      <w:pPr>
        <w:pStyle w:val="TOC4"/>
        <w:rPr>
          <w:rFonts w:cstheme="minorBidi"/>
          <w:bCs w:val="0"/>
          <w:color w:val="auto"/>
          <w:kern w:val="2"/>
          <w:sz w:val="24"/>
          <w:szCs w:val="24"/>
          <w:lang w:eastAsia="en-AU"/>
          <w14:ligatures w14:val="standardContextual"/>
        </w:rPr>
      </w:pPr>
      <w:hyperlink w:anchor="_Toc212023332" w:history="1">
        <w:r w:rsidRPr="002C3A1A">
          <w:rPr>
            <w:rStyle w:val="Hyperlink"/>
          </w:rPr>
          <w:t>Table 28</w:t>
        </w:r>
        <w:r>
          <w:rPr>
            <w:rFonts w:cstheme="minorBidi"/>
            <w:bCs w:val="0"/>
            <w:color w:val="auto"/>
            <w:kern w:val="2"/>
            <w:sz w:val="24"/>
            <w:szCs w:val="24"/>
            <w:lang w:eastAsia="en-AU"/>
            <w14:ligatures w14:val="standardContextual"/>
          </w:rPr>
          <w:tab/>
        </w:r>
        <w:r w:rsidRPr="002C3A1A">
          <w:rPr>
            <w:rStyle w:val="Hyperlink"/>
          </w:rPr>
          <w:t>Limitations in Greater Melbourne and Geelong</w:t>
        </w:r>
        <w:r>
          <w:rPr>
            <w:webHidden/>
          </w:rPr>
          <w:tab/>
        </w:r>
        <w:r>
          <w:rPr>
            <w:webHidden/>
          </w:rPr>
          <w:fldChar w:fldCharType="begin"/>
        </w:r>
        <w:r>
          <w:rPr>
            <w:webHidden/>
          </w:rPr>
          <w:instrText xml:space="preserve"> PAGEREF _Toc212023332 \h </w:instrText>
        </w:r>
        <w:r>
          <w:rPr>
            <w:webHidden/>
          </w:rPr>
        </w:r>
        <w:r>
          <w:rPr>
            <w:webHidden/>
          </w:rPr>
          <w:fldChar w:fldCharType="separate"/>
        </w:r>
        <w:r w:rsidR="004973D2">
          <w:rPr>
            <w:webHidden/>
          </w:rPr>
          <w:t>120</w:t>
        </w:r>
        <w:r>
          <w:rPr>
            <w:webHidden/>
          </w:rPr>
          <w:fldChar w:fldCharType="end"/>
        </w:r>
      </w:hyperlink>
    </w:p>
    <w:p w14:paraId="6CC78EB7" w14:textId="696508CE" w:rsidR="004230A9" w:rsidRDefault="004230A9">
      <w:pPr>
        <w:pStyle w:val="TOC4"/>
        <w:rPr>
          <w:rFonts w:cstheme="minorBidi"/>
          <w:bCs w:val="0"/>
          <w:color w:val="auto"/>
          <w:kern w:val="2"/>
          <w:sz w:val="24"/>
          <w:szCs w:val="24"/>
          <w:lang w:eastAsia="en-AU"/>
          <w14:ligatures w14:val="standardContextual"/>
        </w:rPr>
      </w:pPr>
      <w:hyperlink w:anchor="_Toc212023333" w:history="1">
        <w:r w:rsidRPr="002C3A1A">
          <w:rPr>
            <w:rStyle w:val="Hyperlink"/>
          </w:rPr>
          <w:t>Table 29</w:t>
        </w:r>
        <w:r>
          <w:rPr>
            <w:rFonts w:cstheme="minorBidi"/>
            <w:bCs w:val="0"/>
            <w:color w:val="auto"/>
            <w:kern w:val="2"/>
            <w:sz w:val="24"/>
            <w:szCs w:val="24"/>
            <w:lang w:eastAsia="en-AU"/>
            <w14:ligatures w14:val="standardContextual"/>
          </w:rPr>
          <w:tab/>
        </w:r>
        <w:r w:rsidRPr="002C3A1A">
          <w:rPr>
            <w:rStyle w:val="Hyperlink"/>
          </w:rPr>
          <w:t>Limitations in Western Victoria corridor</w:t>
        </w:r>
        <w:r>
          <w:rPr>
            <w:webHidden/>
          </w:rPr>
          <w:tab/>
        </w:r>
        <w:r>
          <w:rPr>
            <w:webHidden/>
          </w:rPr>
          <w:fldChar w:fldCharType="begin"/>
        </w:r>
        <w:r>
          <w:rPr>
            <w:webHidden/>
          </w:rPr>
          <w:instrText xml:space="preserve"> PAGEREF _Toc212023333 \h </w:instrText>
        </w:r>
        <w:r>
          <w:rPr>
            <w:webHidden/>
          </w:rPr>
        </w:r>
        <w:r>
          <w:rPr>
            <w:webHidden/>
          </w:rPr>
          <w:fldChar w:fldCharType="separate"/>
        </w:r>
        <w:r w:rsidR="004973D2">
          <w:rPr>
            <w:webHidden/>
          </w:rPr>
          <w:t>123</w:t>
        </w:r>
        <w:r>
          <w:rPr>
            <w:webHidden/>
          </w:rPr>
          <w:fldChar w:fldCharType="end"/>
        </w:r>
      </w:hyperlink>
    </w:p>
    <w:p w14:paraId="3EBAF3EC" w14:textId="4B902519" w:rsidR="004230A9" w:rsidRDefault="004230A9">
      <w:pPr>
        <w:pStyle w:val="TOC4"/>
        <w:rPr>
          <w:rFonts w:cstheme="minorBidi"/>
          <w:bCs w:val="0"/>
          <w:color w:val="auto"/>
          <w:kern w:val="2"/>
          <w:sz w:val="24"/>
          <w:szCs w:val="24"/>
          <w:lang w:eastAsia="en-AU"/>
          <w14:ligatures w14:val="standardContextual"/>
        </w:rPr>
      </w:pPr>
      <w:hyperlink w:anchor="_Toc212023334" w:history="1">
        <w:r w:rsidRPr="002C3A1A">
          <w:rPr>
            <w:rStyle w:val="Hyperlink"/>
          </w:rPr>
          <w:t>Table 30</w:t>
        </w:r>
        <w:r>
          <w:rPr>
            <w:rFonts w:cstheme="minorBidi"/>
            <w:bCs w:val="0"/>
            <w:color w:val="auto"/>
            <w:kern w:val="2"/>
            <w:sz w:val="24"/>
            <w:szCs w:val="24"/>
            <w:lang w:eastAsia="en-AU"/>
            <w14:ligatures w14:val="standardContextual"/>
          </w:rPr>
          <w:tab/>
        </w:r>
        <w:r w:rsidRPr="002C3A1A">
          <w:rPr>
            <w:rStyle w:val="Hyperlink"/>
          </w:rPr>
          <w:t>Limitations in the Victorian system</w:t>
        </w:r>
        <w:r>
          <w:rPr>
            <w:webHidden/>
          </w:rPr>
          <w:tab/>
        </w:r>
        <w:r>
          <w:rPr>
            <w:webHidden/>
          </w:rPr>
          <w:fldChar w:fldCharType="begin"/>
        </w:r>
        <w:r>
          <w:rPr>
            <w:webHidden/>
          </w:rPr>
          <w:instrText xml:space="preserve"> PAGEREF _Toc212023334 \h </w:instrText>
        </w:r>
        <w:r>
          <w:rPr>
            <w:webHidden/>
          </w:rPr>
        </w:r>
        <w:r>
          <w:rPr>
            <w:webHidden/>
          </w:rPr>
          <w:fldChar w:fldCharType="separate"/>
        </w:r>
        <w:r w:rsidR="004973D2">
          <w:rPr>
            <w:webHidden/>
          </w:rPr>
          <w:t>123</w:t>
        </w:r>
        <w:r>
          <w:rPr>
            <w:webHidden/>
          </w:rPr>
          <w:fldChar w:fldCharType="end"/>
        </w:r>
      </w:hyperlink>
    </w:p>
    <w:p w14:paraId="38D91487" w14:textId="252C7EE0" w:rsidR="00DE7D80" w:rsidRPr="00D44CF2" w:rsidRDefault="00DE7D80" w:rsidP="00DE7D80">
      <w:pPr>
        <w:pStyle w:val="BodyText"/>
      </w:pPr>
      <w:r w:rsidRPr="00D44CF2">
        <w:fldChar w:fldCharType="end"/>
      </w:r>
    </w:p>
    <w:p w14:paraId="7AF55B47" w14:textId="77777777" w:rsidR="00DE7D80" w:rsidRPr="00D44CF2" w:rsidRDefault="00DE7D80" w:rsidP="009219C9">
      <w:pPr>
        <w:pStyle w:val="TOC-Heading2"/>
        <w:keepNext/>
      </w:pPr>
      <w:r w:rsidRPr="00D44CF2">
        <w:t>Figures</w:t>
      </w:r>
    </w:p>
    <w:p w14:paraId="4214A30C" w14:textId="42F4A102" w:rsidR="004230A9" w:rsidRDefault="00DE7D80">
      <w:pPr>
        <w:pStyle w:val="TOC4"/>
        <w:rPr>
          <w:rFonts w:cstheme="minorBidi"/>
          <w:bCs w:val="0"/>
          <w:color w:val="auto"/>
          <w:kern w:val="2"/>
          <w:sz w:val="24"/>
          <w:szCs w:val="24"/>
          <w:lang w:eastAsia="en-AU"/>
          <w14:ligatures w14:val="standardContextual"/>
        </w:rPr>
      </w:pPr>
      <w:r w:rsidRPr="00D44CF2">
        <w:rPr>
          <w:rFonts w:ascii="Arial" w:hAnsi="Arial"/>
        </w:rPr>
        <w:fldChar w:fldCharType="begin"/>
      </w:r>
      <w:r w:rsidRPr="00D44CF2">
        <w:instrText xml:space="preserve"> TOC \h \z \t "Caption Figure,4" </w:instrText>
      </w:r>
      <w:r w:rsidRPr="00D44CF2">
        <w:rPr>
          <w:rFonts w:ascii="Arial" w:hAnsi="Arial"/>
        </w:rPr>
        <w:fldChar w:fldCharType="separate"/>
      </w:r>
      <w:hyperlink w:anchor="_Toc212023335" w:history="1">
        <w:r w:rsidR="004230A9" w:rsidRPr="004977D3">
          <w:rPr>
            <w:rStyle w:val="Hyperlink"/>
          </w:rPr>
          <w:t>Figure 1</w:t>
        </w:r>
        <w:r w:rsidR="004230A9">
          <w:rPr>
            <w:rFonts w:cstheme="minorBidi"/>
            <w:bCs w:val="0"/>
            <w:color w:val="auto"/>
            <w:kern w:val="2"/>
            <w:sz w:val="24"/>
            <w:szCs w:val="24"/>
            <w:lang w:eastAsia="en-AU"/>
            <w14:ligatures w14:val="standardContextual"/>
          </w:rPr>
          <w:tab/>
        </w:r>
        <w:r w:rsidR="004230A9" w:rsidRPr="004977D3">
          <w:rPr>
            <w:rStyle w:val="Hyperlink"/>
          </w:rPr>
          <w:t>Newly completed/approaching completion Transmission Development Plan projects for Victoria</w:t>
        </w:r>
        <w:r w:rsidR="004230A9">
          <w:rPr>
            <w:webHidden/>
          </w:rPr>
          <w:tab/>
        </w:r>
        <w:r w:rsidR="004230A9">
          <w:rPr>
            <w:webHidden/>
          </w:rPr>
          <w:fldChar w:fldCharType="begin"/>
        </w:r>
        <w:r w:rsidR="004230A9">
          <w:rPr>
            <w:webHidden/>
          </w:rPr>
          <w:instrText xml:space="preserve"> PAGEREF _Toc212023335 \h </w:instrText>
        </w:r>
        <w:r w:rsidR="004230A9">
          <w:rPr>
            <w:webHidden/>
          </w:rPr>
        </w:r>
        <w:r w:rsidR="004230A9">
          <w:rPr>
            <w:webHidden/>
          </w:rPr>
          <w:fldChar w:fldCharType="separate"/>
        </w:r>
        <w:r w:rsidR="004973D2">
          <w:rPr>
            <w:webHidden/>
          </w:rPr>
          <w:t>7</w:t>
        </w:r>
        <w:r w:rsidR="004230A9">
          <w:rPr>
            <w:webHidden/>
          </w:rPr>
          <w:fldChar w:fldCharType="end"/>
        </w:r>
      </w:hyperlink>
    </w:p>
    <w:p w14:paraId="2CBFD15C" w14:textId="2DC4CBA0" w:rsidR="004230A9" w:rsidRDefault="004230A9">
      <w:pPr>
        <w:pStyle w:val="TOC4"/>
        <w:rPr>
          <w:rFonts w:cstheme="minorBidi"/>
          <w:bCs w:val="0"/>
          <w:color w:val="auto"/>
          <w:kern w:val="2"/>
          <w:sz w:val="24"/>
          <w:szCs w:val="24"/>
          <w:lang w:eastAsia="en-AU"/>
          <w14:ligatures w14:val="standardContextual"/>
        </w:rPr>
      </w:pPr>
      <w:hyperlink w:anchor="_Toc212023336" w:history="1">
        <w:r w:rsidRPr="004977D3">
          <w:rPr>
            <w:rStyle w:val="Hyperlink"/>
          </w:rPr>
          <w:t>Figure 2</w:t>
        </w:r>
        <w:r>
          <w:rPr>
            <w:rFonts w:cstheme="minorBidi"/>
            <w:bCs w:val="0"/>
            <w:color w:val="auto"/>
            <w:kern w:val="2"/>
            <w:sz w:val="24"/>
            <w:szCs w:val="24"/>
            <w:lang w:eastAsia="en-AU"/>
            <w14:ligatures w14:val="standardContextual"/>
          </w:rPr>
          <w:tab/>
        </w:r>
        <w:r w:rsidRPr="004977D3">
          <w:rPr>
            <w:rStyle w:val="Hyperlink"/>
          </w:rPr>
          <w:t>In progress Transmission Development Plan projects for Victoria</w:t>
        </w:r>
        <w:r>
          <w:rPr>
            <w:webHidden/>
          </w:rPr>
          <w:tab/>
        </w:r>
        <w:r>
          <w:rPr>
            <w:webHidden/>
          </w:rPr>
          <w:fldChar w:fldCharType="begin"/>
        </w:r>
        <w:r>
          <w:rPr>
            <w:webHidden/>
          </w:rPr>
          <w:instrText xml:space="preserve"> PAGEREF _Toc212023336 \h </w:instrText>
        </w:r>
        <w:r>
          <w:rPr>
            <w:webHidden/>
          </w:rPr>
        </w:r>
        <w:r>
          <w:rPr>
            <w:webHidden/>
          </w:rPr>
          <w:fldChar w:fldCharType="separate"/>
        </w:r>
        <w:r w:rsidR="004973D2">
          <w:rPr>
            <w:webHidden/>
          </w:rPr>
          <w:t>8</w:t>
        </w:r>
        <w:r>
          <w:rPr>
            <w:webHidden/>
          </w:rPr>
          <w:fldChar w:fldCharType="end"/>
        </w:r>
      </w:hyperlink>
    </w:p>
    <w:p w14:paraId="55CF93A2" w14:textId="1C7DA875" w:rsidR="004230A9" w:rsidRDefault="004230A9">
      <w:pPr>
        <w:pStyle w:val="TOC4"/>
        <w:rPr>
          <w:rFonts w:cstheme="minorBidi"/>
          <w:bCs w:val="0"/>
          <w:color w:val="auto"/>
          <w:kern w:val="2"/>
          <w:sz w:val="24"/>
          <w:szCs w:val="24"/>
          <w:lang w:eastAsia="en-AU"/>
          <w14:ligatures w14:val="standardContextual"/>
        </w:rPr>
      </w:pPr>
      <w:hyperlink w:anchor="_Toc212023337" w:history="1">
        <w:r w:rsidRPr="004977D3">
          <w:rPr>
            <w:rStyle w:val="Hyperlink"/>
          </w:rPr>
          <w:t>Figure 3</w:t>
        </w:r>
        <w:r>
          <w:rPr>
            <w:rFonts w:cstheme="minorBidi"/>
            <w:bCs w:val="0"/>
            <w:color w:val="auto"/>
            <w:kern w:val="2"/>
            <w:sz w:val="24"/>
            <w:szCs w:val="24"/>
            <w:lang w:eastAsia="en-AU"/>
            <w14:ligatures w14:val="standardContextual"/>
          </w:rPr>
          <w:tab/>
        </w:r>
        <w:r w:rsidRPr="004977D3">
          <w:rPr>
            <w:rStyle w:val="Hyperlink"/>
          </w:rPr>
          <w:t>Bi-directional flow paths in modern-day power systems</w:t>
        </w:r>
        <w:r>
          <w:rPr>
            <w:webHidden/>
          </w:rPr>
          <w:tab/>
        </w:r>
        <w:r>
          <w:rPr>
            <w:webHidden/>
          </w:rPr>
          <w:fldChar w:fldCharType="begin"/>
        </w:r>
        <w:r>
          <w:rPr>
            <w:webHidden/>
          </w:rPr>
          <w:instrText xml:space="preserve"> PAGEREF _Toc212023337 \h </w:instrText>
        </w:r>
        <w:r>
          <w:rPr>
            <w:webHidden/>
          </w:rPr>
        </w:r>
        <w:r>
          <w:rPr>
            <w:webHidden/>
          </w:rPr>
          <w:fldChar w:fldCharType="separate"/>
        </w:r>
        <w:r w:rsidR="004973D2">
          <w:rPr>
            <w:webHidden/>
          </w:rPr>
          <w:t>20</w:t>
        </w:r>
        <w:r>
          <w:rPr>
            <w:webHidden/>
          </w:rPr>
          <w:fldChar w:fldCharType="end"/>
        </w:r>
      </w:hyperlink>
    </w:p>
    <w:p w14:paraId="175F8632" w14:textId="708C243A" w:rsidR="004230A9" w:rsidRDefault="004230A9">
      <w:pPr>
        <w:pStyle w:val="TOC4"/>
        <w:rPr>
          <w:rFonts w:cstheme="minorBidi"/>
          <w:bCs w:val="0"/>
          <w:color w:val="auto"/>
          <w:kern w:val="2"/>
          <w:sz w:val="24"/>
          <w:szCs w:val="24"/>
          <w:lang w:eastAsia="en-AU"/>
          <w14:ligatures w14:val="standardContextual"/>
        </w:rPr>
      </w:pPr>
      <w:hyperlink w:anchor="_Toc212023338" w:history="1">
        <w:r w:rsidRPr="004977D3">
          <w:rPr>
            <w:rStyle w:val="Hyperlink"/>
          </w:rPr>
          <w:t>Figure 4</w:t>
        </w:r>
        <w:r>
          <w:rPr>
            <w:rFonts w:cstheme="minorBidi"/>
            <w:bCs w:val="0"/>
            <w:color w:val="auto"/>
            <w:kern w:val="2"/>
            <w:sz w:val="24"/>
            <w:szCs w:val="24"/>
            <w:lang w:eastAsia="en-AU"/>
            <w14:ligatures w14:val="standardContextual"/>
          </w:rPr>
          <w:tab/>
        </w:r>
        <w:r w:rsidRPr="004977D3">
          <w:rPr>
            <w:rStyle w:val="Hyperlink"/>
          </w:rPr>
          <w:t>Actual and forecast Victorian coal power generation retirements, 2009-10 to 2049-50 (GW)</w:t>
        </w:r>
        <w:r>
          <w:rPr>
            <w:webHidden/>
          </w:rPr>
          <w:tab/>
        </w:r>
        <w:r>
          <w:rPr>
            <w:webHidden/>
          </w:rPr>
          <w:fldChar w:fldCharType="begin"/>
        </w:r>
        <w:r>
          <w:rPr>
            <w:webHidden/>
          </w:rPr>
          <w:instrText xml:space="preserve"> PAGEREF _Toc212023338 \h </w:instrText>
        </w:r>
        <w:r>
          <w:rPr>
            <w:webHidden/>
          </w:rPr>
        </w:r>
        <w:r>
          <w:rPr>
            <w:webHidden/>
          </w:rPr>
          <w:fldChar w:fldCharType="separate"/>
        </w:r>
        <w:r w:rsidR="004973D2">
          <w:rPr>
            <w:webHidden/>
          </w:rPr>
          <w:t>22</w:t>
        </w:r>
        <w:r>
          <w:rPr>
            <w:webHidden/>
          </w:rPr>
          <w:fldChar w:fldCharType="end"/>
        </w:r>
      </w:hyperlink>
    </w:p>
    <w:p w14:paraId="46ABE58F" w14:textId="5B311C4C" w:rsidR="004230A9" w:rsidRDefault="004230A9">
      <w:pPr>
        <w:pStyle w:val="TOC4"/>
        <w:rPr>
          <w:rFonts w:cstheme="minorBidi"/>
          <w:bCs w:val="0"/>
          <w:color w:val="auto"/>
          <w:kern w:val="2"/>
          <w:sz w:val="24"/>
          <w:szCs w:val="24"/>
          <w:lang w:eastAsia="en-AU"/>
          <w14:ligatures w14:val="standardContextual"/>
        </w:rPr>
      </w:pPr>
      <w:hyperlink w:anchor="_Toc212023339" w:history="1">
        <w:r w:rsidRPr="004977D3">
          <w:rPr>
            <w:rStyle w:val="Hyperlink"/>
          </w:rPr>
          <w:t>Figure 5</w:t>
        </w:r>
        <w:r>
          <w:rPr>
            <w:rFonts w:cstheme="minorBidi"/>
            <w:bCs w:val="0"/>
            <w:color w:val="auto"/>
            <w:kern w:val="2"/>
            <w:sz w:val="24"/>
            <w:szCs w:val="24"/>
            <w:lang w:eastAsia="en-AU"/>
            <w14:ligatures w14:val="standardContextual"/>
          </w:rPr>
          <w:tab/>
        </w:r>
        <w:r w:rsidRPr="004977D3">
          <w:rPr>
            <w:rStyle w:val="Hyperlink"/>
          </w:rPr>
          <w:t xml:space="preserve">Generation capacity in the NEM, 2024 ISP </w:t>
        </w:r>
        <w:r w:rsidRPr="004977D3">
          <w:rPr>
            <w:rStyle w:val="Hyperlink"/>
            <w:i/>
          </w:rPr>
          <w:t>Step Change</w:t>
        </w:r>
        <w:r w:rsidRPr="004977D3">
          <w:rPr>
            <w:rStyle w:val="Hyperlink"/>
          </w:rPr>
          <w:t xml:space="preserve"> scenario, 2009-10 to 2049-50 (GW)</w:t>
        </w:r>
        <w:r>
          <w:rPr>
            <w:webHidden/>
          </w:rPr>
          <w:tab/>
        </w:r>
        <w:r>
          <w:rPr>
            <w:webHidden/>
          </w:rPr>
          <w:fldChar w:fldCharType="begin"/>
        </w:r>
        <w:r>
          <w:rPr>
            <w:webHidden/>
          </w:rPr>
          <w:instrText xml:space="preserve"> PAGEREF _Toc212023339 \h </w:instrText>
        </w:r>
        <w:r>
          <w:rPr>
            <w:webHidden/>
          </w:rPr>
        </w:r>
        <w:r>
          <w:rPr>
            <w:webHidden/>
          </w:rPr>
          <w:fldChar w:fldCharType="separate"/>
        </w:r>
        <w:r w:rsidR="004973D2">
          <w:rPr>
            <w:webHidden/>
          </w:rPr>
          <w:t>23</w:t>
        </w:r>
        <w:r>
          <w:rPr>
            <w:webHidden/>
          </w:rPr>
          <w:fldChar w:fldCharType="end"/>
        </w:r>
      </w:hyperlink>
    </w:p>
    <w:p w14:paraId="4B927E08" w14:textId="4AE795F1" w:rsidR="004230A9" w:rsidRDefault="004230A9">
      <w:pPr>
        <w:pStyle w:val="TOC4"/>
        <w:rPr>
          <w:rFonts w:cstheme="minorBidi"/>
          <w:bCs w:val="0"/>
          <w:color w:val="auto"/>
          <w:kern w:val="2"/>
          <w:sz w:val="24"/>
          <w:szCs w:val="24"/>
          <w:lang w:eastAsia="en-AU"/>
          <w14:ligatures w14:val="standardContextual"/>
        </w:rPr>
      </w:pPr>
      <w:hyperlink w:anchor="_Toc212023340" w:history="1">
        <w:r w:rsidRPr="004977D3">
          <w:rPr>
            <w:rStyle w:val="Hyperlink"/>
          </w:rPr>
          <w:t>Figure 6</w:t>
        </w:r>
        <w:r>
          <w:rPr>
            <w:rFonts w:cstheme="minorBidi"/>
            <w:bCs w:val="0"/>
            <w:color w:val="auto"/>
            <w:kern w:val="2"/>
            <w:sz w:val="24"/>
            <w:szCs w:val="24"/>
            <w:lang w:eastAsia="en-AU"/>
            <w14:ligatures w14:val="standardContextual"/>
          </w:rPr>
          <w:tab/>
        </w:r>
        <w:r w:rsidRPr="004977D3">
          <w:rPr>
            <w:rStyle w:val="Hyperlink"/>
          </w:rPr>
          <w:t>Summary of existing generation capacity and connections pipeline in Victoria</w:t>
        </w:r>
        <w:r>
          <w:rPr>
            <w:webHidden/>
          </w:rPr>
          <w:tab/>
        </w:r>
        <w:r>
          <w:rPr>
            <w:webHidden/>
          </w:rPr>
          <w:fldChar w:fldCharType="begin"/>
        </w:r>
        <w:r>
          <w:rPr>
            <w:webHidden/>
          </w:rPr>
          <w:instrText xml:space="preserve"> PAGEREF _Toc212023340 \h </w:instrText>
        </w:r>
        <w:r>
          <w:rPr>
            <w:webHidden/>
          </w:rPr>
        </w:r>
        <w:r>
          <w:rPr>
            <w:webHidden/>
          </w:rPr>
          <w:fldChar w:fldCharType="separate"/>
        </w:r>
        <w:r w:rsidR="004973D2">
          <w:rPr>
            <w:webHidden/>
          </w:rPr>
          <w:t>26</w:t>
        </w:r>
        <w:r>
          <w:rPr>
            <w:webHidden/>
          </w:rPr>
          <w:fldChar w:fldCharType="end"/>
        </w:r>
      </w:hyperlink>
    </w:p>
    <w:p w14:paraId="4DF9E600" w14:textId="33C0AD5F" w:rsidR="004230A9" w:rsidRDefault="004230A9">
      <w:pPr>
        <w:pStyle w:val="TOC4"/>
        <w:rPr>
          <w:rFonts w:cstheme="minorBidi"/>
          <w:bCs w:val="0"/>
          <w:color w:val="auto"/>
          <w:kern w:val="2"/>
          <w:sz w:val="24"/>
          <w:szCs w:val="24"/>
          <w:lang w:eastAsia="en-AU"/>
          <w14:ligatures w14:val="standardContextual"/>
        </w:rPr>
      </w:pPr>
      <w:hyperlink w:anchor="_Toc212023341" w:history="1">
        <w:r w:rsidRPr="004977D3">
          <w:rPr>
            <w:rStyle w:val="Hyperlink"/>
          </w:rPr>
          <w:t>Figure 7</w:t>
        </w:r>
        <w:r>
          <w:rPr>
            <w:rFonts w:cstheme="minorBidi"/>
            <w:bCs w:val="0"/>
            <w:color w:val="auto"/>
            <w:kern w:val="2"/>
            <w:sz w:val="24"/>
            <w:szCs w:val="24"/>
            <w:lang w:eastAsia="en-AU"/>
            <w14:ligatures w14:val="standardContextual"/>
          </w:rPr>
          <w:tab/>
        </w:r>
        <w:r w:rsidRPr="004977D3">
          <w:rPr>
            <w:rStyle w:val="Hyperlink"/>
          </w:rPr>
          <w:t>Total maximum capacity (MW) by count of projects by category</w:t>
        </w:r>
        <w:r>
          <w:rPr>
            <w:webHidden/>
          </w:rPr>
          <w:tab/>
        </w:r>
        <w:r>
          <w:rPr>
            <w:webHidden/>
          </w:rPr>
          <w:fldChar w:fldCharType="begin"/>
        </w:r>
        <w:r>
          <w:rPr>
            <w:webHidden/>
          </w:rPr>
          <w:instrText xml:space="preserve"> PAGEREF _Toc212023341 \h </w:instrText>
        </w:r>
        <w:r>
          <w:rPr>
            <w:webHidden/>
          </w:rPr>
        </w:r>
        <w:r>
          <w:rPr>
            <w:webHidden/>
          </w:rPr>
          <w:fldChar w:fldCharType="separate"/>
        </w:r>
        <w:r w:rsidR="004973D2">
          <w:rPr>
            <w:webHidden/>
          </w:rPr>
          <w:t>27</w:t>
        </w:r>
        <w:r>
          <w:rPr>
            <w:webHidden/>
          </w:rPr>
          <w:fldChar w:fldCharType="end"/>
        </w:r>
      </w:hyperlink>
    </w:p>
    <w:p w14:paraId="06F979D3" w14:textId="6ED9F9FE" w:rsidR="004230A9" w:rsidRDefault="004230A9">
      <w:pPr>
        <w:pStyle w:val="TOC4"/>
        <w:rPr>
          <w:rFonts w:cstheme="minorBidi"/>
          <w:bCs w:val="0"/>
          <w:color w:val="auto"/>
          <w:kern w:val="2"/>
          <w:sz w:val="24"/>
          <w:szCs w:val="24"/>
          <w:lang w:eastAsia="en-AU"/>
          <w14:ligatures w14:val="standardContextual"/>
        </w:rPr>
      </w:pPr>
      <w:hyperlink w:anchor="_Toc212023342" w:history="1">
        <w:r w:rsidRPr="004977D3">
          <w:rPr>
            <w:rStyle w:val="Hyperlink"/>
          </w:rPr>
          <w:t>Figure 8</w:t>
        </w:r>
        <w:r>
          <w:rPr>
            <w:rFonts w:cstheme="minorBidi"/>
            <w:bCs w:val="0"/>
            <w:color w:val="auto"/>
            <w:kern w:val="2"/>
            <w:sz w:val="24"/>
            <w:szCs w:val="24"/>
            <w:lang w:eastAsia="en-AU"/>
            <w14:ligatures w14:val="standardContextual"/>
          </w:rPr>
          <w:tab/>
        </w:r>
        <w:r w:rsidRPr="004977D3">
          <w:rPr>
            <w:rStyle w:val="Hyperlink"/>
          </w:rPr>
          <w:t>Forecast Victorian electricity annual operational (sent out) consumption, 2025 ESOO Central scenario, 2026-27 to 2055-56</w:t>
        </w:r>
        <w:r>
          <w:rPr>
            <w:webHidden/>
          </w:rPr>
          <w:tab/>
        </w:r>
        <w:r>
          <w:rPr>
            <w:webHidden/>
          </w:rPr>
          <w:fldChar w:fldCharType="begin"/>
        </w:r>
        <w:r>
          <w:rPr>
            <w:webHidden/>
          </w:rPr>
          <w:instrText xml:space="preserve"> PAGEREF _Toc212023342 \h </w:instrText>
        </w:r>
        <w:r>
          <w:rPr>
            <w:webHidden/>
          </w:rPr>
        </w:r>
        <w:r>
          <w:rPr>
            <w:webHidden/>
          </w:rPr>
          <w:fldChar w:fldCharType="separate"/>
        </w:r>
        <w:r w:rsidR="004973D2">
          <w:rPr>
            <w:webHidden/>
          </w:rPr>
          <w:t>30</w:t>
        </w:r>
        <w:r>
          <w:rPr>
            <w:webHidden/>
          </w:rPr>
          <w:fldChar w:fldCharType="end"/>
        </w:r>
      </w:hyperlink>
    </w:p>
    <w:p w14:paraId="2BC355BE" w14:textId="4D3F2AFE" w:rsidR="004230A9" w:rsidRDefault="004230A9">
      <w:pPr>
        <w:pStyle w:val="TOC4"/>
        <w:rPr>
          <w:rFonts w:cstheme="minorBidi"/>
          <w:bCs w:val="0"/>
          <w:color w:val="auto"/>
          <w:kern w:val="2"/>
          <w:sz w:val="24"/>
          <w:szCs w:val="24"/>
          <w:lang w:eastAsia="en-AU"/>
          <w14:ligatures w14:val="standardContextual"/>
        </w:rPr>
      </w:pPr>
      <w:hyperlink w:anchor="_Toc212023343" w:history="1">
        <w:r w:rsidRPr="004977D3">
          <w:rPr>
            <w:rStyle w:val="Hyperlink"/>
          </w:rPr>
          <w:t>Figure 9</w:t>
        </w:r>
        <w:r>
          <w:rPr>
            <w:rFonts w:cstheme="minorBidi"/>
            <w:bCs w:val="0"/>
            <w:color w:val="auto"/>
            <w:kern w:val="2"/>
            <w:sz w:val="24"/>
            <w:szCs w:val="24"/>
            <w:lang w:eastAsia="en-AU"/>
            <w14:ligatures w14:val="standardContextual"/>
          </w:rPr>
          <w:tab/>
        </w:r>
        <w:r w:rsidRPr="004977D3">
          <w:rPr>
            <w:rStyle w:val="Hyperlink"/>
          </w:rPr>
          <w:t>Forecast Victorian electricity annual operational (sent out) consumption for data centres, 2025 ESOO Central scenario, 2026-27 to 2054-55</w:t>
        </w:r>
        <w:r>
          <w:rPr>
            <w:webHidden/>
          </w:rPr>
          <w:tab/>
        </w:r>
        <w:r>
          <w:rPr>
            <w:webHidden/>
          </w:rPr>
          <w:fldChar w:fldCharType="begin"/>
        </w:r>
        <w:r>
          <w:rPr>
            <w:webHidden/>
          </w:rPr>
          <w:instrText xml:space="preserve"> PAGEREF _Toc212023343 \h </w:instrText>
        </w:r>
        <w:r>
          <w:rPr>
            <w:webHidden/>
          </w:rPr>
        </w:r>
        <w:r>
          <w:rPr>
            <w:webHidden/>
          </w:rPr>
          <w:fldChar w:fldCharType="separate"/>
        </w:r>
        <w:r w:rsidR="004973D2">
          <w:rPr>
            <w:webHidden/>
          </w:rPr>
          <w:t>31</w:t>
        </w:r>
        <w:r>
          <w:rPr>
            <w:webHidden/>
          </w:rPr>
          <w:fldChar w:fldCharType="end"/>
        </w:r>
      </w:hyperlink>
    </w:p>
    <w:p w14:paraId="7FBD1570" w14:textId="2BE2EF51" w:rsidR="004230A9" w:rsidRDefault="004230A9">
      <w:pPr>
        <w:pStyle w:val="TOC4"/>
        <w:rPr>
          <w:rFonts w:cstheme="minorBidi"/>
          <w:bCs w:val="0"/>
          <w:color w:val="auto"/>
          <w:kern w:val="2"/>
          <w:sz w:val="24"/>
          <w:szCs w:val="24"/>
          <w:lang w:eastAsia="en-AU"/>
          <w14:ligatures w14:val="standardContextual"/>
        </w:rPr>
      </w:pPr>
      <w:hyperlink w:anchor="_Toc212023344" w:history="1">
        <w:r w:rsidRPr="004977D3">
          <w:rPr>
            <w:rStyle w:val="Hyperlink"/>
          </w:rPr>
          <w:t>Figure 10</w:t>
        </w:r>
        <w:r>
          <w:rPr>
            <w:rFonts w:cstheme="minorBidi"/>
            <w:bCs w:val="0"/>
            <w:color w:val="auto"/>
            <w:kern w:val="2"/>
            <w:sz w:val="24"/>
            <w:szCs w:val="24"/>
            <w:lang w:eastAsia="en-AU"/>
            <w14:ligatures w14:val="standardContextual"/>
          </w:rPr>
          <w:tab/>
        </w:r>
        <w:r w:rsidRPr="004977D3">
          <w:rPr>
            <w:rStyle w:val="Hyperlink"/>
          </w:rPr>
          <w:t>Forecast EV consumption versus distributed PV generation, 2025 ESOO Central scenario, 2026-27 to 2054</w:t>
        </w:r>
        <w:r w:rsidRPr="004977D3">
          <w:rPr>
            <w:rStyle w:val="Hyperlink"/>
          </w:rPr>
          <w:noBreakHyphen/>
          <w:t>55</w:t>
        </w:r>
        <w:r>
          <w:rPr>
            <w:webHidden/>
          </w:rPr>
          <w:tab/>
        </w:r>
        <w:r>
          <w:rPr>
            <w:webHidden/>
          </w:rPr>
          <w:fldChar w:fldCharType="begin"/>
        </w:r>
        <w:r>
          <w:rPr>
            <w:webHidden/>
          </w:rPr>
          <w:instrText xml:space="preserve"> PAGEREF _Toc212023344 \h </w:instrText>
        </w:r>
        <w:r>
          <w:rPr>
            <w:webHidden/>
          </w:rPr>
        </w:r>
        <w:r>
          <w:rPr>
            <w:webHidden/>
          </w:rPr>
          <w:fldChar w:fldCharType="separate"/>
        </w:r>
        <w:r w:rsidR="004973D2">
          <w:rPr>
            <w:webHidden/>
          </w:rPr>
          <w:t>32</w:t>
        </w:r>
        <w:r>
          <w:rPr>
            <w:webHidden/>
          </w:rPr>
          <w:fldChar w:fldCharType="end"/>
        </w:r>
      </w:hyperlink>
    </w:p>
    <w:p w14:paraId="13EC6B77" w14:textId="7934340E" w:rsidR="004230A9" w:rsidRDefault="004230A9">
      <w:pPr>
        <w:pStyle w:val="TOC4"/>
        <w:rPr>
          <w:rFonts w:cstheme="minorBidi"/>
          <w:bCs w:val="0"/>
          <w:color w:val="auto"/>
          <w:kern w:val="2"/>
          <w:sz w:val="24"/>
          <w:szCs w:val="24"/>
          <w:lang w:eastAsia="en-AU"/>
          <w14:ligatures w14:val="standardContextual"/>
        </w:rPr>
      </w:pPr>
      <w:hyperlink w:anchor="_Toc212023345" w:history="1">
        <w:r w:rsidRPr="004977D3">
          <w:rPr>
            <w:rStyle w:val="Hyperlink"/>
          </w:rPr>
          <w:t>Figure 11</w:t>
        </w:r>
        <w:r>
          <w:rPr>
            <w:rFonts w:cstheme="minorBidi"/>
            <w:bCs w:val="0"/>
            <w:color w:val="auto"/>
            <w:kern w:val="2"/>
            <w:sz w:val="24"/>
            <w:szCs w:val="24"/>
            <w:lang w:eastAsia="en-AU"/>
            <w14:ligatures w14:val="standardContextual"/>
          </w:rPr>
          <w:tab/>
        </w:r>
        <w:r w:rsidRPr="004977D3">
          <w:rPr>
            <w:rStyle w:val="Hyperlink"/>
          </w:rPr>
          <w:t xml:space="preserve">Comparison for 2029-30 between the 2024 and 2025 ESOO Victorian consumption forecasts, Central – </w:t>
        </w:r>
        <w:r w:rsidRPr="004977D3">
          <w:rPr>
            <w:rStyle w:val="Hyperlink"/>
            <w:i/>
          </w:rPr>
          <w:t>Step Change</w:t>
        </w:r>
        <w:r w:rsidRPr="004977D3">
          <w:rPr>
            <w:rStyle w:val="Hyperlink"/>
          </w:rPr>
          <w:t xml:space="preserve"> scenario</w:t>
        </w:r>
        <w:r>
          <w:rPr>
            <w:webHidden/>
          </w:rPr>
          <w:tab/>
        </w:r>
        <w:r>
          <w:rPr>
            <w:webHidden/>
          </w:rPr>
          <w:fldChar w:fldCharType="begin"/>
        </w:r>
        <w:r>
          <w:rPr>
            <w:webHidden/>
          </w:rPr>
          <w:instrText xml:space="preserve"> PAGEREF _Toc212023345 \h </w:instrText>
        </w:r>
        <w:r>
          <w:rPr>
            <w:webHidden/>
          </w:rPr>
        </w:r>
        <w:r>
          <w:rPr>
            <w:webHidden/>
          </w:rPr>
          <w:fldChar w:fldCharType="separate"/>
        </w:r>
        <w:r w:rsidR="004973D2">
          <w:rPr>
            <w:webHidden/>
          </w:rPr>
          <w:t>33</w:t>
        </w:r>
        <w:r>
          <w:rPr>
            <w:webHidden/>
          </w:rPr>
          <w:fldChar w:fldCharType="end"/>
        </w:r>
      </w:hyperlink>
    </w:p>
    <w:p w14:paraId="6FE37EC8" w14:textId="2A215A4B" w:rsidR="004230A9" w:rsidRDefault="004230A9">
      <w:pPr>
        <w:pStyle w:val="TOC4"/>
        <w:rPr>
          <w:rFonts w:cstheme="minorBidi"/>
          <w:bCs w:val="0"/>
          <w:color w:val="auto"/>
          <w:kern w:val="2"/>
          <w:sz w:val="24"/>
          <w:szCs w:val="24"/>
          <w:lang w:eastAsia="en-AU"/>
          <w14:ligatures w14:val="standardContextual"/>
        </w:rPr>
      </w:pPr>
      <w:hyperlink w:anchor="_Toc212023346" w:history="1">
        <w:r w:rsidRPr="004977D3">
          <w:rPr>
            <w:rStyle w:val="Hyperlink"/>
          </w:rPr>
          <w:t>Figure 12</w:t>
        </w:r>
        <w:r>
          <w:rPr>
            <w:rFonts w:cstheme="minorBidi"/>
            <w:bCs w:val="0"/>
            <w:color w:val="auto"/>
            <w:kern w:val="2"/>
            <w:sz w:val="24"/>
            <w:szCs w:val="24"/>
            <w:lang w:eastAsia="en-AU"/>
            <w14:ligatures w14:val="standardContextual"/>
          </w:rPr>
          <w:tab/>
        </w:r>
        <w:r w:rsidRPr="004977D3">
          <w:rPr>
            <w:rStyle w:val="Hyperlink"/>
          </w:rPr>
          <w:t xml:space="preserve">Comparison for 2034-35 between the 2024 and 2025 ESOO Victorian consumption forecasts, Central – </w:t>
        </w:r>
        <w:r w:rsidRPr="004977D3">
          <w:rPr>
            <w:rStyle w:val="Hyperlink"/>
            <w:i/>
          </w:rPr>
          <w:t>Step Change</w:t>
        </w:r>
        <w:r w:rsidRPr="004977D3">
          <w:rPr>
            <w:rStyle w:val="Hyperlink"/>
          </w:rPr>
          <w:t xml:space="preserve"> scenario</w:t>
        </w:r>
        <w:r>
          <w:rPr>
            <w:webHidden/>
          </w:rPr>
          <w:tab/>
        </w:r>
        <w:r>
          <w:rPr>
            <w:webHidden/>
          </w:rPr>
          <w:fldChar w:fldCharType="begin"/>
        </w:r>
        <w:r>
          <w:rPr>
            <w:webHidden/>
          </w:rPr>
          <w:instrText xml:space="preserve"> PAGEREF _Toc212023346 \h </w:instrText>
        </w:r>
        <w:r>
          <w:rPr>
            <w:webHidden/>
          </w:rPr>
        </w:r>
        <w:r>
          <w:rPr>
            <w:webHidden/>
          </w:rPr>
          <w:fldChar w:fldCharType="separate"/>
        </w:r>
        <w:r w:rsidR="004973D2">
          <w:rPr>
            <w:webHidden/>
          </w:rPr>
          <w:t>34</w:t>
        </w:r>
        <w:r>
          <w:rPr>
            <w:webHidden/>
          </w:rPr>
          <w:fldChar w:fldCharType="end"/>
        </w:r>
      </w:hyperlink>
    </w:p>
    <w:p w14:paraId="0583B499" w14:textId="5EDC4E2C" w:rsidR="004230A9" w:rsidRDefault="004230A9">
      <w:pPr>
        <w:pStyle w:val="TOC4"/>
        <w:rPr>
          <w:rFonts w:cstheme="minorBidi"/>
          <w:bCs w:val="0"/>
          <w:color w:val="auto"/>
          <w:kern w:val="2"/>
          <w:sz w:val="24"/>
          <w:szCs w:val="24"/>
          <w:lang w:eastAsia="en-AU"/>
          <w14:ligatures w14:val="standardContextual"/>
        </w:rPr>
      </w:pPr>
      <w:hyperlink w:anchor="_Toc212023347" w:history="1">
        <w:r w:rsidRPr="004977D3">
          <w:rPr>
            <w:rStyle w:val="Hyperlink"/>
          </w:rPr>
          <w:t>Figure 13</w:t>
        </w:r>
        <w:r>
          <w:rPr>
            <w:rFonts w:cstheme="minorBidi"/>
            <w:bCs w:val="0"/>
            <w:color w:val="auto"/>
            <w:kern w:val="2"/>
            <w:sz w:val="24"/>
            <w:szCs w:val="24"/>
            <w:lang w:eastAsia="en-AU"/>
            <w14:ligatures w14:val="standardContextual"/>
          </w:rPr>
          <w:tab/>
        </w:r>
        <w:r w:rsidRPr="004977D3">
          <w:rPr>
            <w:rStyle w:val="Hyperlink"/>
          </w:rPr>
          <w:t>Actual and 10% POE forecast maximum demand for Victoria in 2024 and 2025 ESOO Central (</w:t>
        </w:r>
        <w:r w:rsidRPr="004977D3">
          <w:rPr>
            <w:rStyle w:val="Hyperlink"/>
            <w:i/>
          </w:rPr>
          <w:t>Step Change</w:t>
        </w:r>
        <w:r w:rsidRPr="004977D3">
          <w:rPr>
            <w:rStyle w:val="Hyperlink"/>
          </w:rPr>
          <w:t>) scenario, operational sent out), 2021-22 to 2035-36 (MW)</w:t>
        </w:r>
        <w:r>
          <w:rPr>
            <w:webHidden/>
          </w:rPr>
          <w:tab/>
        </w:r>
        <w:r>
          <w:rPr>
            <w:webHidden/>
          </w:rPr>
          <w:fldChar w:fldCharType="begin"/>
        </w:r>
        <w:r>
          <w:rPr>
            <w:webHidden/>
          </w:rPr>
          <w:instrText xml:space="preserve"> PAGEREF _Toc212023347 \h </w:instrText>
        </w:r>
        <w:r>
          <w:rPr>
            <w:webHidden/>
          </w:rPr>
        </w:r>
        <w:r>
          <w:rPr>
            <w:webHidden/>
          </w:rPr>
          <w:fldChar w:fldCharType="separate"/>
        </w:r>
        <w:r w:rsidR="004973D2">
          <w:rPr>
            <w:webHidden/>
          </w:rPr>
          <w:t>35</w:t>
        </w:r>
        <w:r>
          <w:rPr>
            <w:webHidden/>
          </w:rPr>
          <w:fldChar w:fldCharType="end"/>
        </w:r>
      </w:hyperlink>
    </w:p>
    <w:p w14:paraId="28B40177" w14:textId="29B976FC" w:rsidR="004230A9" w:rsidRDefault="004230A9">
      <w:pPr>
        <w:pStyle w:val="TOC4"/>
        <w:rPr>
          <w:rFonts w:cstheme="minorBidi"/>
          <w:bCs w:val="0"/>
          <w:color w:val="auto"/>
          <w:kern w:val="2"/>
          <w:sz w:val="24"/>
          <w:szCs w:val="24"/>
          <w:lang w:eastAsia="en-AU"/>
          <w14:ligatures w14:val="standardContextual"/>
        </w:rPr>
      </w:pPr>
      <w:hyperlink w:anchor="_Toc212023348" w:history="1">
        <w:r w:rsidRPr="004977D3">
          <w:rPr>
            <w:rStyle w:val="Hyperlink"/>
          </w:rPr>
          <w:t>Figure 14</w:t>
        </w:r>
        <w:r>
          <w:rPr>
            <w:rFonts w:cstheme="minorBidi"/>
            <w:bCs w:val="0"/>
            <w:color w:val="auto"/>
            <w:kern w:val="2"/>
            <w:sz w:val="24"/>
            <w:szCs w:val="24"/>
            <w:lang w:eastAsia="en-AU"/>
            <w14:ligatures w14:val="standardContextual"/>
          </w:rPr>
          <w:tab/>
        </w:r>
        <w:r w:rsidRPr="004977D3">
          <w:rPr>
            <w:rStyle w:val="Hyperlink"/>
          </w:rPr>
          <w:t>Actual and 50% POE forecast maximum demand for Victoria in 2024 and 2025 ESOO Central (</w:t>
        </w:r>
        <w:r w:rsidRPr="004977D3">
          <w:rPr>
            <w:rStyle w:val="Hyperlink"/>
            <w:i/>
          </w:rPr>
          <w:t>Step Change</w:t>
        </w:r>
        <w:r w:rsidRPr="004977D3">
          <w:rPr>
            <w:rStyle w:val="Hyperlink"/>
          </w:rPr>
          <w:t>) scenario, operational sent out, 2021-22 to 2035-36 (MW)</w:t>
        </w:r>
        <w:r>
          <w:rPr>
            <w:webHidden/>
          </w:rPr>
          <w:tab/>
        </w:r>
        <w:r>
          <w:rPr>
            <w:webHidden/>
          </w:rPr>
          <w:fldChar w:fldCharType="begin"/>
        </w:r>
        <w:r>
          <w:rPr>
            <w:webHidden/>
          </w:rPr>
          <w:instrText xml:space="preserve"> PAGEREF _Toc212023348 \h </w:instrText>
        </w:r>
        <w:r>
          <w:rPr>
            <w:webHidden/>
          </w:rPr>
        </w:r>
        <w:r>
          <w:rPr>
            <w:webHidden/>
          </w:rPr>
          <w:fldChar w:fldCharType="separate"/>
        </w:r>
        <w:r w:rsidR="004973D2">
          <w:rPr>
            <w:webHidden/>
          </w:rPr>
          <w:t>36</w:t>
        </w:r>
        <w:r>
          <w:rPr>
            <w:webHidden/>
          </w:rPr>
          <w:fldChar w:fldCharType="end"/>
        </w:r>
      </w:hyperlink>
    </w:p>
    <w:p w14:paraId="1CA8E855" w14:textId="376603B3" w:rsidR="004230A9" w:rsidRDefault="004230A9">
      <w:pPr>
        <w:pStyle w:val="TOC4"/>
        <w:rPr>
          <w:rFonts w:cstheme="minorBidi"/>
          <w:bCs w:val="0"/>
          <w:color w:val="auto"/>
          <w:kern w:val="2"/>
          <w:sz w:val="24"/>
          <w:szCs w:val="24"/>
          <w:lang w:eastAsia="en-AU"/>
          <w14:ligatures w14:val="standardContextual"/>
        </w:rPr>
      </w:pPr>
      <w:hyperlink w:anchor="_Toc212023349" w:history="1">
        <w:r w:rsidRPr="004977D3">
          <w:rPr>
            <w:rStyle w:val="Hyperlink"/>
          </w:rPr>
          <w:t>Figure 15</w:t>
        </w:r>
        <w:r>
          <w:rPr>
            <w:rFonts w:cstheme="minorBidi"/>
            <w:bCs w:val="0"/>
            <w:color w:val="auto"/>
            <w:kern w:val="2"/>
            <w:sz w:val="24"/>
            <w:szCs w:val="24"/>
            <w:lang w:eastAsia="en-AU"/>
            <w14:ligatures w14:val="standardContextual"/>
          </w:rPr>
          <w:tab/>
        </w:r>
        <w:r w:rsidRPr="004977D3">
          <w:rPr>
            <w:rStyle w:val="Hyperlink"/>
          </w:rPr>
          <w:t>Actual and 90% POE forecast minimum demand for Victoria in 2024 and 2025 ESOO Central (</w:t>
        </w:r>
        <w:r w:rsidRPr="004977D3">
          <w:rPr>
            <w:rStyle w:val="Hyperlink"/>
            <w:i/>
          </w:rPr>
          <w:t>Step Change</w:t>
        </w:r>
        <w:r w:rsidRPr="004977D3">
          <w:rPr>
            <w:rStyle w:val="Hyperlink"/>
          </w:rPr>
          <w:t>) scenario, operational sent out, 2020-21 to 2035-36 (MW)</w:t>
        </w:r>
        <w:r>
          <w:rPr>
            <w:webHidden/>
          </w:rPr>
          <w:tab/>
        </w:r>
        <w:r>
          <w:rPr>
            <w:webHidden/>
          </w:rPr>
          <w:fldChar w:fldCharType="begin"/>
        </w:r>
        <w:r>
          <w:rPr>
            <w:webHidden/>
          </w:rPr>
          <w:instrText xml:space="preserve"> PAGEREF _Toc212023349 \h </w:instrText>
        </w:r>
        <w:r>
          <w:rPr>
            <w:webHidden/>
          </w:rPr>
        </w:r>
        <w:r>
          <w:rPr>
            <w:webHidden/>
          </w:rPr>
          <w:fldChar w:fldCharType="separate"/>
        </w:r>
        <w:r w:rsidR="004973D2">
          <w:rPr>
            <w:webHidden/>
          </w:rPr>
          <w:t>37</w:t>
        </w:r>
        <w:r>
          <w:rPr>
            <w:webHidden/>
          </w:rPr>
          <w:fldChar w:fldCharType="end"/>
        </w:r>
      </w:hyperlink>
    </w:p>
    <w:p w14:paraId="16E5BDE7" w14:textId="6780580D" w:rsidR="004230A9" w:rsidRDefault="004230A9">
      <w:pPr>
        <w:pStyle w:val="TOC4"/>
        <w:rPr>
          <w:rFonts w:cstheme="minorBidi"/>
          <w:bCs w:val="0"/>
          <w:color w:val="auto"/>
          <w:kern w:val="2"/>
          <w:sz w:val="24"/>
          <w:szCs w:val="24"/>
          <w:lang w:eastAsia="en-AU"/>
          <w14:ligatures w14:val="standardContextual"/>
        </w:rPr>
      </w:pPr>
      <w:hyperlink w:anchor="_Toc212023350" w:history="1">
        <w:r w:rsidRPr="004977D3">
          <w:rPr>
            <w:rStyle w:val="Hyperlink"/>
          </w:rPr>
          <w:t>Figure 16</w:t>
        </w:r>
        <w:r>
          <w:rPr>
            <w:rFonts w:cstheme="minorBidi"/>
            <w:bCs w:val="0"/>
            <w:color w:val="auto"/>
            <w:kern w:val="2"/>
            <w:sz w:val="24"/>
            <w:szCs w:val="24"/>
            <w:lang w:eastAsia="en-AU"/>
            <w14:ligatures w14:val="standardContextual"/>
          </w:rPr>
          <w:tab/>
        </w:r>
        <w:r w:rsidRPr="004977D3">
          <w:rPr>
            <w:rStyle w:val="Hyperlink"/>
          </w:rPr>
          <w:t>Newly completed/approaching completion Transmission Development Plan projects for Victoria</w:t>
        </w:r>
        <w:r>
          <w:rPr>
            <w:webHidden/>
          </w:rPr>
          <w:tab/>
        </w:r>
        <w:r>
          <w:rPr>
            <w:webHidden/>
          </w:rPr>
          <w:fldChar w:fldCharType="begin"/>
        </w:r>
        <w:r>
          <w:rPr>
            <w:webHidden/>
          </w:rPr>
          <w:instrText xml:space="preserve"> PAGEREF _Toc212023350 \h </w:instrText>
        </w:r>
        <w:r>
          <w:rPr>
            <w:webHidden/>
          </w:rPr>
        </w:r>
        <w:r>
          <w:rPr>
            <w:webHidden/>
          </w:rPr>
          <w:fldChar w:fldCharType="separate"/>
        </w:r>
        <w:r w:rsidR="004973D2">
          <w:rPr>
            <w:webHidden/>
          </w:rPr>
          <w:t>40</w:t>
        </w:r>
        <w:r>
          <w:rPr>
            <w:webHidden/>
          </w:rPr>
          <w:fldChar w:fldCharType="end"/>
        </w:r>
      </w:hyperlink>
    </w:p>
    <w:p w14:paraId="06B3032A" w14:textId="53BA7E1B" w:rsidR="004230A9" w:rsidRDefault="004230A9">
      <w:pPr>
        <w:pStyle w:val="TOC4"/>
        <w:rPr>
          <w:rFonts w:cstheme="minorBidi"/>
          <w:bCs w:val="0"/>
          <w:color w:val="auto"/>
          <w:kern w:val="2"/>
          <w:sz w:val="24"/>
          <w:szCs w:val="24"/>
          <w:lang w:eastAsia="en-AU"/>
          <w14:ligatures w14:val="standardContextual"/>
        </w:rPr>
      </w:pPr>
      <w:hyperlink w:anchor="_Toc212023351" w:history="1">
        <w:r w:rsidRPr="004977D3">
          <w:rPr>
            <w:rStyle w:val="Hyperlink"/>
          </w:rPr>
          <w:t>Figure 17</w:t>
        </w:r>
        <w:r>
          <w:rPr>
            <w:rFonts w:cstheme="minorBidi"/>
            <w:bCs w:val="0"/>
            <w:color w:val="auto"/>
            <w:kern w:val="2"/>
            <w:sz w:val="24"/>
            <w:szCs w:val="24"/>
            <w:lang w:eastAsia="en-AU"/>
            <w14:ligatures w14:val="standardContextual"/>
          </w:rPr>
          <w:tab/>
        </w:r>
        <w:r w:rsidRPr="004977D3">
          <w:rPr>
            <w:rStyle w:val="Hyperlink"/>
          </w:rPr>
          <w:t>In progress Transmission Development Plan projects for Victoria</w:t>
        </w:r>
        <w:r>
          <w:rPr>
            <w:webHidden/>
          </w:rPr>
          <w:tab/>
        </w:r>
        <w:r>
          <w:rPr>
            <w:webHidden/>
          </w:rPr>
          <w:fldChar w:fldCharType="begin"/>
        </w:r>
        <w:r>
          <w:rPr>
            <w:webHidden/>
          </w:rPr>
          <w:instrText xml:space="preserve"> PAGEREF _Toc212023351 \h </w:instrText>
        </w:r>
        <w:r>
          <w:rPr>
            <w:webHidden/>
          </w:rPr>
        </w:r>
        <w:r>
          <w:rPr>
            <w:webHidden/>
          </w:rPr>
          <w:fldChar w:fldCharType="separate"/>
        </w:r>
        <w:r w:rsidR="004973D2">
          <w:rPr>
            <w:webHidden/>
          </w:rPr>
          <w:t>41</w:t>
        </w:r>
        <w:r>
          <w:rPr>
            <w:webHidden/>
          </w:rPr>
          <w:fldChar w:fldCharType="end"/>
        </w:r>
      </w:hyperlink>
    </w:p>
    <w:p w14:paraId="1C8D173C" w14:textId="622CA04B" w:rsidR="004230A9" w:rsidRDefault="004230A9">
      <w:pPr>
        <w:pStyle w:val="TOC4"/>
        <w:rPr>
          <w:rFonts w:cstheme="minorBidi"/>
          <w:bCs w:val="0"/>
          <w:color w:val="auto"/>
          <w:kern w:val="2"/>
          <w:sz w:val="24"/>
          <w:szCs w:val="24"/>
          <w:lang w:eastAsia="en-AU"/>
          <w14:ligatures w14:val="standardContextual"/>
        </w:rPr>
      </w:pPr>
      <w:hyperlink w:anchor="_Toc212023352" w:history="1">
        <w:r w:rsidRPr="004977D3">
          <w:rPr>
            <w:rStyle w:val="Hyperlink"/>
          </w:rPr>
          <w:t>Figure 18</w:t>
        </w:r>
        <w:r>
          <w:rPr>
            <w:rFonts w:cstheme="minorBidi"/>
            <w:bCs w:val="0"/>
            <w:color w:val="auto"/>
            <w:kern w:val="2"/>
            <w:sz w:val="24"/>
            <w:szCs w:val="24"/>
            <w:lang w:eastAsia="en-AU"/>
            <w14:ligatures w14:val="standardContextual"/>
          </w:rPr>
          <w:tab/>
        </w:r>
        <w:r w:rsidRPr="004977D3">
          <w:rPr>
            <w:rStyle w:val="Hyperlink"/>
          </w:rPr>
          <w:t>Timeline of Transmission Development Plan projects for Victoria</w:t>
        </w:r>
        <w:r>
          <w:rPr>
            <w:webHidden/>
          </w:rPr>
          <w:tab/>
        </w:r>
        <w:r>
          <w:rPr>
            <w:webHidden/>
          </w:rPr>
          <w:fldChar w:fldCharType="begin"/>
        </w:r>
        <w:r>
          <w:rPr>
            <w:webHidden/>
          </w:rPr>
          <w:instrText xml:space="preserve"> PAGEREF _Toc212023352 \h </w:instrText>
        </w:r>
        <w:r>
          <w:rPr>
            <w:webHidden/>
          </w:rPr>
        </w:r>
        <w:r>
          <w:rPr>
            <w:webHidden/>
          </w:rPr>
          <w:fldChar w:fldCharType="separate"/>
        </w:r>
        <w:r w:rsidR="004973D2">
          <w:rPr>
            <w:webHidden/>
          </w:rPr>
          <w:t>42</w:t>
        </w:r>
        <w:r>
          <w:rPr>
            <w:webHidden/>
          </w:rPr>
          <w:fldChar w:fldCharType="end"/>
        </w:r>
      </w:hyperlink>
    </w:p>
    <w:p w14:paraId="6BC11C61" w14:textId="6E24AFFF" w:rsidR="004230A9" w:rsidRDefault="004230A9">
      <w:pPr>
        <w:pStyle w:val="TOC4"/>
        <w:rPr>
          <w:rFonts w:cstheme="minorBidi"/>
          <w:bCs w:val="0"/>
          <w:color w:val="auto"/>
          <w:kern w:val="2"/>
          <w:sz w:val="24"/>
          <w:szCs w:val="24"/>
          <w:lang w:eastAsia="en-AU"/>
          <w14:ligatures w14:val="standardContextual"/>
        </w:rPr>
      </w:pPr>
      <w:hyperlink w:anchor="_Toc212023353" w:history="1">
        <w:r w:rsidRPr="004977D3">
          <w:rPr>
            <w:rStyle w:val="Hyperlink"/>
          </w:rPr>
          <w:t>Figure 19</w:t>
        </w:r>
        <w:r>
          <w:rPr>
            <w:rFonts w:cstheme="minorBidi"/>
            <w:bCs w:val="0"/>
            <w:color w:val="auto"/>
            <w:kern w:val="2"/>
            <w:sz w:val="24"/>
            <w:szCs w:val="24"/>
            <w:lang w:eastAsia="en-AU"/>
            <w14:ligatures w14:val="standardContextual"/>
          </w:rPr>
          <w:tab/>
        </w:r>
        <w:r w:rsidRPr="004977D3">
          <w:rPr>
            <w:rStyle w:val="Hyperlink"/>
          </w:rPr>
          <w:t>Project overview map of WRL</w:t>
        </w:r>
        <w:r>
          <w:rPr>
            <w:webHidden/>
          </w:rPr>
          <w:tab/>
        </w:r>
        <w:r>
          <w:rPr>
            <w:webHidden/>
          </w:rPr>
          <w:fldChar w:fldCharType="begin"/>
        </w:r>
        <w:r>
          <w:rPr>
            <w:webHidden/>
          </w:rPr>
          <w:instrText xml:space="preserve"> PAGEREF _Toc212023353 \h </w:instrText>
        </w:r>
        <w:r>
          <w:rPr>
            <w:webHidden/>
          </w:rPr>
        </w:r>
        <w:r>
          <w:rPr>
            <w:webHidden/>
          </w:rPr>
          <w:fldChar w:fldCharType="separate"/>
        </w:r>
        <w:r w:rsidR="004973D2">
          <w:rPr>
            <w:webHidden/>
          </w:rPr>
          <w:t>47</w:t>
        </w:r>
        <w:r>
          <w:rPr>
            <w:webHidden/>
          </w:rPr>
          <w:fldChar w:fldCharType="end"/>
        </w:r>
      </w:hyperlink>
    </w:p>
    <w:p w14:paraId="6A6AAF4B" w14:textId="36987C9E" w:rsidR="004230A9" w:rsidRDefault="004230A9">
      <w:pPr>
        <w:pStyle w:val="TOC4"/>
        <w:rPr>
          <w:rFonts w:cstheme="minorBidi"/>
          <w:bCs w:val="0"/>
          <w:color w:val="auto"/>
          <w:kern w:val="2"/>
          <w:sz w:val="24"/>
          <w:szCs w:val="24"/>
          <w:lang w:eastAsia="en-AU"/>
          <w14:ligatures w14:val="standardContextual"/>
        </w:rPr>
      </w:pPr>
      <w:hyperlink w:anchor="_Toc212023354" w:history="1">
        <w:r w:rsidRPr="004977D3">
          <w:rPr>
            <w:rStyle w:val="Hyperlink"/>
          </w:rPr>
          <w:t>Figure 20</w:t>
        </w:r>
        <w:r>
          <w:rPr>
            <w:rFonts w:cstheme="minorBidi"/>
            <w:bCs w:val="0"/>
            <w:color w:val="auto"/>
            <w:kern w:val="2"/>
            <w:sz w:val="24"/>
            <w:szCs w:val="24"/>
            <w:lang w:eastAsia="en-AU"/>
            <w14:ligatures w14:val="standardContextual"/>
          </w:rPr>
          <w:tab/>
        </w:r>
        <w:r w:rsidRPr="004977D3">
          <w:rPr>
            <w:rStyle w:val="Hyperlink"/>
          </w:rPr>
          <w:t>Project overview map of VNI West</w:t>
        </w:r>
        <w:r>
          <w:rPr>
            <w:webHidden/>
          </w:rPr>
          <w:tab/>
        </w:r>
        <w:r>
          <w:rPr>
            <w:webHidden/>
          </w:rPr>
          <w:fldChar w:fldCharType="begin"/>
        </w:r>
        <w:r>
          <w:rPr>
            <w:webHidden/>
          </w:rPr>
          <w:instrText xml:space="preserve"> PAGEREF _Toc212023354 \h </w:instrText>
        </w:r>
        <w:r>
          <w:rPr>
            <w:webHidden/>
          </w:rPr>
        </w:r>
        <w:r>
          <w:rPr>
            <w:webHidden/>
          </w:rPr>
          <w:fldChar w:fldCharType="separate"/>
        </w:r>
        <w:r w:rsidR="004973D2">
          <w:rPr>
            <w:webHidden/>
          </w:rPr>
          <w:t>50</w:t>
        </w:r>
        <w:r>
          <w:rPr>
            <w:webHidden/>
          </w:rPr>
          <w:fldChar w:fldCharType="end"/>
        </w:r>
      </w:hyperlink>
    </w:p>
    <w:p w14:paraId="19D3CC68" w14:textId="55B09F1A" w:rsidR="004230A9" w:rsidRDefault="004230A9">
      <w:pPr>
        <w:pStyle w:val="TOC4"/>
        <w:rPr>
          <w:rFonts w:cstheme="minorBidi"/>
          <w:bCs w:val="0"/>
          <w:color w:val="auto"/>
          <w:kern w:val="2"/>
          <w:sz w:val="24"/>
          <w:szCs w:val="24"/>
          <w:lang w:eastAsia="en-AU"/>
          <w14:ligatures w14:val="standardContextual"/>
        </w:rPr>
      </w:pPr>
      <w:hyperlink w:anchor="_Toc212023355" w:history="1">
        <w:r w:rsidRPr="004977D3">
          <w:rPr>
            <w:rStyle w:val="Hyperlink"/>
          </w:rPr>
          <w:t>Figure 21</w:t>
        </w:r>
        <w:r>
          <w:rPr>
            <w:rFonts w:cstheme="minorBidi"/>
            <w:bCs w:val="0"/>
            <w:color w:val="auto"/>
            <w:kern w:val="2"/>
            <w:sz w:val="24"/>
            <w:szCs w:val="24"/>
            <w:lang w:eastAsia="en-AU"/>
            <w14:ligatures w14:val="standardContextual"/>
          </w:rPr>
          <w:tab/>
        </w:r>
        <w:r w:rsidRPr="004977D3">
          <w:rPr>
            <w:rStyle w:val="Hyperlink"/>
          </w:rPr>
          <w:t>Latrobe Valley high demand radial mode</w:t>
        </w:r>
        <w:r>
          <w:rPr>
            <w:webHidden/>
          </w:rPr>
          <w:tab/>
        </w:r>
        <w:r>
          <w:rPr>
            <w:webHidden/>
          </w:rPr>
          <w:fldChar w:fldCharType="begin"/>
        </w:r>
        <w:r>
          <w:rPr>
            <w:webHidden/>
          </w:rPr>
          <w:instrText xml:space="preserve"> PAGEREF _Toc212023355 \h </w:instrText>
        </w:r>
        <w:r>
          <w:rPr>
            <w:webHidden/>
          </w:rPr>
        </w:r>
        <w:r>
          <w:rPr>
            <w:webHidden/>
          </w:rPr>
          <w:fldChar w:fldCharType="separate"/>
        </w:r>
        <w:r w:rsidR="004973D2">
          <w:rPr>
            <w:webHidden/>
          </w:rPr>
          <w:t>53</w:t>
        </w:r>
        <w:r>
          <w:rPr>
            <w:webHidden/>
          </w:rPr>
          <w:fldChar w:fldCharType="end"/>
        </w:r>
      </w:hyperlink>
    </w:p>
    <w:p w14:paraId="6D55646E" w14:textId="3D34BE0F" w:rsidR="004230A9" w:rsidRDefault="004230A9">
      <w:pPr>
        <w:pStyle w:val="TOC4"/>
        <w:rPr>
          <w:rFonts w:cstheme="minorBidi"/>
          <w:bCs w:val="0"/>
          <w:color w:val="auto"/>
          <w:kern w:val="2"/>
          <w:sz w:val="24"/>
          <w:szCs w:val="24"/>
          <w:lang w:eastAsia="en-AU"/>
          <w14:ligatures w14:val="standardContextual"/>
        </w:rPr>
      </w:pPr>
      <w:hyperlink w:anchor="_Toc212023356" w:history="1">
        <w:r w:rsidRPr="004977D3">
          <w:rPr>
            <w:rStyle w:val="Hyperlink"/>
          </w:rPr>
          <w:t>Figure 22</w:t>
        </w:r>
        <w:r>
          <w:rPr>
            <w:rFonts w:cstheme="minorBidi"/>
            <w:bCs w:val="0"/>
            <w:color w:val="auto"/>
            <w:kern w:val="2"/>
            <w:sz w:val="24"/>
            <w:szCs w:val="24"/>
            <w:lang w:eastAsia="en-AU"/>
            <w14:ligatures w14:val="standardContextual"/>
          </w:rPr>
          <w:tab/>
        </w:r>
        <w:r w:rsidRPr="004977D3">
          <w:rPr>
            <w:rStyle w:val="Hyperlink"/>
          </w:rPr>
          <w:t>Latrobe Valley modified parallel mode</w:t>
        </w:r>
        <w:r>
          <w:rPr>
            <w:webHidden/>
          </w:rPr>
          <w:tab/>
        </w:r>
        <w:r>
          <w:rPr>
            <w:webHidden/>
          </w:rPr>
          <w:fldChar w:fldCharType="begin"/>
        </w:r>
        <w:r>
          <w:rPr>
            <w:webHidden/>
          </w:rPr>
          <w:instrText xml:space="preserve"> PAGEREF _Toc212023356 \h </w:instrText>
        </w:r>
        <w:r>
          <w:rPr>
            <w:webHidden/>
          </w:rPr>
        </w:r>
        <w:r>
          <w:rPr>
            <w:webHidden/>
          </w:rPr>
          <w:fldChar w:fldCharType="separate"/>
        </w:r>
        <w:r w:rsidR="004973D2">
          <w:rPr>
            <w:webHidden/>
          </w:rPr>
          <w:t>54</w:t>
        </w:r>
        <w:r>
          <w:rPr>
            <w:webHidden/>
          </w:rPr>
          <w:fldChar w:fldCharType="end"/>
        </w:r>
      </w:hyperlink>
    </w:p>
    <w:p w14:paraId="7FFAC811" w14:textId="6DBFAE24" w:rsidR="004230A9" w:rsidRDefault="004230A9">
      <w:pPr>
        <w:pStyle w:val="TOC4"/>
        <w:rPr>
          <w:rFonts w:cstheme="minorBidi"/>
          <w:bCs w:val="0"/>
          <w:color w:val="auto"/>
          <w:kern w:val="2"/>
          <w:sz w:val="24"/>
          <w:szCs w:val="24"/>
          <w:lang w:eastAsia="en-AU"/>
          <w14:ligatures w14:val="standardContextual"/>
        </w:rPr>
      </w:pPr>
      <w:hyperlink w:anchor="_Toc212023357" w:history="1">
        <w:r w:rsidRPr="004977D3">
          <w:rPr>
            <w:rStyle w:val="Hyperlink"/>
          </w:rPr>
          <w:t>Figure 23</w:t>
        </w:r>
        <w:r>
          <w:rPr>
            <w:rFonts w:cstheme="minorBidi"/>
            <w:bCs w:val="0"/>
            <w:color w:val="auto"/>
            <w:kern w:val="2"/>
            <w:sz w:val="24"/>
            <w:szCs w:val="24"/>
            <w:lang w:eastAsia="en-AU"/>
            <w14:ligatures w14:val="standardContextual"/>
          </w:rPr>
          <w:tab/>
        </w:r>
        <w:r w:rsidRPr="004977D3">
          <w:rPr>
            <w:rStyle w:val="Hyperlink"/>
          </w:rPr>
          <w:t>Renewable energy zones defined in the 2025 VTP</w:t>
        </w:r>
        <w:r>
          <w:rPr>
            <w:webHidden/>
          </w:rPr>
          <w:tab/>
        </w:r>
        <w:r>
          <w:rPr>
            <w:webHidden/>
          </w:rPr>
          <w:fldChar w:fldCharType="begin"/>
        </w:r>
        <w:r>
          <w:rPr>
            <w:webHidden/>
          </w:rPr>
          <w:instrText xml:space="preserve"> PAGEREF _Toc212023357 \h </w:instrText>
        </w:r>
        <w:r>
          <w:rPr>
            <w:webHidden/>
          </w:rPr>
        </w:r>
        <w:r>
          <w:rPr>
            <w:webHidden/>
          </w:rPr>
          <w:fldChar w:fldCharType="separate"/>
        </w:r>
        <w:r w:rsidR="004973D2">
          <w:rPr>
            <w:webHidden/>
          </w:rPr>
          <w:t>55</w:t>
        </w:r>
        <w:r>
          <w:rPr>
            <w:webHidden/>
          </w:rPr>
          <w:fldChar w:fldCharType="end"/>
        </w:r>
      </w:hyperlink>
    </w:p>
    <w:p w14:paraId="52DA3AF9" w14:textId="27C36411" w:rsidR="004230A9" w:rsidRDefault="004230A9">
      <w:pPr>
        <w:pStyle w:val="TOC4"/>
        <w:rPr>
          <w:rFonts w:cstheme="minorBidi"/>
          <w:bCs w:val="0"/>
          <w:color w:val="auto"/>
          <w:kern w:val="2"/>
          <w:sz w:val="24"/>
          <w:szCs w:val="24"/>
          <w:lang w:eastAsia="en-AU"/>
          <w14:ligatures w14:val="standardContextual"/>
        </w:rPr>
      </w:pPr>
      <w:hyperlink w:anchor="_Toc212023358" w:history="1">
        <w:r w:rsidRPr="004977D3">
          <w:rPr>
            <w:rStyle w:val="Hyperlink"/>
          </w:rPr>
          <w:t>Figure 24</w:t>
        </w:r>
        <w:r>
          <w:rPr>
            <w:rFonts w:cstheme="minorBidi"/>
            <w:bCs w:val="0"/>
            <w:color w:val="auto"/>
            <w:kern w:val="2"/>
            <w:sz w:val="24"/>
            <w:szCs w:val="24"/>
            <w:lang w:eastAsia="en-AU"/>
            <w14:ligatures w14:val="standardContextual"/>
          </w:rPr>
          <w:tab/>
        </w:r>
        <w:r w:rsidRPr="004977D3">
          <w:rPr>
            <w:rStyle w:val="Hyperlink"/>
          </w:rPr>
          <w:t>Map of new priority programs in the 2025 VTP</w:t>
        </w:r>
        <w:r>
          <w:rPr>
            <w:webHidden/>
          </w:rPr>
          <w:tab/>
        </w:r>
        <w:r>
          <w:rPr>
            <w:webHidden/>
          </w:rPr>
          <w:fldChar w:fldCharType="begin"/>
        </w:r>
        <w:r>
          <w:rPr>
            <w:webHidden/>
          </w:rPr>
          <w:instrText xml:space="preserve"> PAGEREF _Toc212023358 \h </w:instrText>
        </w:r>
        <w:r>
          <w:rPr>
            <w:webHidden/>
          </w:rPr>
        </w:r>
        <w:r>
          <w:rPr>
            <w:webHidden/>
          </w:rPr>
          <w:fldChar w:fldCharType="separate"/>
        </w:r>
        <w:r w:rsidR="004973D2">
          <w:rPr>
            <w:webHidden/>
          </w:rPr>
          <w:t>56</w:t>
        </w:r>
        <w:r>
          <w:rPr>
            <w:webHidden/>
          </w:rPr>
          <w:fldChar w:fldCharType="end"/>
        </w:r>
      </w:hyperlink>
    </w:p>
    <w:p w14:paraId="1915339B" w14:textId="4C075425" w:rsidR="004230A9" w:rsidRDefault="004230A9">
      <w:pPr>
        <w:pStyle w:val="TOC4"/>
        <w:rPr>
          <w:rFonts w:cstheme="minorBidi"/>
          <w:bCs w:val="0"/>
          <w:color w:val="auto"/>
          <w:kern w:val="2"/>
          <w:sz w:val="24"/>
          <w:szCs w:val="24"/>
          <w:lang w:eastAsia="en-AU"/>
          <w14:ligatures w14:val="standardContextual"/>
        </w:rPr>
      </w:pPr>
      <w:hyperlink w:anchor="_Toc212023359" w:history="1">
        <w:r w:rsidRPr="004977D3">
          <w:rPr>
            <w:rStyle w:val="Hyperlink"/>
          </w:rPr>
          <w:t>Figure 25</w:t>
        </w:r>
        <w:r>
          <w:rPr>
            <w:rFonts w:cstheme="minorBidi"/>
            <w:bCs w:val="0"/>
            <w:color w:val="auto"/>
            <w:kern w:val="2"/>
            <w:sz w:val="24"/>
            <w:szCs w:val="24"/>
            <w:lang w:eastAsia="en-AU"/>
            <w14:ligatures w14:val="standardContextual"/>
          </w:rPr>
          <w:tab/>
        </w:r>
        <w:r w:rsidRPr="004977D3">
          <w:rPr>
            <w:rStyle w:val="Hyperlink"/>
          </w:rPr>
          <w:t>Study area and indicative connection hub for offshore wind generator connections</w:t>
        </w:r>
        <w:r>
          <w:rPr>
            <w:webHidden/>
          </w:rPr>
          <w:tab/>
        </w:r>
        <w:r>
          <w:rPr>
            <w:webHidden/>
          </w:rPr>
          <w:fldChar w:fldCharType="begin"/>
        </w:r>
        <w:r>
          <w:rPr>
            <w:webHidden/>
          </w:rPr>
          <w:instrText xml:space="preserve"> PAGEREF _Toc212023359 \h </w:instrText>
        </w:r>
        <w:r>
          <w:rPr>
            <w:webHidden/>
          </w:rPr>
        </w:r>
        <w:r>
          <w:rPr>
            <w:webHidden/>
          </w:rPr>
          <w:fldChar w:fldCharType="separate"/>
        </w:r>
        <w:r w:rsidR="004973D2">
          <w:rPr>
            <w:webHidden/>
          </w:rPr>
          <w:t>58</w:t>
        </w:r>
        <w:r>
          <w:rPr>
            <w:webHidden/>
          </w:rPr>
          <w:fldChar w:fldCharType="end"/>
        </w:r>
      </w:hyperlink>
    </w:p>
    <w:p w14:paraId="5D699048" w14:textId="732A3995" w:rsidR="004230A9" w:rsidRDefault="004230A9">
      <w:pPr>
        <w:pStyle w:val="TOC4"/>
        <w:rPr>
          <w:rFonts w:cstheme="minorBidi"/>
          <w:bCs w:val="0"/>
          <w:color w:val="auto"/>
          <w:kern w:val="2"/>
          <w:sz w:val="24"/>
          <w:szCs w:val="24"/>
          <w:lang w:eastAsia="en-AU"/>
          <w14:ligatures w14:val="standardContextual"/>
        </w:rPr>
      </w:pPr>
      <w:hyperlink w:anchor="_Toc212023360" w:history="1">
        <w:r w:rsidRPr="004977D3">
          <w:rPr>
            <w:rStyle w:val="Hyperlink"/>
          </w:rPr>
          <w:t>Figure 26</w:t>
        </w:r>
        <w:r>
          <w:rPr>
            <w:rFonts w:cstheme="minorBidi"/>
            <w:bCs w:val="0"/>
            <w:color w:val="auto"/>
            <w:kern w:val="2"/>
            <w:sz w:val="24"/>
            <w:szCs w:val="24"/>
            <w:lang w:eastAsia="en-AU"/>
            <w14:ligatures w14:val="standardContextual"/>
          </w:rPr>
          <w:tab/>
        </w:r>
        <w:r w:rsidRPr="004977D3">
          <w:rPr>
            <w:rStyle w:val="Hyperlink"/>
          </w:rPr>
          <w:t>Regulatory tests and feasibility studies in progress</w:t>
        </w:r>
        <w:r>
          <w:rPr>
            <w:webHidden/>
          </w:rPr>
          <w:tab/>
        </w:r>
        <w:r>
          <w:rPr>
            <w:webHidden/>
          </w:rPr>
          <w:fldChar w:fldCharType="begin"/>
        </w:r>
        <w:r>
          <w:rPr>
            <w:webHidden/>
          </w:rPr>
          <w:instrText xml:space="preserve"> PAGEREF _Toc212023360 \h </w:instrText>
        </w:r>
        <w:r>
          <w:rPr>
            <w:webHidden/>
          </w:rPr>
        </w:r>
        <w:r>
          <w:rPr>
            <w:webHidden/>
          </w:rPr>
          <w:fldChar w:fldCharType="separate"/>
        </w:r>
        <w:r w:rsidR="004973D2">
          <w:rPr>
            <w:webHidden/>
          </w:rPr>
          <w:t>66</w:t>
        </w:r>
        <w:r>
          <w:rPr>
            <w:webHidden/>
          </w:rPr>
          <w:fldChar w:fldCharType="end"/>
        </w:r>
      </w:hyperlink>
    </w:p>
    <w:p w14:paraId="35D1053B" w14:textId="547A956F" w:rsidR="004230A9" w:rsidRDefault="004230A9">
      <w:pPr>
        <w:pStyle w:val="TOC4"/>
        <w:rPr>
          <w:rFonts w:cstheme="minorBidi"/>
          <w:bCs w:val="0"/>
          <w:color w:val="auto"/>
          <w:kern w:val="2"/>
          <w:sz w:val="24"/>
          <w:szCs w:val="24"/>
          <w:lang w:eastAsia="en-AU"/>
          <w14:ligatures w14:val="standardContextual"/>
        </w:rPr>
      </w:pPr>
      <w:hyperlink w:anchor="_Toc212023361" w:history="1">
        <w:r w:rsidRPr="004977D3">
          <w:rPr>
            <w:rStyle w:val="Hyperlink"/>
          </w:rPr>
          <w:t>Figure 27</w:t>
        </w:r>
        <w:r>
          <w:rPr>
            <w:rFonts w:cstheme="minorBidi"/>
            <w:bCs w:val="0"/>
            <w:color w:val="auto"/>
            <w:kern w:val="2"/>
            <w:sz w:val="24"/>
            <w:szCs w:val="24"/>
            <w:lang w:eastAsia="en-AU"/>
            <w14:ligatures w14:val="standardContextual"/>
          </w:rPr>
          <w:tab/>
        </w:r>
        <w:r w:rsidRPr="004977D3">
          <w:rPr>
            <w:rStyle w:val="Hyperlink"/>
          </w:rPr>
          <w:t>Identification of network limitations – the planning cycle</w:t>
        </w:r>
        <w:r>
          <w:rPr>
            <w:webHidden/>
          </w:rPr>
          <w:tab/>
        </w:r>
        <w:r>
          <w:rPr>
            <w:webHidden/>
          </w:rPr>
          <w:fldChar w:fldCharType="begin"/>
        </w:r>
        <w:r>
          <w:rPr>
            <w:webHidden/>
          </w:rPr>
          <w:instrText xml:space="preserve"> PAGEREF _Toc212023361 \h </w:instrText>
        </w:r>
        <w:r>
          <w:rPr>
            <w:webHidden/>
          </w:rPr>
        </w:r>
        <w:r>
          <w:rPr>
            <w:webHidden/>
          </w:rPr>
          <w:fldChar w:fldCharType="separate"/>
        </w:r>
        <w:r w:rsidR="004973D2">
          <w:rPr>
            <w:webHidden/>
          </w:rPr>
          <w:t>72</w:t>
        </w:r>
        <w:r>
          <w:rPr>
            <w:webHidden/>
          </w:rPr>
          <w:fldChar w:fldCharType="end"/>
        </w:r>
      </w:hyperlink>
    </w:p>
    <w:p w14:paraId="2EC27191" w14:textId="5850D950" w:rsidR="004230A9" w:rsidRDefault="004230A9">
      <w:pPr>
        <w:pStyle w:val="TOC4"/>
        <w:rPr>
          <w:rFonts w:cstheme="minorBidi"/>
          <w:bCs w:val="0"/>
          <w:color w:val="auto"/>
          <w:kern w:val="2"/>
          <w:sz w:val="24"/>
          <w:szCs w:val="24"/>
          <w:lang w:eastAsia="en-AU"/>
          <w14:ligatures w14:val="standardContextual"/>
        </w:rPr>
      </w:pPr>
      <w:hyperlink w:anchor="_Toc212023362" w:history="1">
        <w:r w:rsidRPr="004977D3">
          <w:rPr>
            <w:rStyle w:val="Hyperlink"/>
          </w:rPr>
          <w:t>Figure 28</w:t>
        </w:r>
        <w:r>
          <w:rPr>
            <w:rFonts w:cstheme="minorBidi"/>
            <w:bCs w:val="0"/>
            <w:color w:val="auto"/>
            <w:kern w:val="2"/>
            <w:sz w:val="24"/>
            <w:szCs w:val="24"/>
            <w:lang w:eastAsia="en-AU"/>
            <w14:ligatures w14:val="standardContextual"/>
          </w:rPr>
          <w:tab/>
        </w:r>
        <w:r w:rsidRPr="004977D3">
          <w:rPr>
            <w:rStyle w:val="Hyperlink"/>
          </w:rPr>
          <w:t>Priority limitations under investigation</w:t>
        </w:r>
        <w:r>
          <w:rPr>
            <w:webHidden/>
          </w:rPr>
          <w:tab/>
        </w:r>
        <w:r>
          <w:rPr>
            <w:webHidden/>
          </w:rPr>
          <w:fldChar w:fldCharType="begin"/>
        </w:r>
        <w:r>
          <w:rPr>
            <w:webHidden/>
          </w:rPr>
          <w:instrText xml:space="preserve"> PAGEREF _Toc212023362 \h </w:instrText>
        </w:r>
        <w:r>
          <w:rPr>
            <w:webHidden/>
          </w:rPr>
        </w:r>
        <w:r>
          <w:rPr>
            <w:webHidden/>
          </w:rPr>
          <w:fldChar w:fldCharType="separate"/>
        </w:r>
        <w:r w:rsidR="004973D2">
          <w:rPr>
            <w:webHidden/>
          </w:rPr>
          <w:t>73</w:t>
        </w:r>
        <w:r>
          <w:rPr>
            <w:webHidden/>
          </w:rPr>
          <w:fldChar w:fldCharType="end"/>
        </w:r>
      </w:hyperlink>
    </w:p>
    <w:p w14:paraId="748B85F0" w14:textId="11411340" w:rsidR="004230A9" w:rsidRDefault="004230A9">
      <w:pPr>
        <w:pStyle w:val="TOC4"/>
        <w:rPr>
          <w:rFonts w:cstheme="minorBidi"/>
          <w:bCs w:val="0"/>
          <w:color w:val="auto"/>
          <w:kern w:val="2"/>
          <w:sz w:val="24"/>
          <w:szCs w:val="24"/>
          <w:lang w:eastAsia="en-AU"/>
          <w14:ligatures w14:val="standardContextual"/>
        </w:rPr>
      </w:pPr>
      <w:hyperlink w:anchor="_Toc212023363" w:history="1">
        <w:r w:rsidRPr="004977D3">
          <w:rPr>
            <w:rStyle w:val="Hyperlink"/>
          </w:rPr>
          <w:t>Figure 29</w:t>
        </w:r>
        <w:r>
          <w:rPr>
            <w:rFonts w:cstheme="minorBidi"/>
            <w:bCs w:val="0"/>
            <w:color w:val="auto"/>
            <w:kern w:val="2"/>
            <w:sz w:val="24"/>
            <w:szCs w:val="24"/>
            <w:lang w:eastAsia="en-AU"/>
            <w14:ligatures w14:val="standardContextual"/>
          </w:rPr>
          <w:tab/>
        </w:r>
        <w:r w:rsidRPr="004977D3">
          <w:rPr>
            <w:rStyle w:val="Hyperlink"/>
          </w:rPr>
          <w:t>Thermal overloading of Keilor 500/220 kV A2 and A4 transformers</w:t>
        </w:r>
        <w:r>
          <w:rPr>
            <w:webHidden/>
          </w:rPr>
          <w:tab/>
        </w:r>
        <w:r>
          <w:rPr>
            <w:webHidden/>
          </w:rPr>
          <w:fldChar w:fldCharType="begin"/>
        </w:r>
        <w:r>
          <w:rPr>
            <w:webHidden/>
          </w:rPr>
          <w:instrText xml:space="preserve"> PAGEREF _Toc212023363 \h </w:instrText>
        </w:r>
        <w:r>
          <w:rPr>
            <w:webHidden/>
          </w:rPr>
        </w:r>
        <w:r>
          <w:rPr>
            <w:webHidden/>
          </w:rPr>
          <w:fldChar w:fldCharType="separate"/>
        </w:r>
        <w:r w:rsidR="004973D2">
          <w:rPr>
            <w:webHidden/>
          </w:rPr>
          <w:t>76</w:t>
        </w:r>
        <w:r>
          <w:rPr>
            <w:webHidden/>
          </w:rPr>
          <w:fldChar w:fldCharType="end"/>
        </w:r>
      </w:hyperlink>
    </w:p>
    <w:p w14:paraId="279E4638" w14:textId="0487C7D1" w:rsidR="004230A9" w:rsidRDefault="004230A9">
      <w:pPr>
        <w:pStyle w:val="TOC4"/>
        <w:rPr>
          <w:rFonts w:cstheme="minorBidi"/>
          <w:bCs w:val="0"/>
          <w:color w:val="auto"/>
          <w:kern w:val="2"/>
          <w:sz w:val="24"/>
          <w:szCs w:val="24"/>
          <w:lang w:eastAsia="en-AU"/>
          <w14:ligatures w14:val="standardContextual"/>
        </w:rPr>
      </w:pPr>
      <w:hyperlink w:anchor="_Toc212023364" w:history="1">
        <w:r w:rsidRPr="004977D3">
          <w:rPr>
            <w:rStyle w:val="Hyperlink"/>
          </w:rPr>
          <w:t>Figure 30</w:t>
        </w:r>
        <w:r>
          <w:rPr>
            <w:rFonts w:cstheme="minorBidi"/>
            <w:bCs w:val="0"/>
            <w:color w:val="auto"/>
            <w:kern w:val="2"/>
            <w:sz w:val="24"/>
            <w:szCs w:val="24"/>
            <w:lang w:eastAsia="en-AU"/>
            <w14:ligatures w14:val="standardContextual"/>
          </w:rPr>
          <w:tab/>
        </w:r>
        <w:r w:rsidRPr="004977D3">
          <w:rPr>
            <w:rStyle w:val="Hyperlink"/>
          </w:rPr>
          <w:t>Monitored limitations</w:t>
        </w:r>
        <w:r>
          <w:rPr>
            <w:webHidden/>
          </w:rPr>
          <w:tab/>
        </w:r>
        <w:r>
          <w:rPr>
            <w:webHidden/>
          </w:rPr>
          <w:fldChar w:fldCharType="begin"/>
        </w:r>
        <w:r>
          <w:rPr>
            <w:webHidden/>
          </w:rPr>
          <w:instrText xml:space="preserve"> PAGEREF _Toc212023364 \h </w:instrText>
        </w:r>
        <w:r>
          <w:rPr>
            <w:webHidden/>
          </w:rPr>
        </w:r>
        <w:r>
          <w:rPr>
            <w:webHidden/>
          </w:rPr>
          <w:fldChar w:fldCharType="separate"/>
        </w:r>
        <w:r w:rsidR="004973D2">
          <w:rPr>
            <w:webHidden/>
          </w:rPr>
          <w:t>77</w:t>
        </w:r>
        <w:r>
          <w:rPr>
            <w:webHidden/>
          </w:rPr>
          <w:fldChar w:fldCharType="end"/>
        </w:r>
      </w:hyperlink>
    </w:p>
    <w:p w14:paraId="7DF899E6" w14:textId="4802553A" w:rsidR="004230A9" w:rsidRDefault="004230A9">
      <w:pPr>
        <w:pStyle w:val="TOC4"/>
        <w:rPr>
          <w:rFonts w:cstheme="minorBidi"/>
          <w:bCs w:val="0"/>
          <w:color w:val="auto"/>
          <w:kern w:val="2"/>
          <w:sz w:val="24"/>
          <w:szCs w:val="24"/>
          <w:lang w:eastAsia="en-AU"/>
          <w14:ligatures w14:val="standardContextual"/>
        </w:rPr>
      </w:pPr>
      <w:hyperlink w:anchor="_Toc212023365" w:history="1">
        <w:r w:rsidRPr="004977D3">
          <w:rPr>
            <w:rStyle w:val="Hyperlink"/>
          </w:rPr>
          <w:t>Figure 31</w:t>
        </w:r>
        <w:r>
          <w:rPr>
            <w:rFonts w:cstheme="minorBidi"/>
            <w:bCs w:val="0"/>
            <w:color w:val="auto"/>
            <w:kern w:val="2"/>
            <w:sz w:val="24"/>
            <w:szCs w:val="24"/>
            <w:lang w:eastAsia="en-AU"/>
            <w14:ligatures w14:val="standardContextual"/>
          </w:rPr>
          <w:tab/>
        </w:r>
        <w:r w:rsidRPr="004977D3">
          <w:rPr>
            <w:rStyle w:val="Hyperlink"/>
          </w:rPr>
          <w:t>Impact of VicGrid VTP programs on existing limitations</w:t>
        </w:r>
        <w:r>
          <w:rPr>
            <w:webHidden/>
          </w:rPr>
          <w:tab/>
        </w:r>
        <w:r>
          <w:rPr>
            <w:webHidden/>
          </w:rPr>
          <w:fldChar w:fldCharType="begin"/>
        </w:r>
        <w:r>
          <w:rPr>
            <w:webHidden/>
          </w:rPr>
          <w:instrText xml:space="preserve"> PAGEREF _Toc212023365 \h </w:instrText>
        </w:r>
        <w:r>
          <w:rPr>
            <w:webHidden/>
          </w:rPr>
        </w:r>
        <w:r>
          <w:rPr>
            <w:webHidden/>
          </w:rPr>
          <w:fldChar w:fldCharType="separate"/>
        </w:r>
        <w:r w:rsidR="004973D2">
          <w:rPr>
            <w:webHidden/>
          </w:rPr>
          <w:t>80</w:t>
        </w:r>
        <w:r>
          <w:rPr>
            <w:webHidden/>
          </w:rPr>
          <w:fldChar w:fldCharType="end"/>
        </w:r>
      </w:hyperlink>
    </w:p>
    <w:p w14:paraId="4534F84D" w14:textId="54873F1F" w:rsidR="004230A9" w:rsidRDefault="004230A9">
      <w:pPr>
        <w:pStyle w:val="TOC4"/>
        <w:rPr>
          <w:rFonts w:cstheme="minorBidi"/>
          <w:bCs w:val="0"/>
          <w:color w:val="auto"/>
          <w:kern w:val="2"/>
          <w:sz w:val="24"/>
          <w:szCs w:val="24"/>
          <w:lang w:eastAsia="en-AU"/>
          <w14:ligatures w14:val="standardContextual"/>
        </w:rPr>
      </w:pPr>
      <w:hyperlink w:anchor="_Toc212023366" w:history="1">
        <w:r w:rsidRPr="004977D3">
          <w:rPr>
            <w:rStyle w:val="Hyperlink"/>
          </w:rPr>
          <w:t>Figure 32</w:t>
        </w:r>
        <w:r>
          <w:rPr>
            <w:rFonts w:cstheme="minorBidi"/>
            <w:bCs w:val="0"/>
            <w:color w:val="auto"/>
            <w:kern w:val="2"/>
            <w:sz w:val="24"/>
            <w:szCs w:val="24"/>
            <w:lang w:eastAsia="en-AU"/>
            <w14:ligatures w14:val="standardContextual"/>
          </w:rPr>
          <w:tab/>
        </w:r>
        <w:r w:rsidRPr="004977D3">
          <w:rPr>
            <w:rStyle w:val="Hyperlink"/>
          </w:rPr>
          <w:t>Possible transmission augmentations to meet needs of large load connections</w:t>
        </w:r>
        <w:r>
          <w:rPr>
            <w:webHidden/>
          </w:rPr>
          <w:tab/>
        </w:r>
        <w:r>
          <w:rPr>
            <w:webHidden/>
          </w:rPr>
          <w:fldChar w:fldCharType="begin"/>
        </w:r>
        <w:r>
          <w:rPr>
            <w:webHidden/>
          </w:rPr>
          <w:instrText xml:space="preserve"> PAGEREF _Toc212023366 \h </w:instrText>
        </w:r>
        <w:r>
          <w:rPr>
            <w:webHidden/>
          </w:rPr>
        </w:r>
        <w:r>
          <w:rPr>
            <w:webHidden/>
          </w:rPr>
          <w:fldChar w:fldCharType="separate"/>
        </w:r>
        <w:r w:rsidR="004973D2">
          <w:rPr>
            <w:webHidden/>
          </w:rPr>
          <w:t>82</w:t>
        </w:r>
        <w:r>
          <w:rPr>
            <w:webHidden/>
          </w:rPr>
          <w:fldChar w:fldCharType="end"/>
        </w:r>
      </w:hyperlink>
    </w:p>
    <w:p w14:paraId="33394AC6" w14:textId="1C26839B" w:rsidR="008E620E" w:rsidRPr="00D44CF2" w:rsidRDefault="00DE7D80" w:rsidP="00C70B3F">
      <w:pPr>
        <w:pStyle w:val="BodyText"/>
      </w:pPr>
      <w:r w:rsidRPr="00D44CF2">
        <w:fldChar w:fldCharType="end"/>
      </w:r>
    </w:p>
    <w:p w14:paraId="00A9A557" w14:textId="77777777" w:rsidR="0003054F" w:rsidRPr="00D44CF2" w:rsidRDefault="0003054F" w:rsidP="00C70B3F">
      <w:pPr>
        <w:pStyle w:val="BodyText"/>
      </w:pPr>
    </w:p>
    <w:p w14:paraId="46AF1302" w14:textId="77777777" w:rsidR="0003054F" w:rsidRPr="00D44CF2" w:rsidRDefault="0003054F" w:rsidP="00C70B3F">
      <w:pPr>
        <w:pStyle w:val="BodyText"/>
        <w:sectPr w:rsidR="0003054F" w:rsidRPr="00D44CF2" w:rsidSect="00AE5141">
          <w:headerReference w:type="default" r:id="rId22"/>
          <w:pgSz w:w="11907" w:h="16840" w:code="9"/>
          <w:pgMar w:top="1985" w:right="907" w:bottom="1418" w:left="907" w:header="788" w:footer="471" w:gutter="0"/>
          <w:cols w:space="708"/>
          <w:docGrid w:linePitch="360"/>
        </w:sectPr>
      </w:pPr>
    </w:p>
    <w:p w14:paraId="27FDECB3" w14:textId="77777777" w:rsidR="0003054F" w:rsidRPr="00D44CF2" w:rsidRDefault="0003054F" w:rsidP="0003054F">
      <w:pPr>
        <w:pStyle w:val="Heading1"/>
      </w:pPr>
      <w:bookmarkStart w:id="9" w:name="_Toc180159676"/>
      <w:bookmarkStart w:id="10" w:name="_Toc212023267"/>
      <w:r w:rsidRPr="00D44CF2">
        <w:lastRenderedPageBreak/>
        <w:t>Introduction</w:t>
      </w:r>
      <w:bookmarkEnd w:id="9"/>
      <w:bookmarkEnd w:id="10"/>
    </w:p>
    <w:p w14:paraId="536E5649" w14:textId="77777777" w:rsidR="0003054F" w:rsidRPr="00D44CF2" w:rsidRDefault="0003054F" w:rsidP="0003054F">
      <w:pPr>
        <w:pStyle w:val="HeadlineStatement"/>
        <w:rPr>
          <w:rFonts w:eastAsiaTheme="majorEastAsia"/>
          <w:szCs w:val="26"/>
        </w:rPr>
      </w:pPr>
      <w:bookmarkStart w:id="11" w:name="_Toc90538508"/>
      <w:bookmarkStart w:id="12" w:name="_Toc94021888"/>
      <w:r w:rsidRPr="00D44CF2">
        <w:t>This section outlines the purpose and summarises the content of the 2025 VAPR.</w:t>
      </w:r>
    </w:p>
    <w:p w14:paraId="4AF0FE65" w14:textId="77777777" w:rsidR="0003054F" w:rsidRPr="00D44CF2" w:rsidRDefault="0003054F" w:rsidP="0003054F">
      <w:pPr>
        <w:pStyle w:val="Heading2"/>
      </w:pPr>
      <w:bookmarkStart w:id="13" w:name="_Toc180159677"/>
      <w:bookmarkStart w:id="14" w:name="_Toc212023268"/>
      <w:bookmarkEnd w:id="11"/>
      <w:bookmarkEnd w:id="12"/>
      <w:r w:rsidRPr="00D44CF2">
        <w:t>Purpose and scope of the 2025 VAPR</w:t>
      </w:r>
      <w:bookmarkEnd w:id="13"/>
      <w:bookmarkEnd w:id="14"/>
    </w:p>
    <w:p w14:paraId="1A5C344C" w14:textId="5B25EF8D" w:rsidR="0003054F" w:rsidRPr="00D44CF2" w:rsidRDefault="0003054F" w:rsidP="0003054F">
      <w:pPr>
        <w:pStyle w:val="BodyText"/>
      </w:pPr>
      <w:r w:rsidRPr="00D44CF2">
        <w:t xml:space="preserve">The 2025 VAPR provides useful information to stakeholders about the Victorian electricity transmission DSN. It assesses the adequacy of the DSN over a 10-year planning horizon to ensure the DSN meets network performance requirements to supply electricity to Victorian consumers in a secure and reliable manner. </w:t>
      </w:r>
      <w:r w:rsidR="006801E2" w:rsidRPr="00D44CF2">
        <w:t xml:space="preserve">The VAPR </w:t>
      </w:r>
      <w:r w:rsidR="005A337C" w:rsidRPr="00D44CF2">
        <w:t xml:space="preserve">compliments the </w:t>
      </w:r>
      <w:r w:rsidR="006801E2" w:rsidRPr="00D44CF2">
        <w:t>VTP</w:t>
      </w:r>
      <w:r w:rsidR="006E7BFC" w:rsidRPr="00D44CF2">
        <w:t xml:space="preserve"> </w:t>
      </w:r>
      <w:r w:rsidR="005A337C" w:rsidRPr="00D44CF2">
        <w:t>(</w:t>
      </w:r>
      <w:r w:rsidR="006E7BFC" w:rsidRPr="00D44CF2">
        <w:t>which focuses on developing REZ</w:t>
      </w:r>
      <w:r w:rsidR="007A6B3F" w:rsidRPr="00D44CF2">
        <w:t>s</w:t>
      </w:r>
      <w:r w:rsidR="006E7BFC" w:rsidRPr="00D44CF2">
        <w:t xml:space="preserve"> over </w:t>
      </w:r>
      <w:r w:rsidR="0066384B" w:rsidRPr="00D44CF2">
        <w:t xml:space="preserve">a </w:t>
      </w:r>
      <w:r w:rsidR="00963534" w:rsidRPr="00D44CF2">
        <w:t>25-year</w:t>
      </w:r>
      <w:r w:rsidR="0066384B" w:rsidRPr="00D44CF2">
        <w:t xml:space="preserve"> period</w:t>
      </w:r>
      <w:r w:rsidR="005A337C" w:rsidRPr="00D44CF2">
        <w:t>)</w:t>
      </w:r>
      <w:r w:rsidR="006801E2" w:rsidRPr="00D44CF2">
        <w:t xml:space="preserve"> by providing more frequent updates </w:t>
      </w:r>
      <w:r w:rsidR="005A337C" w:rsidRPr="00D44CF2">
        <w:t>in</w:t>
      </w:r>
      <w:r w:rsidR="006801E2" w:rsidRPr="00D44CF2">
        <w:t xml:space="preserve"> the shorter</w:t>
      </w:r>
      <w:r w:rsidR="005A337C" w:rsidRPr="00D44CF2">
        <w:t xml:space="preserve"> </w:t>
      </w:r>
      <w:r w:rsidR="00963534" w:rsidRPr="00D44CF2">
        <w:t>10-year</w:t>
      </w:r>
      <w:r w:rsidR="005A337C" w:rsidRPr="00D44CF2">
        <w:t xml:space="preserve"> planning horizon to address</w:t>
      </w:r>
      <w:r w:rsidR="006801E2" w:rsidRPr="00D44CF2">
        <w:t xml:space="preserve"> changes in the network</w:t>
      </w:r>
      <w:r w:rsidR="00ED4340" w:rsidRPr="00D44CF2">
        <w:t xml:space="preserve"> between VTP publications. The VAPR also takes</w:t>
      </w:r>
      <w:r w:rsidR="006801E2" w:rsidRPr="00D44CF2">
        <w:t xml:space="preserve"> inputs from the reforms coming from the VTIF</w:t>
      </w:r>
      <w:r w:rsidR="00ED4340" w:rsidRPr="00D44CF2">
        <w:t xml:space="preserve"> and reflects them </w:t>
      </w:r>
      <w:r w:rsidR="00963534" w:rsidRPr="00D44CF2">
        <w:t>annually in the Transmission Development Plan for Victoria.</w:t>
      </w:r>
    </w:p>
    <w:p w14:paraId="5E4F05A6" w14:textId="77777777" w:rsidR="0003054F" w:rsidRPr="00D44CF2" w:rsidRDefault="0003054F" w:rsidP="0003054F">
      <w:pPr>
        <w:pStyle w:val="BodyText"/>
      </w:pPr>
      <w:r w:rsidRPr="00D44CF2">
        <w:t xml:space="preserve">The VAPR presents the Transmission Development Plan for Victoria while identifying network limitations for further investigation. </w:t>
      </w:r>
    </w:p>
    <w:p w14:paraId="18989A6F" w14:textId="77777777" w:rsidR="0003054F" w:rsidRPr="00D44CF2" w:rsidRDefault="0003054F" w:rsidP="0003054F">
      <w:pPr>
        <w:pStyle w:val="BodyText"/>
      </w:pPr>
      <w:r w:rsidRPr="00D44CF2">
        <w:t>To assess the adequacy of the DSN over the 10-year planning horizon, the VAPR takes into account:</w:t>
      </w:r>
    </w:p>
    <w:p w14:paraId="316941BB" w14:textId="77777777" w:rsidR="0003054F" w:rsidRPr="00D44CF2" w:rsidRDefault="0003054F" w:rsidP="0003054F">
      <w:pPr>
        <w:pStyle w:val="ListBullet"/>
        <w:numPr>
          <w:ilvl w:val="0"/>
          <w:numId w:val="30"/>
        </w:numPr>
      </w:pPr>
      <w:r w:rsidRPr="00D44CF2">
        <w:t xml:space="preserve">the most recent demand forecasts (2024 AEMO Connection Point demand forecast and 2025 </w:t>
      </w:r>
      <w:r w:rsidRPr="00D44CF2">
        <w:rPr>
          <w:i/>
          <w:iCs/>
        </w:rPr>
        <w:t>Electricity Statement of Opportunities</w:t>
      </w:r>
      <w:r w:rsidRPr="00D44CF2">
        <w:t xml:space="preserve"> (ESOO) regional demand forecasts</w:t>
      </w:r>
      <w:r w:rsidRPr="00D44CF2">
        <w:rPr>
          <w:vertAlign w:val="superscript"/>
        </w:rPr>
        <w:footnoteReference w:id="9"/>
      </w:r>
      <w:r w:rsidRPr="00D44CF2">
        <w:t>),</w:t>
      </w:r>
    </w:p>
    <w:p w14:paraId="2E0B7F9F" w14:textId="77777777" w:rsidR="0003054F" w:rsidRPr="00D44CF2" w:rsidRDefault="0003054F" w:rsidP="0003054F">
      <w:pPr>
        <w:pStyle w:val="ListBullet"/>
        <w:numPr>
          <w:ilvl w:val="0"/>
          <w:numId w:val="30"/>
        </w:numPr>
      </w:pPr>
      <w:r w:rsidRPr="00D44CF2">
        <w:t>generation plant and retirement information using the July 2025 update on AEMO’s Generation Information web page</w:t>
      </w:r>
      <w:r w:rsidRPr="00D44CF2">
        <w:rPr>
          <w:vertAlign w:val="superscript"/>
        </w:rPr>
        <w:footnoteReference w:id="10"/>
      </w:r>
      <w:r w:rsidRPr="00D44CF2">
        <w:t>, Register of Large Generators Victoria</w:t>
      </w:r>
      <w:r w:rsidRPr="00D44CF2">
        <w:rPr>
          <w:rStyle w:val="FootnoteReference"/>
        </w:rPr>
        <w:footnoteReference w:id="11"/>
      </w:r>
      <w:r w:rsidRPr="00D44CF2">
        <w:t>, and AVP Internal connections project information,</w:t>
      </w:r>
    </w:p>
    <w:p w14:paraId="0A2BC4B1" w14:textId="77777777" w:rsidR="0003054F" w:rsidRPr="00D44CF2" w:rsidRDefault="0003054F" w:rsidP="0003054F">
      <w:pPr>
        <w:pStyle w:val="ListBullet"/>
        <w:numPr>
          <w:ilvl w:val="0"/>
          <w:numId w:val="30"/>
        </w:numPr>
      </w:pPr>
      <w:r w:rsidRPr="00D44CF2">
        <w:t xml:space="preserve">committed, anticipated and future </w:t>
      </w:r>
      <w:r w:rsidRPr="00D44CF2">
        <w:rPr>
          <w:i/>
          <w:iCs/>
        </w:rPr>
        <w:t>Integrated System Plan</w:t>
      </w:r>
      <w:r w:rsidRPr="00D44CF2">
        <w:t xml:space="preserve"> (ISP) projects (from AEMO’s Transmission Augmentation Information page</w:t>
      </w:r>
      <w:r w:rsidRPr="00D44CF2">
        <w:rPr>
          <w:vertAlign w:val="superscript"/>
        </w:rPr>
        <w:footnoteReference w:id="12"/>
      </w:r>
      <w:r w:rsidRPr="00D44CF2">
        <w:t xml:space="preserve">), </w:t>
      </w:r>
    </w:p>
    <w:p w14:paraId="4C256A2E" w14:textId="43397EFA" w:rsidR="0003054F" w:rsidRPr="00D44CF2" w:rsidRDefault="0003054F" w:rsidP="0003054F">
      <w:pPr>
        <w:pStyle w:val="ListBullet"/>
        <w:numPr>
          <w:ilvl w:val="0"/>
          <w:numId w:val="30"/>
        </w:numPr>
      </w:pPr>
      <w:r w:rsidRPr="00D44CF2">
        <w:t xml:space="preserve">projects from the final 2025 VTP </w:t>
      </w:r>
      <w:r w:rsidR="0087228F" w:rsidRPr="00D44CF2">
        <w:rPr>
          <w:rStyle w:val="FootnoteReference"/>
        </w:rPr>
        <w:footnoteReference w:id="13"/>
      </w:r>
      <w:r w:rsidRPr="00D44CF2">
        <w:t>and other network/non-network projects initiated by VicGrid</w:t>
      </w:r>
      <w:r w:rsidRPr="00D44CF2">
        <w:rPr>
          <w:rStyle w:val="FootnoteReference"/>
        </w:rPr>
        <w:footnoteReference w:id="14"/>
      </w:r>
      <w:r w:rsidRPr="00D44CF2">
        <w:t>,</w:t>
      </w:r>
    </w:p>
    <w:p w14:paraId="5267432C" w14:textId="475AEA90" w:rsidR="0003054F" w:rsidRPr="00D44CF2" w:rsidRDefault="0003054F" w:rsidP="0003054F">
      <w:pPr>
        <w:pStyle w:val="ListBullet"/>
        <w:numPr>
          <w:ilvl w:val="0"/>
          <w:numId w:val="30"/>
        </w:numPr>
      </w:pPr>
      <w:r w:rsidRPr="00D44CF2">
        <w:t>committed distribution augmentations identified in the 2024 Transmission Connection Planning Report</w:t>
      </w:r>
      <w:r w:rsidRPr="00D44CF2">
        <w:rPr>
          <w:vertAlign w:val="superscript"/>
        </w:rPr>
        <w:footnoteReference w:id="15"/>
      </w:r>
      <w:r w:rsidRPr="00D44CF2">
        <w:t xml:space="preserve"> prepared by the Victorian </w:t>
      </w:r>
      <w:r w:rsidR="0027242F" w:rsidRPr="00D44CF2">
        <w:t>distribution network service providers (</w:t>
      </w:r>
      <w:r w:rsidRPr="00D44CF2">
        <w:t>DNSPs</w:t>
      </w:r>
      <w:r w:rsidR="0027242F" w:rsidRPr="00D44CF2">
        <w:t>)</w:t>
      </w:r>
      <w:r w:rsidRPr="00D44CF2">
        <w:t>, and</w:t>
      </w:r>
    </w:p>
    <w:p w14:paraId="5E88CE5E" w14:textId="0167E0B1" w:rsidR="0003054F" w:rsidRPr="00D44CF2" w:rsidRDefault="0003054F" w:rsidP="0003054F">
      <w:pPr>
        <w:pStyle w:val="ListBullet"/>
      </w:pPr>
      <w:r w:rsidRPr="00D44CF2">
        <w:t xml:space="preserve">committed asset retirements and deratings as per the 2025 DSTOs’ Asset Renewal Plans. </w:t>
      </w:r>
    </w:p>
    <w:p w14:paraId="4161CEC1" w14:textId="77777777" w:rsidR="0003054F" w:rsidRPr="00D44CF2" w:rsidRDefault="0003054F" w:rsidP="0003054F">
      <w:pPr>
        <w:pStyle w:val="BodyText"/>
      </w:pPr>
      <w:r w:rsidRPr="00D44CF2">
        <w:t xml:space="preserve">With this assessment, AVP updates its Transmission Development Plan for Victoria, which outlines the strategy for Victoria to provide a transmission system which best meets the needs of the DSN’s stakeholders. </w:t>
      </w:r>
    </w:p>
    <w:p w14:paraId="60459D73" w14:textId="204AF4F0" w:rsidR="0003054F" w:rsidRPr="00D44CF2" w:rsidRDefault="0003054F" w:rsidP="0003054F">
      <w:pPr>
        <w:pStyle w:val="BodyText"/>
      </w:pPr>
      <w:r w:rsidRPr="00D44CF2">
        <w:lastRenderedPageBreak/>
        <w:t>This plan builds on the national plan developed through AEMO’s ISP and VicGrid’s VTP. The VAPR provides insights relating to the DSN’s performance, supply and demand changes and forecasts for the next decade, emerging DSN changes to address network needs, and the AVP’s Transmission Development Plan for the DSN, with a particular focus on developments most likely to deliver positive net economic benefits to energy consumers, to facilitate the establishment of REZs or where corrective action is required to keep the DSN reliable and secure.  </w:t>
      </w:r>
    </w:p>
    <w:p w14:paraId="69B62EB9" w14:textId="4540AB5B" w:rsidR="0003054F" w:rsidRPr="00D44CF2" w:rsidRDefault="0003054F" w:rsidP="0003054F">
      <w:pPr>
        <w:spacing w:after="0"/>
        <w:textAlignment w:val="baseline"/>
      </w:pPr>
      <w:r w:rsidRPr="00D44CF2">
        <w:t xml:space="preserve">The Annual Planning Review undertaken by AVP and presented in this report has considered the policy initiatives and directives of the Federal Government and Victorian Government (see Section </w:t>
      </w:r>
      <w:r w:rsidRPr="00D44CF2">
        <w:fldChar w:fldCharType="begin"/>
      </w:r>
      <w:r w:rsidRPr="00D44CF2">
        <w:instrText xml:space="preserve"> REF _Ref177637239 \r \h  \* MERGEFORMAT </w:instrText>
      </w:r>
      <w:r w:rsidRPr="00D44CF2">
        <w:fldChar w:fldCharType="separate"/>
      </w:r>
      <w:r w:rsidR="004973D2">
        <w:t>2.4</w:t>
      </w:r>
      <w:r w:rsidRPr="00D44CF2">
        <w:fldChar w:fldCharType="end"/>
      </w:r>
      <w:r w:rsidRPr="00D44CF2">
        <w:t>) in</w:t>
      </w:r>
      <w:r w:rsidRPr="00D44CF2" w:rsidDel="00E91410">
        <w:t xml:space="preserve"> </w:t>
      </w:r>
      <w:r w:rsidRPr="00D44CF2">
        <w:t>identifying network limitations for the next 10 years and proposing solutions to those limitations in the Transmission Development Plan for Victoria.</w:t>
      </w:r>
    </w:p>
    <w:p w14:paraId="0D2B6945" w14:textId="77777777" w:rsidR="0003054F" w:rsidRPr="00D44CF2" w:rsidRDefault="0003054F" w:rsidP="0003054F">
      <w:pPr>
        <w:pStyle w:val="Heading2"/>
      </w:pPr>
      <w:bookmarkStart w:id="15" w:name="_Toc180159678"/>
      <w:bookmarkStart w:id="16" w:name="_Toc212023269"/>
      <w:r w:rsidRPr="00D44CF2">
        <w:t>Roles and responsibilities</w:t>
      </w:r>
      <w:bookmarkEnd w:id="15"/>
      <w:bookmarkEnd w:id="16"/>
    </w:p>
    <w:p w14:paraId="55722B6C" w14:textId="77777777" w:rsidR="0003054F" w:rsidRPr="00D44CF2" w:rsidRDefault="0003054F" w:rsidP="0003054F">
      <w:pPr>
        <w:pStyle w:val="Heading3"/>
      </w:pPr>
      <w:r w:rsidRPr="00D44CF2">
        <w:t>AEMO Victorian Planning (AVP)</w:t>
      </w:r>
    </w:p>
    <w:p w14:paraId="17F8A049" w14:textId="77777777" w:rsidR="0003054F" w:rsidRPr="00D44CF2" w:rsidRDefault="0003054F" w:rsidP="0003054F">
      <w:pPr>
        <w:pStyle w:val="BodyText"/>
      </w:pPr>
      <w:r w:rsidRPr="00D44CF2">
        <w:t>AVP currently holds the role of transmission network service provider (TNSP) planner in the jurisdiction of Victoria.</w:t>
      </w:r>
      <w:r w:rsidRPr="00D44CF2" w:rsidDel="001F49C4">
        <w:t xml:space="preserve"> </w:t>
      </w:r>
      <w:r w:rsidRPr="00D44CF2">
        <w:t>While there are multiple DTSOs in Victoria, AVP is responsible for planning and directing augmentation of the DSN in Victoria</w:t>
      </w:r>
      <w:r w:rsidRPr="00D44CF2">
        <w:rPr>
          <w:rStyle w:val="FootnoteReference"/>
        </w:rPr>
        <w:footnoteReference w:id="16"/>
      </w:r>
      <w:r w:rsidRPr="00D44CF2">
        <w:t>.</w:t>
      </w:r>
    </w:p>
    <w:p w14:paraId="3829C006" w14:textId="77777777" w:rsidR="0003054F" w:rsidRPr="00D44CF2" w:rsidRDefault="0003054F" w:rsidP="0003054F">
      <w:pPr>
        <w:pStyle w:val="BodyText"/>
      </w:pPr>
      <w:r w:rsidRPr="00D44CF2">
        <w:t>The National Electricity Rules (NER) require all jurisdictional planning bodies of the NEM to undertake an Annual Planning Review followed by publishing a Transmission Annual Planning Report (TAPR) by 31 October each year, as outlined in NER 5.12.1 and 5.12.2 respectively.</w:t>
      </w:r>
    </w:p>
    <w:p w14:paraId="34B8862A" w14:textId="77777777" w:rsidR="0003054F" w:rsidRPr="00D44CF2" w:rsidRDefault="0003054F" w:rsidP="0003054F">
      <w:pPr>
        <w:pStyle w:val="BodyText"/>
      </w:pPr>
      <w:r w:rsidRPr="00D44CF2">
        <w:t>Other obligations and responsibilities that AVP holds as the Jurisdictional Planning Body for Victoria include:</w:t>
      </w:r>
    </w:p>
    <w:p w14:paraId="25FFC6E3" w14:textId="77777777" w:rsidR="0003054F" w:rsidRPr="00D44CF2" w:rsidRDefault="0003054F" w:rsidP="0003054F">
      <w:pPr>
        <w:pStyle w:val="ListBullet"/>
        <w:numPr>
          <w:ilvl w:val="0"/>
          <w:numId w:val="31"/>
        </w:numPr>
      </w:pPr>
      <w:r w:rsidRPr="00D44CF2">
        <w:t>initiating network investment for cost-effective solutions for consumers, including conducting RIT-Ts on potential transmission network and non-network projects, and</w:t>
      </w:r>
    </w:p>
    <w:p w14:paraId="607DACD5" w14:textId="77777777" w:rsidR="0003054F" w:rsidRPr="00D44CF2" w:rsidRDefault="0003054F" w:rsidP="0003054F">
      <w:pPr>
        <w:pStyle w:val="ListBullet"/>
        <w:numPr>
          <w:ilvl w:val="0"/>
          <w:numId w:val="31"/>
        </w:numPr>
      </w:pPr>
      <w:r w:rsidRPr="00D44CF2">
        <w:t>undertaking joint planning with Victorian DTSOs and DNSPs, AEMO National Planning and neighbouring TNSPs.</w:t>
      </w:r>
    </w:p>
    <w:p w14:paraId="505C5453" w14:textId="77777777" w:rsidR="0003054F" w:rsidRPr="00D44CF2" w:rsidRDefault="0003054F" w:rsidP="0003054F">
      <w:pPr>
        <w:pStyle w:val="Heading3"/>
      </w:pPr>
      <w:bookmarkStart w:id="17" w:name="_Ref179383623"/>
      <w:r w:rsidRPr="00D44CF2">
        <w:t>VicGrid</w:t>
      </w:r>
      <w:bookmarkEnd w:id="17"/>
    </w:p>
    <w:p w14:paraId="011BD20B" w14:textId="77777777" w:rsidR="0003054F" w:rsidRPr="00D44CF2" w:rsidRDefault="0003054F" w:rsidP="0003054F">
      <w:r w:rsidRPr="00D44CF2">
        <w:t xml:space="preserve">VicGrid is a Victorian government agency established under the </w:t>
      </w:r>
      <w:r w:rsidRPr="00D44CF2">
        <w:rPr>
          <w:i/>
          <w:iCs/>
        </w:rPr>
        <w:t>State Owned Enterprises Act</w:t>
      </w:r>
      <w:r w:rsidRPr="00D44CF2">
        <w:t xml:space="preserve"> </w:t>
      </w:r>
      <w:r w:rsidRPr="00D44CF2">
        <w:rPr>
          <w:i/>
          <w:iCs/>
        </w:rPr>
        <w:t>(1992)</w:t>
      </w:r>
      <w:r w:rsidRPr="00D44CF2">
        <w:t xml:space="preserve"> that was initially established as part of the Department of Energy Environment and Climate Action (DEECA) to</w:t>
      </w:r>
      <w:r w:rsidRPr="00D44CF2">
        <w:rPr>
          <w:b/>
          <w:bCs/>
        </w:rPr>
        <w:t xml:space="preserve"> </w:t>
      </w:r>
      <w:r w:rsidRPr="00D44CF2">
        <w:t>coordinate the overarching planning and development of Victorian REZs.</w:t>
      </w:r>
    </w:p>
    <w:p w14:paraId="235593F7" w14:textId="77777777" w:rsidR="0003054F" w:rsidRPr="00D44CF2" w:rsidRDefault="0003054F" w:rsidP="0003054F">
      <w:r w:rsidRPr="00D44CF2">
        <w:t xml:space="preserve">In May 2024, an amendment to the </w:t>
      </w:r>
      <w:r w:rsidRPr="00D44CF2">
        <w:rPr>
          <w:i/>
          <w:iCs/>
        </w:rPr>
        <w:t>National Electricity (Victoria) Act 2005</w:t>
      </w:r>
      <w:r w:rsidRPr="00D44CF2">
        <w:t xml:space="preserve"> (NEVA) legislated the establishment of VicGrid as a statutory authority with the following responsibilities</w:t>
      </w:r>
      <w:r w:rsidRPr="00D44CF2">
        <w:rPr>
          <w:rStyle w:val="FootnoteReference"/>
        </w:rPr>
        <w:footnoteReference w:id="17"/>
      </w:r>
      <w:r w:rsidRPr="00D44CF2">
        <w:t>:</w:t>
      </w:r>
    </w:p>
    <w:p w14:paraId="251A2567" w14:textId="77777777" w:rsidR="0003054F" w:rsidRPr="00D44CF2" w:rsidRDefault="0003054F" w:rsidP="0003054F">
      <w:pPr>
        <w:pStyle w:val="ListBullet"/>
        <w:numPr>
          <w:ilvl w:val="0"/>
          <w:numId w:val="32"/>
        </w:numPr>
      </w:pPr>
      <w:r w:rsidRPr="00D44CF2">
        <w:t>coordinating the planning and development of REZ infrastructure,</w:t>
      </w:r>
    </w:p>
    <w:p w14:paraId="7719A802" w14:textId="77777777" w:rsidR="0003054F" w:rsidRPr="00D44CF2" w:rsidRDefault="0003054F" w:rsidP="0003054F">
      <w:pPr>
        <w:pStyle w:val="ListBullet"/>
        <w:numPr>
          <w:ilvl w:val="0"/>
          <w:numId w:val="32"/>
        </w:numPr>
      </w:pPr>
      <w:r w:rsidRPr="00D44CF2">
        <w:t>investing in projects to strengthen and modernise Victoria’s energy grid,</w:t>
      </w:r>
    </w:p>
    <w:p w14:paraId="2E4F5724" w14:textId="0924459A" w:rsidR="0003054F" w:rsidRPr="00D44CF2" w:rsidRDefault="0003054F" w:rsidP="0003054F">
      <w:pPr>
        <w:pStyle w:val="ListBullet"/>
        <w:numPr>
          <w:ilvl w:val="0"/>
          <w:numId w:val="32"/>
        </w:numPr>
      </w:pPr>
      <w:r w:rsidRPr="00D44CF2">
        <w:lastRenderedPageBreak/>
        <w:t>changing the planning and development framework of the electricity transmission infrastructure in Victoria to ensure it benefits all Victorians, through the</w:t>
      </w:r>
      <w:r w:rsidR="002C2589" w:rsidRPr="00D44CF2">
        <w:t xml:space="preserve"> </w:t>
      </w:r>
      <w:r w:rsidRPr="00D44CF2">
        <w:t>VTIF</w:t>
      </w:r>
      <w:r w:rsidR="002C2589" w:rsidRPr="00D44CF2">
        <w:t>,</w:t>
      </w:r>
    </w:p>
    <w:p w14:paraId="34CECC6E" w14:textId="77777777" w:rsidR="0003054F" w:rsidRPr="00D44CF2" w:rsidRDefault="0003054F" w:rsidP="0003054F">
      <w:pPr>
        <w:pStyle w:val="ListBullet"/>
        <w:numPr>
          <w:ilvl w:val="0"/>
          <w:numId w:val="32"/>
        </w:numPr>
      </w:pPr>
      <w:r w:rsidRPr="00D44CF2">
        <w:t>coordinating the delivery of the transmission required to connect new offshore wind resources to the grid,</w:t>
      </w:r>
    </w:p>
    <w:p w14:paraId="7C857551" w14:textId="77777777" w:rsidR="0003054F" w:rsidRPr="00D44CF2" w:rsidRDefault="0003054F" w:rsidP="0003054F">
      <w:pPr>
        <w:pStyle w:val="ListBullet"/>
        <w:numPr>
          <w:ilvl w:val="0"/>
          <w:numId w:val="32"/>
        </w:numPr>
      </w:pPr>
      <w:r w:rsidRPr="00D44CF2">
        <w:t>working with AVP to deliver major infrastructure upgrades, and</w:t>
      </w:r>
    </w:p>
    <w:p w14:paraId="26F2B111" w14:textId="77777777" w:rsidR="0003054F" w:rsidRPr="00D44CF2" w:rsidRDefault="0003054F" w:rsidP="0003054F">
      <w:pPr>
        <w:pStyle w:val="ListBullet"/>
        <w:numPr>
          <w:ilvl w:val="0"/>
          <w:numId w:val="32"/>
        </w:numPr>
      </w:pPr>
      <w:r w:rsidRPr="00D44CF2">
        <w:t>providing information to communities.</w:t>
      </w:r>
    </w:p>
    <w:p w14:paraId="477FB0C4" w14:textId="77777777" w:rsidR="0003054F" w:rsidRPr="00D44CF2" w:rsidRDefault="0003054F" w:rsidP="0003054F">
      <w:pPr>
        <w:pStyle w:val="BodyText"/>
      </w:pPr>
      <w:r w:rsidRPr="00D44CF2">
        <w:t xml:space="preserve">In September 2025, the </w:t>
      </w:r>
      <w:r w:rsidRPr="00D44CF2">
        <w:rPr>
          <w:i/>
          <w:iCs/>
        </w:rPr>
        <w:t xml:space="preserve">National Electricity (Victoria) Amendment (VicGrid Stage 2 Reform) Bill 2025 </w:t>
      </w:r>
      <w:r w:rsidRPr="00D44CF2">
        <w:t>received royal assent, which will make the necessary changes to the</w:t>
      </w:r>
      <w:r w:rsidRPr="00D44CF2" w:rsidDel="0058022A">
        <w:rPr>
          <w:i/>
          <w:iCs/>
        </w:rPr>
        <w:t xml:space="preserve"> </w:t>
      </w:r>
      <w:r w:rsidRPr="00D44CF2">
        <w:t>NEVA to transfer the Victorian network declared functions from AEMO to VicGrid. These functions include:</w:t>
      </w:r>
    </w:p>
    <w:p w14:paraId="08AD3602" w14:textId="77777777" w:rsidR="0003054F" w:rsidRPr="00D44CF2" w:rsidRDefault="0003054F" w:rsidP="0003054F">
      <w:pPr>
        <w:pStyle w:val="ListBullet"/>
      </w:pPr>
      <w:r w:rsidRPr="00D44CF2">
        <w:t>to plan, authorise, contract for, and direct, augmentation of the DSN,</w:t>
      </w:r>
    </w:p>
    <w:p w14:paraId="77FDA64B" w14:textId="77777777" w:rsidR="0003054F" w:rsidRPr="00D44CF2" w:rsidRDefault="0003054F" w:rsidP="0003054F">
      <w:pPr>
        <w:pStyle w:val="ListBullet"/>
      </w:pPr>
      <w:r w:rsidRPr="00D44CF2">
        <w:t>to provide information about the planning processes for augmentation of the DSN,</w:t>
      </w:r>
    </w:p>
    <w:p w14:paraId="58E17498" w14:textId="77777777" w:rsidR="0003054F" w:rsidRPr="00D44CF2" w:rsidRDefault="0003054F" w:rsidP="0003054F">
      <w:pPr>
        <w:pStyle w:val="ListBullet"/>
      </w:pPr>
      <w:r w:rsidRPr="00D44CF2">
        <w:t>to provide information and other services to facilitate decisions for investment and the use of resources in the adoptive jurisdiction's electricity industry,</w:t>
      </w:r>
    </w:p>
    <w:p w14:paraId="5C42D40B" w14:textId="77777777" w:rsidR="0003054F" w:rsidRPr="00D44CF2" w:rsidRDefault="0003054F" w:rsidP="0003054F">
      <w:pPr>
        <w:pStyle w:val="ListBullet"/>
      </w:pPr>
      <w:r w:rsidRPr="00D44CF2">
        <w:t>to provide shared transmission services by means of, or in connection with, the DSN,</w:t>
      </w:r>
    </w:p>
    <w:p w14:paraId="0ACD8842" w14:textId="77777777" w:rsidR="0003054F" w:rsidRPr="00D44CF2" w:rsidRDefault="0003054F" w:rsidP="0003054F">
      <w:pPr>
        <w:pStyle w:val="ListBullet"/>
      </w:pPr>
      <w:r w:rsidRPr="00D44CF2">
        <w:t>any other functions, related to the declared transmission system or electricity network services provided by means of or in connection with the declared transmission system, conferred on it under the National Electricity Law (NEL), and</w:t>
      </w:r>
    </w:p>
    <w:p w14:paraId="09F112CA" w14:textId="77777777" w:rsidR="0003054F" w:rsidRPr="00D44CF2" w:rsidRDefault="0003054F" w:rsidP="0003054F">
      <w:pPr>
        <w:pStyle w:val="ListBullet"/>
      </w:pPr>
      <w:r w:rsidRPr="00D44CF2">
        <w:t>any other functions, related to the declared transmission system or electricity network services provided by means of or in connection with the declared transmission system, conferred on it under a law of the adoptive jurisdiction.</w:t>
      </w:r>
    </w:p>
    <w:p w14:paraId="006A7573" w14:textId="69D87D48" w:rsidR="0003054F" w:rsidRPr="00D44CF2" w:rsidRDefault="0003054F" w:rsidP="0003054F">
      <w:pPr>
        <w:pStyle w:val="BodyText"/>
      </w:pPr>
      <w:r w:rsidRPr="00D44CF2">
        <w:t>It is anticipated that transfer of Victorian network declared functions from AEMO to VicGrid will occur on 1 November 2025 and that this VAPR will be the final VAPR published by AEMO</w:t>
      </w:r>
      <w:r w:rsidR="00D73E28" w:rsidRPr="00D44CF2">
        <w:t xml:space="preserve"> as the </w:t>
      </w:r>
      <w:r w:rsidR="002A1877" w:rsidRPr="00D44CF2">
        <w:t>TNSP planner in Victoria</w:t>
      </w:r>
      <w:r w:rsidRPr="00D44CF2">
        <w:t>.</w:t>
      </w:r>
    </w:p>
    <w:p w14:paraId="0F287ABF" w14:textId="77777777" w:rsidR="0003054F" w:rsidRPr="00D44CF2" w:rsidRDefault="0003054F" w:rsidP="0003054F">
      <w:pPr>
        <w:pStyle w:val="Heading4"/>
      </w:pPr>
      <w:r w:rsidRPr="00D44CF2">
        <w:t>Victorian Transmission Investment Framework (VTIF)</w:t>
      </w:r>
      <w:r w:rsidRPr="00D44CF2">
        <w:rPr>
          <w:vertAlign w:val="superscript"/>
        </w:rPr>
        <w:footnoteReference w:id="18"/>
      </w:r>
    </w:p>
    <w:p w14:paraId="1EF9AD2F" w14:textId="77777777" w:rsidR="0003054F" w:rsidRPr="00D44CF2" w:rsidRDefault="0003054F" w:rsidP="0003054F">
      <w:pPr>
        <w:pStyle w:val="BodyText"/>
        <w:ind w:right="-113"/>
      </w:pPr>
      <w:r w:rsidRPr="00D44CF2">
        <w:t>In March 2024, the Victorian Government finalised legislation introducing the VTIF, a new regulatory framework with a comprehensive set of reforms to support the state’s energy transition. VTIF is an integrated approach for planning and delivering electricity transmission infrastructure on a coordinated basis that will support development of REZs across Victoria.</w:t>
      </w:r>
    </w:p>
    <w:p w14:paraId="6B75A11A" w14:textId="77777777" w:rsidR="0003054F" w:rsidRPr="00D44CF2" w:rsidRDefault="0003054F" w:rsidP="0003054F">
      <w:pPr>
        <w:pStyle w:val="Heading4"/>
      </w:pPr>
      <w:r w:rsidRPr="00D44CF2">
        <w:t>Victorian Transmission Plan (VTP)</w:t>
      </w:r>
    </w:p>
    <w:p w14:paraId="1AB24D68" w14:textId="77777777" w:rsidR="0003054F" w:rsidRPr="00D44CF2" w:rsidRDefault="0003054F" w:rsidP="0003054F">
      <w:pPr>
        <w:pStyle w:val="BodyText"/>
        <w:tabs>
          <w:tab w:val="num" w:pos="426"/>
        </w:tabs>
        <w:spacing w:before="100" w:after="60"/>
      </w:pPr>
      <w:r w:rsidRPr="00D44CF2">
        <w:t>Under the new VTIF framework, VicGrid will develop the VTP as a 25-year comprehensive strategic plan for Victorian transmission and REZ development. VicGrid published the 2024 VTP Guidelines in September 2024. In May 2025, VicGrid published the first draft VTP, which allowed for public consultation before the 2025 VTP was published in August 2025</w:t>
      </w:r>
      <w:r w:rsidRPr="00D44CF2">
        <w:rPr>
          <w:rStyle w:val="FootnoteReference"/>
        </w:rPr>
        <w:footnoteReference w:id="19"/>
      </w:r>
      <w:r w:rsidRPr="00D44CF2">
        <w:t xml:space="preserve">. </w:t>
      </w:r>
    </w:p>
    <w:p w14:paraId="455060AE" w14:textId="77777777" w:rsidR="0003054F" w:rsidRPr="00D44CF2" w:rsidRDefault="0003054F" w:rsidP="0003054F">
      <w:pPr>
        <w:pStyle w:val="BodyText"/>
        <w:tabs>
          <w:tab w:val="num" w:pos="426"/>
        </w:tabs>
        <w:spacing w:before="100" w:after="60"/>
        <w:rPr>
          <w:rFonts w:ascii="Arial Nova" w:eastAsia="Arial Nova" w:hAnsi="Arial Nova" w:cs="Arial Nova"/>
          <w:szCs w:val="20"/>
        </w:rPr>
      </w:pPr>
      <w:r w:rsidRPr="00D44CF2">
        <w:t xml:space="preserve">The first VTP covered a planning horizon of 15 years, with future VTP publications covering the full 25-year planning horizon. The VTP </w:t>
      </w:r>
      <w:r w:rsidRPr="00D44CF2">
        <w:rPr>
          <w:rFonts w:ascii="Arial Nova" w:eastAsia="Arial Nova" w:hAnsi="Arial Nova" w:cs="Arial Nova"/>
          <w:szCs w:val="20"/>
        </w:rPr>
        <w:t xml:space="preserve">offers a new approach to planning that considers important factors including land use, </w:t>
      </w:r>
      <w:r w:rsidRPr="00D44CF2">
        <w:rPr>
          <w:rFonts w:ascii="Arial Nova" w:eastAsia="Arial Nova" w:hAnsi="Arial Nova" w:cs="Arial Nova"/>
          <w:szCs w:val="20"/>
        </w:rPr>
        <w:lastRenderedPageBreak/>
        <w:t>environmental impacts and community views much earlier in the process. This aims to minimise impacts to regional communities, landholders and rights holders, keep costs low for consumers, and give industry the certainty it needs to invest in the renewable energy Victoria requires for the future.</w:t>
      </w:r>
    </w:p>
    <w:p w14:paraId="3799BB25" w14:textId="77777777" w:rsidR="0003054F" w:rsidRPr="00D44CF2" w:rsidRDefault="0003054F" w:rsidP="0003054F">
      <w:pPr>
        <w:pStyle w:val="Heading2"/>
        <w:spacing w:after="240"/>
      </w:pPr>
      <w:bookmarkStart w:id="18" w:name="_Toc180159679"/>
      <w:bookmarkStart w:id="19" w:name="_Toc212023270"/>
      <w:r w:rsidRPr="00D44CF2">
        <w:t>Structure of the 2025 VAPR</w:t>
      </w:r>
      <w:bookmarkEnd w:id="18"/>
      <w:bookmarkEnd w:id="19"/>
    </w:p>
    <w:p w14:paraId="1FAD3C4E" w14:textId="130DF152" w:rsidR="0003054F" w:rsidRPr="00D44CF2" w:rsidRDefault="0003054F" w:rsidP="0003054F">
      <w:pPr>
        <w:pStyle w:val="BodyText"/>
      </w:pPr>
      <w:r w:rsidRPr="00D44CF2">
        <w:t xml:space="preserve">The 2025 VAPR consists of three main sections and is supported by a number of documents as listed in Section </w:t>
      </w:r>
      <w:r w:rsidRPr="00D44CF2">
        <w:fldChar w:fldCharType="begin"/>
      </w:r>
      <w:r w:rsidRPr="00D44CF2">
        <w:instrText xml:space="preserve"> REF _Ref180389952 \r \h  \* MERGEFORMAT </w:instrText>
      </w:r>
      <w:r w:rsidRPr="00D44CF2">
        <w:fldChar w:fldCharType="separate"/>
      </w:r>
      <w:r w:rsidR="004973D2">
        <w:t>1.5</w:t>
      </w:r>
      <w:r w:rsidRPr="00D44CF2">
        <w:fldChar w:fldCharType="end"/>
      </w:r>
      <w:r w:rsidRPr="00D44CF2">
        <w:t>:</w:t>
      </w:r>
    </w:p>
    <w:p w14:paraId="53EF4936" w14:textId="379B2FC2" w:rsidR="0003054F" w:rsidRPr="00D44CF2" w:rsidRDefault="0003054F" w:rsidP="0003054F">
      <w:pPr>
        <w:pStyle w:val="ListBullet"/>
        <w:numPr>
          <w:ilvl w:val="0"/>
          <w:numId w:val="33"/>
        </w:numPr>
      </w:pPr>
      <w:r w:rsidRPr="00D44CF2">
        <w:rPr>
          <w:b/>
        </w:rPr>
        <w:t xml:space="preserve">Section </w:t>
      </w:r>
      <w:r w:rsidRPr="00D44CF2">
        <w:rPr>
          <w:b/>
        </w:rPr>
        <w:fldChar w:fldCharType="begin"/>
      </w:r>
      <w:r w:rsidRPr="00D44CF2">
        <w:rPr>
          <w:b/>
        </w:rPr>
        <w:instrText xml:space="preserve"> REF _Ref177639420 \n \h  \* MERGEFORMAT </w:instrText>
      </w:r>
      <w:r w:rsidRPr="00D44CF2">
        <w:rPr>
          <w:b/>
        </w:rPr>
      </w:r>
      <w:r w:rsidRPr="00D44CF2">
        <w:rPr>
          <w:b/>
        </w:rPr>
        <w:fldChar w:fldCharType="separate"/>
      </w:r>
      <w:r w:rsidR="004973D2">
        <w:rPr>
          <w:b/>
        </w:rPr>
        <w:t>2</w:t>
      </w:r>
      <w:r w:rsidRPr="00D44CF2">
        <w:rPr>
          <w:b/>
        </w:rPr>
        <w:fldChar w:fldCharType="end"/>
      </w:r>
      <w:r w:rsidRPr="00D44CF2">
        <w:rPr>
          <w:b/>
        </w:rPr>
        <w:t xml:space="preserve"> – Drivers of the energy transition in Victoria </w:t>
      </w:r>
      <w:r w:rsidRPr="00D44CF2">
        <w:t>outlines the overall context for this review of the Victorian DSN, including the changing nature of supply and demand, the need for resilience in the power system, and policy and regulatory updates.</w:t>
      </w:r>
    </w:p>
    <w:p w14:paraId="1DD88465" w14:textId="7AB07D15" w:rsidR="0003054F" w:rsidRPr="00D44CF2" w:rsidRDefault="0003054F" w:rsidP="0003054F">
      <w:pPr>
        <w:pStyle w:val="ListBullet"/>
        <w:numPr>
          <w:ilvl w:val="0"/>
          <w:numId w:val="33"/>
        </w:numPr>
      </w:pPr>
      <w:r w:rsidRPr="00D44CF2">
        <w:rPr>
          <w:b/>
        </w:rPr>
        <w:t xml:space="preserve">Section </w:t>
      </w:r>
      <w:r w:rsidRPr="00D44CF2">
        <w:rPr>
          <w:b/>
        </w:rPr>
        <w:fldChar w:fldCharType="begin"/>
      </w:r>
      <w:r w:rsidRPr="00D44CF2">
        <w:rPr>
          <w:b/>
        </w:rPr>
        <w:instrText xml:space="preserve"> REF _Ref177639457 \n \h  \* MERGEFORMAT </w:instrText>
      </w:r>
      <w:r w:rsidRPr="00D44CF2">
        <w:rPr>
          <w:b/>
        </w:rPr>
      </w:r>
      <w:r w:rsidRPr="00D44CF2">
        <w:rPr>
          <w:b/>
        </w:rPr>
        <w:fldChar w:fldCharType="separate"/>
      </w:r>
      <w:r w:rsidR="004973D2">
        <w:rPr>
          <w:b/>
        </w:rPr>
        <w:t>3</w:t>
      </w:r>
      <w:r w:rsidRPr="00D44CF2">
        <w:rPr>
          <w:b/>
        </w:rPr>
        <w:fldChar w:fldCharType="end"/>
      </w:r>
      <w:r w:rsidRPr="00D44CF2">
        <w:rPr>
          <w:b/>
        </w:rPr>
        <w:t xml:space="preserve"> – Victoria’s Transmission Network Development Plan </w:t>
      </w:r>
      <w:r w:rsidRPr="00D44CF2">
        <w:t>provides an update on network development activities and regulatory investment tests that have progressed since the 2024 VAPR.</w:t>
      </w:r>
    </w:p>
    <w:p w14:paraId="165BE020" w14:textId="77777777" w:rsidR="0003054F" w:rsidRPr="00D44CF2" w:rsidRDefault="0003054F" w:rsidP="0003054F">
      <w:pPr>
        <w:pStyle w:val="ListBullet"/>
        <w:numPr>
          <w:ilvl w:val="0"/>
          <w:numId w:val="33"/>
        </w:numPr>
      </w:pPr>
      <w:r w:rsidRPr="00D44CF2">
        <w:rPr>
          <w:b/>
        </w:rPr>
        <w:t xml:space="preserve">Section 4 – Future outlook of the Victorian DSN </w:t>
      </w:r>
      <w:r w:rsidRPr="00D44CF2">
        <w:rPr>
          <w:bCs/>
        </w:rPr>
        <w:t xml:space="preserve">provides a forecast of </w:t>
      </w:r>
      <w:r w:rsidRPr="00D44CF2">
        <w:t>DSN limitations for the planning horizon and proposes potential solutions. This section also contains information about ongoing activities for system security planning, control schemes required to manage DSN performance, and joint planning activities with other network service providers (NSPs). </w:t>
      </w:r>
    </w:p>
    <w:p w14:paraId="5DB1DF66" w14:textId="77777777" w:rsidR="0003054F" w:rsidRPr="00D44CF2" w:rsidRDefault="0003054F" w:rsidP="0003054F">
      <w:pPr>
        <w:pStyle w:val="ListBullet"/>
        <w:numPr>
          <w:ilvl w:val="0"/>
          <w:numId w:val="33"/>
        </w:numPr>
      </w:pPr>
      <w:r w:rsidRPr="00D44CF2">
        <w:rPr>
          <w:b/>
          <w:bCs/>
        </w:rPr>
        <w:t xml:space="preserve">Appendix A1 </w:t>
      </w:r>
      <w:r w:rsidRPr="00D44CF2">
        <w:t>outlines the government policies and initiatives that have been considered in the VAPR.</w:t>
      </w:r>
    </w:p>
    <w:p w14:paraId="0BD4399A" w14:textId="77777777" w:rsidR="0003054F" w:rsidRPr="00D44CF2" w:rsidRDefault="0003054F" w:rsidP="0003054F">
      <w:pPr>
        <w:pStyle w:val="ListBullet"/>
        <w:numPr>
          <w:ilvl w:val="0"/>
          <w:numId w:val="33"/>
        </w:numPr>
      </w:pPr>
      <w:r w:rsidRPr="00D44CF2">
        <w:rPr>
          <w:b/>
          <w:bCs/>
        </w:rPr>
        <w:t>Appendix A2</w:t>
      </w:r>
      <w:r w:rsidRPr="00D44CF2">
        <w:t xml:space="preserve"> summarises AVP’s approach to the network limitation review.</w:t>
      </w:r>
    </w:p>
    <w:p w14:paraId="67B291D9" w14:textId="77777777" w:rsidR="0003054F" w:rsidRPr="00D44CF2" w:rsidRDefault="0003054F" w:rsidP="0003054F">
      <w:pPr>
        <w:pStyle w:val="ListBullet"/>
        <w:numPr>
          <w:ilvl w:val="0"/>
          <w:numId w:val="33"/>
        </w:numPr>
      </w:pPr>
      <w:r w:rsidRPr="00D44CF2">
        <w:rPr>
          <w:b/>
          <w:bCs/>
        </w:rPr>
        <w:t xml:space="preserve">Appendix A3 </w:t>
      </w:r>
      <w:r w:rsidRPr="00D44CF2">
        <w:t>summarises the forecast changes to the network that have been considered in identifying future limitations.</w:t>
      </w:r>
    </w:p>
    <w:p w14:paraId="489227EB" w14:textId="77777777" w:rsidR="0003054F" w:rsidRPr="00D44CF2" w:rsidRDefault="0003054F" w:rsidP="0003054F">
      <w:pPr>
        <w:pStyle w:val="ListBullet"/>
        <w:numPr>
          <w:ilvl w:val="0"/>
          <w:numId w:val="33"/>
        </w:numPr>
      </w:pPr>
      <w:r w:rsidRPr="00D44CF2">
        <w:rPr>
          <w:b/>
          <w:bCs/>
        </w:rPr>
        <w:t>Appendix A4</w:t>
      </w:r>
      <w:r w:rsidRPr="00D44CF2">
        <w:t xml:space="preserve"> provides details of DSN limitations, as an outcome of this review.</w:t>
      </w:r>
    </w:p>
    <w:p w14:paraId="2A124667" w14:textId="77777777" w:rsidR="0003054F" w:rsidRPr="00D44CF2" w:rsidRDefault="0003054F" w:rsidP="0003054F">
      <w:pPr>
        <w:pStyle w:val="Heading2"/>
        <w:spacing w:after="240"/>
      </w:pPr>
      <w:bookmarkStart w:id="20" w:name="_Toc180159680"/>
      <w:bookmarkStart w:id="21" w:name="_Toc212023271"/>
      <w:r w:rsidRPr="00D44CF2">
        <w:t>AVP is seeking feedback on the value of information in this report</w:t>
      </w:r>
      <w:bookmarkEnd w:id="20"/>
      <w:bookmarkEnd w:id="21"/>
    </w:p>
    <w:p w14:paraId="1A23A3B4" w14:textId="472DC581" w:rsidR="0003054F" w:rsidRPr="00D44CF2" w:rsidRDefault="0003054F" w:rsidP="0003054F">
      <w:pPr>
        <w:pStyle w:val="BodyText"/>
      </w:pPr>
      <w:r w:rsidRPr="00D44CF2">
        <w:t>AVP welcomes stakeholder submissions on the usefulness of the 2025 VAPR, and on potential improvements or additional information sources that would be valuable to stakeholders in future VAPR</w:t>
      </w:r>
      <w:r w:rsidR="00274866" w:rsidRPr="00D44CF2">
        <w:t>s</w:t>
      </w:r>
      <w:r w:rsidRPr="00D44CF2">
        <w:t>.</w:t>
      </w:r>
      <w:r w:rsidR="00032DA6" w:rsidRPr="00D44CF2">
        <w:t xml:space="preserve"> </w:t>
      </w:r>
      <w:r w:rsidR="00544751" w:rsidRPr="00D44CF2">
        <w:t xml:space="preserve">Submissions will be shared with VicGrid to inform </w:t>
      </w:r>
      <w:r w:rsidR="00274866" w:rsidRPr="00D44CF2">
        <w:t>its</w:t>
      </w:r>
      <w:r w:rsidR="00544751" w:rsidRPr="00D44CF2">
        <w:t xml:space="preserve"> 2026 </w:t>
      </w:r>
      <w:r w:rsidR="00544751" w:rsidRPr="00D44CF2">
        <w:rPr>
          <w:i/>
          <w:iCs/>
        </w:rPr>
        <w:t xml:space="preserve">Victorian Annual </w:t>
      </w:r>
      <w:r w:rsidR="006E4FCA" w:rsidRPr="00D44CF2">
        <w:rPr>
          <w:i/>
          <w:iCs/>
        </w:rPr>
        <w:t>Planning Report</w:t>
      </w:r>
      <w:r w:rsidR="006E4FCA" w:rsidRPr="00D44CF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CEEB" w:themeFill="accent1" w:themeFillTint="33"/>
        <w:tblLayout w:type="fixed"/>
        <w:tblLook w:val="04A0" w:firstRow="1" w:lastRow="0" w:firstColumn="1" w:lastColumn="0" w:noHBand="0" w:noVBand="1"/>
      </w:tblPr>
      <w:tblGrid>
        <w:gridCol w:w="10091"/>
      </w:tblGrid>
      <w:tr w:rsidR="0003054F" w:rsidRPr="00D44CF2" w14:paraId="509F343B" w14:textId="77777777" w:rsidTr="001A3F5B">
        <w:tc>
          <w:tcPr>
            <w:tcW w:w="10091" w:type="dxa"/>
            <w:shd w:val="clear" w:color="auto" w:fill="E6CEEB" w:themeFill="accent1" w:themeFillTint="33"/>
          </w:tcPr>
          <w:p w14:paraId="644BF267" w14:textId="531F3DEA" w:rsidR="0003054F" w:rsidRPr="00D44CF2" w:rsidRDefault="0003054F" w:rsidP="001A3F5B">
            <w:pPr>
              <w:pStyle w:val="BodyText"/>
            </w:pPr>
            <w:r w:rsidRPr="00D44CF2">
              <w:rPr>
                <w:b/>
                <w:bCs/>
              </w:rPr>
              <w:t>Send your written submissions to</w:t>
            </w:r>
            <w:r w:rsidRPr="00D44CF2">
              <w:rPr>
                <w:rFonts w:cs="Segoe UI"/>
                <w:b/>
                <w:bCs/>
              </w:rPr>
              <w:t> </w:t>
            </w:r>
            <w:hyperlink r:id="rId23" w:history="1">
              <w:r w:rsidRPr="00D44CF2">
                <w:rPr>
                  <w:rStyle w:val="Hyperlink"/>
                  <w:rFonts w:cs="ArialNova-Bold"/>
                  <w:b/>
                  <w:bCs/>
                  <w:szCs w:val="20"/>
                </w:rPr>
                <w:t>VIC.Planning@aemo.com.au</w:t>
              </w:r>
            </w:hyperlink>
            <w:r w:rsidRPr="00D44CF2">
              <w:rPr>
                <w:rFonts w:cs="ArialNova-Bold"/>
                <w:b/>
                <w:bCs/>
                <w:szCs w:val="20"/>
              </w:rPr>
              <w:t xml:space="preserve"> by 31 December 2025.</w:t>
            </w:r>
          </w:p>
        </w:tc>
      </w:tr>
    </w:tbl>
    <w:p w14:paraId="06A39AF9" w14:textId="2607486C" w:rsidR="0003054F" w:rsidRPr="00D44CF2" w:rsidRDefault="0003054F" w:rsidP="0003054F">
      <w:pPr>
        <w:pStyle w:val="Heading2"/>
      </w:pPr>
      <w:bookmarkStart w:id="22" w:name="_Toc180159681"/>
      <w:bookmarkStart w:id="23" w:name="_Ref180389952"/>
      <w:bookmarkStart w:id="24" w:name="_Toc212023272"/>
      <w:r w:rsidRPr="00D44CF2">
        <w:t>Supporting material</w:t>
      </w:r>
      <w:bookmarkEnd w:id="22"/>
      <w:bookmarkEnd w:id="23"/>
      <w:bookmarkEnd w:id="24"/>
    </w:p>
    <w:p w14:paraId="4D7CE646" w14:textId="1D96166B" w:rsidR="0003054F" w:rsidRPr="00D44CF2" w:rsidRDefault="009B57A2" w:rsidP="0003054F">
      <w:pPr>
        <w:pStyle w:val="BodyText"/>
      </w:pPr>
      <w:r>
        <w:rPr>
          <w:b/>
        </w:rPr>
        <w:t xml:space="preserve">Table 1 </w:t>
      </w:r>
      <w:r w:rsidRPr="009B57A2">
        <w:rPr>
          <w:bCs/>
        </w:rPr>
        <w:t>l</w:t>
      </w:r>
      <w:r w:rsidR="0003054F" w:rsidRPr="009B57A2">
        <w:rPr>
          <w:bCs/>
        </w:rPr>
        <w:t>i</w:t>
      </w:r>
      <w:r w:rsidR="0003054F" w:rsidRPr="00D44CF2">
        <w:t xml:space="preserve">sts a suite of electronic resources published by AEMO to support the content in this report. Unless otherwise indicated, these resources are published alongside the VAPR on </w:t>
      </w:r>
      <w:r w:rsidR="006F6E4D">
        <w:t>VicGrid</w:t>
      </w:r>
      <w:r w:rsidR="006F6E4D" w:rsidRPr="00D44CF2">
        <w:t xml:space="preserve">’s </w:t>
      </w:r>
      <w:r w:rsidR="0003054F" w:rsidRPr="00D44CF2">
        <w:t>website</w:t>
      </w:r>
      <w:r w:rsidR="0003054F" w:rsidRPr="00D44CF2">
        <w:rPr>
          <w:rFonts w:ascii="Arial Nova" w:eastAsia="Arial Nova" w:hAnsi="Arial Nova" w:cs="Arial Nova"/>
          <w:szCs w:val="20"/>
          <w:vertAlign w:val="superscript"/>
        </w:rPr>
        <w:footnoteReference w:id="20"/>
      </w:r>
      <w:r w:rsidR="0003054F" w:rsidRPr="00D44CF2">
        <w:t xml:space="preserve">. </w:t>
      </w:r>
    </w:p>
    <w:p w14:paraId="352309AE" w14:textId="77777777" w:rsidR="00274866" w:rsidRPr="00D44CF2" w:rsidRDefault="00274866">
      <w:pPr>
        <w:spacing w:before="0" w:after="160" w:line="259" w:lineRule="auto"/>
        <w:rPr>
          <w:rFonts w:asciiTheme="majorHAnsi" w:hAnsiTheme="majorHAnsi"/>
          <w:b/>
          <w:iCs/>
          <w:color w:val="6B3077" w:themeColor="accent1"/>
          <w:sz w:val="18"/>
          <w:szCs w:val="18"/>
        </w:rPr>
      </w:pPr>
      <w:bookmarkStart w:id="25" w:name="_Ref177475962"/>
      <w:bookmarkStart w:id="26" w:name="_Toc180655827"/>
      <w:r w:rsidRPr="00D44CF2">
        <w:br w:type="page"/>
      </w:r>
    </w:p>
    <w:p w14:paraId="4B9ADE86" w14:textId="5B2853C8" w:rsidR="0003054F" w:rsidRPr="00D44CF2" w:rsidRDefault="0003054F" w:rsidP="0003054F">
      <w:pPr>
        <w:pStyle w:val="CaptionTable"/>
        <w:ind w:left="993" w:hanging="993"/>
      </w:pPr>
      <w:bookmarkStart w:id="27" w:name="_Toc212023305"/>
      <w:r w:rsidRPr="00D44CF2">
        <w:lastRenderedPageBreak/>
        <w:t>2025 VAPR supporting resources</w:t>
      </w:r>
      <w:bookmarkEnd w:id="25"/>
      <w:bookmarkEnd w:id="26"/>
      <w:bookmarkEnd w:id="27"/>
    </w:p>
    <w:tbl>
      <w:tblPr>
        <w:tblStyle w:val="AEMO-Table4"/>
        <w:tblW w:w="0" w:type="auto"/>
        <w:tblLayout w:type="fixed"/>
        <w:tblLook w:val="06A0" w:firstRow="1" w:lastRow="0" w:firstColumn="1" w:lastColumn="0" w:noHBand="1" w:noVBand="1"/>
      </w:tblPr>
      <w:tblGrid>
        <w:gridCol w:w="2268"/>
        <w:gridCol w:w="7795"/>
      </w:tblGrid>
      <w:tr w:rsidR="0003054F" w:rsidRPr="00D44CF2" w14:paraId="5E5C6BB3" w14:textId="77777777">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268" w:type="dxa"/>
          </w:tcPr>
          <w:p w14:paraId="0F57A562" w14:textId="77777777" w:rsidR="0003054F" w:rsidRPr="00D44CF2" w:rsidRDefault="0003054F" w:rsidP="001A3F5B">
            <w:pPr>
              <w:pStyle w:val="TableText"/>
            </w:pPr>
            <w:r w:rsidRPr="00D44CF2">
              <w:t>Resource</w:t>
            </w:r>
          </w:p>
        </w:tc>
        <w:tc>
          <w:tcPr>
            <w:tcW w:w="7795" w:type="dxa"/>
          </w:tcPr>
          <w:p w14:paraId="307046E4" w14:textId="77777777" w:rsidR="0003054F" w:rsidRPr="00D44CF2" w:rsidRDefault="0003054F" w:rsidP="001A3F5B">
            <w:pPr>
              <w:pStyle w:val="TableText"/>
              <w:cnfStyle w:val="100000000000" w:firstRow="1" w:lastRow="0" w:firstColumn="0" w:lastColumn="0" w:oddVBand="0" w:evenVBand="0" w:oddHBand="0" w:evenHBand="0" w:firstRowFirstColumn="0" w:firstRowLastColumn="0" w:lastRowFirstColumn="0" w:lastRowLastColumn="0"/>
            </w:pPr>
            <w:r w:rsidRPr="00D44CF2">
              <w:t>Description</w:t>
            </w:r>
          </w:p>
        </w:tc>
      </w:tr>
      <w:tr w:rsidR="0003054F" w:rsidRPr="00D44CF2" w14:paraId="3BC8EE15"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A9C87D3" w14:textId="77777777" w:rsidR="0003054F" w:rsidRPr="00D44CF2" w:rsidRDefault="0003054F" w:rsidP="001A3F5B">
            <w:pPr>
              <w:pStyle w:val="TableText"/>
            </w:pPr>
            <w:r w:rsidRPr="00D44CF2">
              <w:rPr>
                <w:i/>
                <w:iCs/>
              </w:rPr>
              <w:t>Victorian Network Performance and Insights Report</w:t>
            </w:r>
            <w:r w:rsidRPr="00D44CF2">
              <w:t xml:space="preserve"> (VNPIR)</w:t>
            </w:r>
          </w:p>
        </w:tc>
        <w:tc>
          <w:tcPr>
            <w:tcW w:w="7795" w:type="dxa"/>
          </w:tcPr>
          <w:p w14:paraId="02135C4F" w14:textId="77777777"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pPr>
            <w:r w:rsidRPr="00D44CF2">
              <w:rPr>
                <w:rFonts w:ascii="Arial Nova" w:eastAsia="Arial Nova" w:hAnsi="Arial Nova" w:cs="Arial Nova"/>
                <w:szCs w:val="16"/>
              </w:rPr>
              <w:t xml:space="preserve">Formerly a chapter of the VAPR, this report </w:t>
            </w:r>
            <w:r w:rsidRPr="00D44CF2">
              <w:t xml:space="preserve">provides an overview and key insights of the performance of the DSN during financial year 2024-25 and reviews the capabilities and challenges of the present-day network to inform the VAPR. </w:t>
            </w:r>
          </w:p>
        </w:tc>
      </w:tr>
      <w:tr w:rsidR="0003054F" w:rsidRPr="00D44CF2" w14:paraId="23C4D4E1"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26627BFE" w14:textId="77777777" w:rsidR="0003054F" w:rsidRPr="00D44CF2" w:rsidRDefault="0003054F" w:rsidP="001A3F5B">
            <w:pPr>
              <w:pStyle w:val="TableText"/>
            </w:pPr>
            <w:r w:rsidRPr="00D44CF2">
              <w:t>Historical DSN rating and loading workbook</w:t>
            </w:r>
          </w:p>
        </w:tc>
        <w:tc>
          <w:tcPr>
            <w:tcW w:w="7795" w:type="dxa"/>
          </w:tcPr>
          <w:p w14:paraId="2B3B7A05" w14:textId="77777777"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Cs w:val="16"/>
              </w:rPr>
            </w:pPr>
            <w:r w:rsidRPr="00D44CF2">
              <w:rPr>
                <w:rFonts w:ascii="Arial Nova" w:eastAsia="Arial Nova" w:hAnsi="Arial Nova" w:cs="Arial Nova"/>
                <w:szCs w:val="16"/>
              </w:rPr>
              <w:t xml:space="preserve">Ratings and loadings for the 2024-25 maximum demand and high export periods presented in Section 4 of the VNPIR. </w:t>
            </w:r>
          </w:p>
        </w:tc>
      </w:tr>
      <w:tr w:rsidR="0003054F" w:rsidRPr="00D44CF2" w14:paraId="11F9D83E"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1278504" w14:textId="77777777" w:rsidR="0003054F" w:rsidRPr="00D44CF2" w:rsidRDefault="0003054F" w:rsidP="001A3F5B">
            <w:pPr>
              <w:pStyle w:val="TableText"/>
            </w:pPr>
            <w:r w:rsidRPr="00D44CF2">
              <w:t>AusNet Services 2025 asset renewal plan</w:t>
            </w:r>
          </w:p>
        </w:tc>
        <w:tc>
          <w:tcPr>
            <w:tcW w:w="7795" w:type="dxa"/>
          </w:tcPr>
          <w:p w14:paraId="7426DD04" w14:textId="77777777"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Cs w:val="16"/>
              </w:rPr>
            </w:pPr>
            <w:r w:rsidRPr="00D44CF2">
              <w:rPr>
                <w:rFonts w:ascii="Arial Nova" w:eastAsia="Arial Nova" w:hAnsi="Arial Nova" w:cs="Arial Nova"/>
                <w:szCs w:val="16"/>
              </w:rPr>
              <w:t xml:space="preserve">AusNet Services’ transmission asset renewal process provides a list of planned asset renewal projects, including asset retirements and de-ratings for the next 10-year period, including changes since last year and the options considered. </w:t>
            </w:r>
          </w:p>
        </w:tc>
      </w:tr>
      <w:tr w:rsidR="0003054F" w:rsidRPr="00D44CF2" w14:paraId="6AD2B669"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8E98AAE" w14:textId="77777777" w:rsidR="0003054F" w:rsidRPr="00D44CF2" w:rsidRDefault="0003054F" w:rsidP="001A3F5B">
            <w:pPr>
              <w:pStyle w:val="TableText"/>
            </w:pPr>
            <w:r w:rsidRPr="00D44CF2">
              <w:t xml:space="preserve">Asset related datasets </w:t>
            </w:r>
          </w:p>
        </w:tc>
        <w:tc>
          <w:tcPr>
            <w:tcW w:w="7795" w:type="dxa"/>
          </w:tcPr>
          <w:p w14:paraId="727A0BFA" w14:textId="77777777" w:rsidR="0003054F" w:rsidRPr="00D44CF2" w:rsidRDefault="0003054F" w:rsidP="00ED64AB">
            <w:pPr>
              <w:pStyle w:val="TableBullet"/>
              <w:cnfStyle w:val="000000000000" w:firstRow="0" w:lastRow="0" w:firstColumn="0" w:lastColumn="0" w:oddVBand="0" w:evenVBand="0" w:oddHBand="0" w:evenHBand="0" w:firstRowFirstColumn="0" w:firstRowLastColumn="0" w:lastRowFirstColumn="0" w:lastRowLastColumn="0"/>
            </w:pPr>
            <w:r w:rsidRPr="00D44CF2">
              <w:t>Transmission connection point data for each transmission terminal station where primary station assets are associated with an actual or forecast emerging network limitation.</w:t>
            </w:r>
          </w:p>
          <w:p w14:paraId="4F2A5CB2" w14:textId="77777777" w:rsidR="0003054F" w:rsidRPr="00D44CF2" w:rsidRDefault="0003054F"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Transmission line segment data for each transmission line between terminal stations that are associated with a historical or emerging line capacity limitation. </w:t>
            </w:r>
          </w:p>
          <w:p w14:paraId="273301A4" w14:textId="77777777" w:rsidR="0003054F" w:rsidRPr="00D44CF2" w:rsidRDefault="0003054F"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Aggregated generation connection data for each connection application or new (completed over the last 12 months) connection agreement at terminal stations or areas where the connections could affect existing or emerging network limitations. </w:t>
            </w:r>
          </w:p>
        </w:tc>
      </w:tr>
      <w:tr w:rsidR="0003054F" w:rsidRPr="00D44CF2" w14:paraId="040B016D"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0ACBF13" w14:textId="77777777" w:rsidR="0003054F" w:rsidRPr="00D44CF2" w:rsidRDefault="0003054F" w:rsidP="001A3F5B">
            <w:pPr>
              <w:pStyle w:val="TableText"/>
            </w:pPr>
            <w:r w:rsidRPr="00D44CF2">
              <w:t xml:space="preserve">2024 Victorian Connections Point Demand Forecast </w:t>
            </w:r>
          </w:p>
        </w:tc>
        <w:tc>
          <w:tcPr>
            <w:tcW w:w="7795" w:type="dxa"/>
          </w:tcPr>
          <w:p w14:paraId="6E2B0927" w14:textId="77777777"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Cs w:val="16"/>
              </w:rPr>
            </w:pPr>
            <w:r w:rsidRPr="00D44CF2">
              <w:rPr>
                <w:rFonts w:ascii="Arial Nova" w:eastAsia="Arial Nova" w:hAnsi="Arial Nova" w:cs="Arial Nova"/>
                <w:szCs w:val="16"/>
              </w:rPr>
              <w:t>AEMO’s internal maximum and minimum demand forecasts for the Victorian connection points.</w:t>
            </w:r>
          </w:p>
        </w:tc>
      </w:tr>
      <w:tr w:rsidR="0003054F" w:rsidRPr="00D44CF2" w14:paraId="50FFFE9B"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5426793" w14:textId="77777777" w:rsidR="0003054F" w:rsidRPr="00D44CF2" w:rsidRDefault="0003054F" w:rsidP="001A3F5B">
            <w:pPr>
              <w:pStyle w:val="TableText"/>
            </w:pPr>
            <w:r w:rsidRPr="00D44CF2">
              <w:t>System security reports</w:t>
            </w:r>
          </w:p>
        </w:tc>
        <w:tc>
          <w:tcPr>
            <w:tcW w:w="7795" w:type="dxa"/>
          </w:tcPr>
          <w:p w14:paraId="4F8C35FD" w14:textId="1882E6A8"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szCs w:val="16"/>
              </w:rPr>
            </w:pPr>
            <w:r w:rsidRPr="00D44CF2">
              <w:t>AEMO’s system strength, inertia and network support and control ancillary services (NSCAS) assessments, collectively known as the System Security Reports</w:t>
            </w:r>
            <w:r w:rsidRPr="00D44CF2">
              <w:rPr>
                <w:i/>
                <w:iCs/>
              </w:rPr>
              <w:t xml:space="preserve"> </w:t>
            </w:r>
            <w:r w:rsidRPr="00D44CF2">
              <w:t xml:space="preserve">under NER 5.20. At </w:t>
            </w:r>
            <w:hyperlink r:id="rId24" w:history="1">
              <w:r w:rsidRPr="00D44CF2">
                <w:rPr>
                  <w:rStyle w:val="Hyperlink"/>
                </w:rPr>
                <w:t>https://aemo.com.au/energy-systems/</w:t>
              </w:r>
              <w:bookmarkStart w:id="28" w:name="_Hlk78396221"/>
              <w:r w:rsidRPr="00D44CF2">
                <w:rPr>
                  <w:rFonts w:ascii="Arial" w:hAnsi="Arial" w:cs="Arial"/>
                  <w:sz w:val="14"/>
                  <w:szCs w:val="14"/>
                </w:rPr>
                <w:t>‌</w:t>
              </w:r>
              <w:bookmarkEnd w:id="28"/>
              <w:r w:rsidRPr="00D44CF2">
                <w:rPr>
                  <w:rStyle w:val="Hyperlink"/>
                </w:rPr>
                <w:t>electricity/national-electricity-market-nem/nem-forecasting-and-planning/system-security-planning</w:t>
              </w:r>
            </w:hyperlink>
            <w:r w:rsidRPr="00D44CF2">
              <w:t>.</w:t>
            </w:r>
          </w:p>
        </w:tc>
      </w:tr>
      <w:tr w:rsidR="0003054F" w:rsidRPr="00D44CF2" w14:paraId="4AB1A2B9"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07D75608" w14:textId="77777777" w:rsidR="0003054F" w:rsidRPr="00D44CF2" w:rsidRDefault="0003054F" w:rsidP="001A3F5B">
            <w:pPr>
              <w:pStyle w:val="TableText"/>
            </w:pPr>
            <w:r w:rsidRPr="00D44CF2">
              <w:t>Eastern Victoria Grid Reinforcement RIT-T PSCR</w:t>
            </w:r>
          </w:p>
        </w:tc>
        <w:tc>
          <w:tcPr>
            <w:tcW w:w="7795" w:type="dxa"/>
          </w:tcPr>
          <w:p w14:paraId="6B0C1C96" w14:textId="5EC57815"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The first publication in the Eastern Victoria Grid Reinforcement RIT-T process, at </w:t>
            </w:r>
            <w:hyperlink r:id="rId25" w:history="1">
              <w:r w:rsidR="00FC5D2E">
                <w:rPr>
                  <w:rStyle w:val="Hyperlink"/>
                  <w:szCs w:val="22"/>
                </w:rPr>
                <w:t>https://www.aemo.com.au/initiatives/major-programs/eastern-victoria-grid-reinforcement</w:t>
              </w:r>
            </w:hyperlink>
            <w:r w:rsidRPr="00D44CF2">
              <w:t>.</w:t>
            </w:r>
          </w:p>
        </w:tc>
      </w:tr>
      <w:tr w:rsidR="0003054F" w:rsidRPr="00D44CF2" w14:paraId="0056C61E"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BBC7358" w14:textId="77777777" w:rsidR="0003054F" w:rsidRPr="00D44CF2" w:rsidRDefault="0003054F" w:rsidP="001A3F5B">
            <w:pPr>
              <w:pStyle w:val="TableText"/>
            </w:pPr>
            <w:r w:rsidRPr="00D44CF2">
              <w:t>Metropolitan Melbourne Voltage Management RIT-T PACR</w:t>
            </w:r>
          </w:p>
        </w:tc>
        <w:tc>
          <w:tcPr>
            <w:tcW w:w="7795" w:type="dxa"/>
          </w:tcPr>
          <w:p w14:paraId="27A1AC2B" w14:textId="75BE9C11"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D44CF2">
              <w:t xml:space="preserve">The third and final publication in the Metropolitan Melbourne Voltage Management RIT-T process, at </w:t>
            </w:r>
            <w:hyperlink r:id="rId26" w:history="1">
              <w:r w:rsidR="008D4889">
                <w:rPr>
                  <w:rStyle w:val="Hyperlink"/>
                  <w:szCs w:val="22"/>
                </w:rPr>
                <w:t>https://www.aemo.com.au/initiatives/major-programs/metropolitan-melbourne-voltage-management-regulatory-investment-test-for-transmission</w:t>
              </w:r>
            </w:hyperlink>
            <w:r w:rsidRPr="00D44CF2">
              <w:t xml:space="preserve">. </w:t>
            </w:r>
          </w:p>
        </w:tc>
      </w:tr>
      <w:tr w:rsidR="0003054F" w:rsidRPr="00D44CF2" w14:paraId="5697BBA4"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BFB0DDF" w14:textId="77777777" w:rsidR="0003054F" w:rsidRPr="00D44CF2" w:rsidRDefault="0003054F" w:rsidP="001A3F5B">
            <w:pPr>
              <w:pStyle w:val="TableText"/>
            </w:pPr>
            <w:r w:rsidRPr="00D44CF2">
              <w:t xml:space="preserve">Victorian System Strength Requirement RIT-T PACR </w:t>
            </w:r>
          </w:p>
        </w:tc>
        <w:tc>
          <w:tcPr>
            <w:tcW w:w="7795" w:type="dxa"/>
          </w:tcPr>
          <w:p w14:paraId="094FD47F" w14:textId="28AE64EA"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D44CF2">
              <w:t xml:space="preserve">The third and final publication in the Victorian </w:t>
            </w:r>
            <w:r w:rsidR="000D5975" w:rsidRPr="00D44CF2">
              <w:t xml:space="preserve">System Strength Requirement </w:t>
            </w:r>
            <w:r w:rsidRPr="00D44CF2">
              <w:t xml:space="preserve">RIT-T process, at </w:t>
            </w:r>
            <w:hyperlink r:id="rId27" w:history="1">
              <w:r w:rsidR="00C44821">
                <w:rPr>
                  <w:rStyle w:val="Hyperlink"/>
                  <w:szCs w:val="22"/>
                </w:rPr>
                <w:t>https://www.aemo.com.au/initiatives/major-programs/victorian-system-strength-requirement-regulatory-investment-test-for-transmission</w:t>
              </w:r>
            </w:hyperlink>
            <w:r w:rsidRPr="00D44CF2">
              <w:t>.</w:t>
            </w:r>
          </w:p>
        </w:tc>
      </w:tr>
      <w:tr w:rsidR="0003054F" w:rsidRPr="00D44CF2" w14:paraId="307106EC"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6066290" w14:textId="77777777" w:rsidR="0003054F" w:rsidRPr="00D44CF2" w:rsidRDefault="0003054F" w:rsidP="001A3F5B">
            <w:pPr>
              <w:pStyle w:val="TableText"/>
            </w:pPr>
            <w:r w:rsidRPr="00D44CF2">
              <w:t>Western Metropolitan Melbourne Reinforcement RIT-T PSCR</w:t>
            </w:r>
          </w:p>
        </w:tc>
        <w:tc>
          <w:tcPr>
            <w:tcW w:w="7795" w:type="dxa"/>
          </w:tcPr>
          <w:p w14:paraId="0DFFFBF1" w14:textId="3329F542"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The first publication in the Western Metropolitan Melbourne Reinforcement RIT-T process, at </w:t>
            </w:r>
            <w:hyperlink r:id="rId28" w:history="1">
              <w:r w:rsidR="00C75BB6">
                <w:rPr>
                  <w:rStyle w:val="Hyperlink"/>
                  <w:szCs w:val="22"/>
                </w:rPr>
                <w:t>https://www.aemo.com.au/initiatives/major-programs/western-metropolitan-melbourne-reinforcement</w:t>
              </w:r>
            </w:hyperlink>
            <w:r w:rsidRPr="00D44CF2">
              <w:t>.</w:t>
            </w:r>
          </w:p>
        </w:tc>
      </w:tr>
      <w:tr w:rsidR="0003054F" w:rsidRPr="00D44CF2" w14:paraId="19998678"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B235250" w14:textId="77777777" w:rsidR="0003054F" w:rsidRPr="00D44CF2" w:rsidRDefault="0003054F" w:rsidP="001A3F5B">
            <w:pPr>
              <w:pStyle w:val="TableText"/>
            </w:pPr>
            <w:r w:rsidRPr="00D44CF2">
              <w:rPr>
                <w:i/>
                <w:iCs/>
              </w:rPr>
              <w:t>General Power System Risk Review</w:t>
            </w:r>
            <w:r w:rsidRPr="00D44CF2">
              <w:t xml:space="preserve"> (GPSRR) </w:t>
            </w:r>
          </w:p>
        </w:tc>
        <w:tc>
          <w:tcPr>
            <w:tcW w:w="7795" w:type="dxa"/>
          </w:tcPr>
          <w:p w14:paraId="1519CB50" w14:textId="72D6082D"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D44CF2">
              <w:t xml:space="preserve">An integrated, periodic review of major power system frequency risks associated with non-credible contingency events in the NEM (previously the </w:t>
            </w:r>
            <w:r w:rsidRPr="00D44CF2">
              <w:rPr>
                <w:i/>
                <w:iCs/>
              </w:rPr>
              <w:t>Power System Frequency Risk Review</w:t>
            </w:r>
            <w:r w:rsidRPr="00D44CF2">
              <w:t xml:space="preserve">). </w:t>
            </w:r>
            <w:r w:rsidRPr="00D44CF2" w:rsidDel="00950B82">
              <w:t>A</w:t>
            </w:r>
            <w:r w:rsidRPr="00D44CF2">
              <w:t xml:space="preserve">t </w:t>
            </w:r>
            <w:hyperlink r:id="rId29" w:history="1">
              <w:r w:rsidRPr="00D44CF2">
                <w:rPr>
                  <w:rStyle w:val="Hyperlink"/>
                </w:rPr>
                <w:t>https://www.aemo.com.au/energy-systems/electricity/national-electricity-market-nem/system-operations/general-power-system-risk-review</w:t>
              </w:r>
            </w:hyperlink>
            <w:r w:rsidRPr="00D44CF2">
              <w:t>.</w:t>
            </w:r>
          </w:p>
        </w:tc>
      </w:tr>
      <w:tr w:rsidR="0003054F" w:rsidRPr="00D44CF2" w14:paraId="0D461758"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1C86B3B" w14:textId="77777777" w:rsidR="0003054F" w:rsidRPr="00D44CF2" w:rsidRDefault="0003054F" w:rsidP="001A3F5B">
            <w:pPr>
              <w:pStyle w:val="TableText"/>
            </w:pPr>
            <w:r w:rsidRPr="00D44CF2">
              <w:rPr>
                <w:i/>
                <w:iCs/>
              </w:rPr>
              <w:t>Enhanced Locational Information (ELI) Report</w:t>
            </w:r>
            <w:r w:rsidRPr="00D44CF2">
              <w:t xml:space="preserve"> </w:t>
            </w:r>
          </w:p>
        </w:tc>
        <w:tc>
          <w:tcPr>
            <w:tcW w:w="7795" w:type="dxa"/>
          </w:tcPr>
          <w:p w14:paraId="70C694C4" w14:textId="0134D1EA"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Provides a consolidated set of locational information to inform decisions about where to locate projects in the NEM. At </w:t>
            </w:r>
            <w:hyperlink r:id="rId30" w:history="1">
              <w:r w:rsidRPr="00D44CF2">
                <w:rPr>
                  <w:rStyle w:val="Hyperlink"/>
                </w:rPr>
                <w:t>https://aemo.com.au/energy-systems/electricity/national-electricity-market-nem/nem-forecasting-and-planning/forecasting-and-planning-data/enhanced-locational-information</w:t>
              </w:r>
            </w:hyperlink>
            <w:r w:rsidRPr="00D44CF2">
              <w:t>.</w:t>
            </w:r>
          </w:p>
        </w:tc>
      </w:tr>
      <w:tr w:rsidR="0003054F" w:rsidRPr="00D44CF2" w14:paraId="3C7B8FC5"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4FA536C" w14:textId="77777777" w:rsidR="0003054F" w:rsidRPr="00D44CF2" w:rsidRDefault="0003054F" w:rsidP="001A3F5B">
            <w:pPr>
              <w:pStyle w:val="TableText"/>
              <w:rPr>
                <w:i/>
                <w:iCs/>
              </w:rPr>
            </w:pPr>
            <w:r w:rsidRPr="00D44CF2">
              <w:rPr>
                <w:i/>
                <w:iCs/>
              </w:rPr>
              <w:t>Electricity Network Options Report</w:t>
            </w:r>
          </w:p>
        </w:tc>
        <w:tc>
          <w:tcPr>
            <w:tcW w:w="7795" w:type="dxa"/>
          </w:tcPr>
          <w:p w14:paraId="225F48E0" w14:textId="709EE781"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Provides the electricity network options including transmission and distribution in the NEM to inform the development of the ISP. At </w:t>
            </w:r>
            <w:hyperlink r:id="rId31" w:history="1">
              <w:r w:rsidRPr="00D44CF2">
                <w:rPr>
                  <w:rStyle w:val="Hyperlink"/>
                </w:rPr>
                <w:t>https://www.aemo.com.au/consultations/current-and-closed-consultations/2025-electricity-network-options-report-consultation</w:t>
              </w:r>
            </w:hyperlink>
            <w:r w:rsidRPr="00D44CF2">
              <w:t>.</w:t>
            </w:r>
          </w:p>
        </w:tc>
      </w:tr>
      <w:tr w:rsidR="0003054F" w:rsidRPr="00D44CF2" w14:paraId="6238AA6C"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6B473C99" w14:textId="77777777" w:rsidR="0003054F" w:rsidRPr="00D44CF2" w:rsidRDefault="0003054F" w:rsidP="001A3F5B">
            <w:pPr>
              <w:pStyle w:val="TableText"/>
            </w:pPr>
            <w:r w:rsidRPr="00D44CF2">
              <w:t>ESOO</w:t>
            </w:r>
          </w:p>
        </w:tc>
        <w:tc>
          <w:tcPr>
            <w:tcW w:w="7795" w:type="dxa"/>
          </w:tcPr>
          <w:p w14:paraId="26ECB717" w14:textId="57227049"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Provides technical and market data for the NEM over a 10-year period to inform the planning and decision-making of market participants, new investors, and jurisdictional bodies. At </w:t>
            </w:r>
            <w:hyperlink r:id="rId32" w:history="1">
              <w:r w:rsidRPr="00D44CF2">
                <w:rPr>
                  <w:rStyle w:val="Hyperlink"/>
                </w:rPr>
                <w:t>https://www.aemo.com.au/energy-systems/electricity/national-electricity-market-nem/nem-forecasting-and-planning/forecasting-and-reliability/nem-electricity-statement-of-opportunities-esoo</w:t>
              </w:r>
            </w:hyperlink>
            <w:r w:rsidRPr="00D44CF2">
              <w:t>.</w:t>
            </w:r>
          </w:p>
        </w:tc>
      </w:tr>
      <w:tr w:rsidR="0003054F" w:rsidRPr="00D44CF2" w14:paraId="30A5E1B7"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2EECC80" w14:textId="77777777" w:rsidR="0003054F" w:rsidRPr="00D44CF2" w:rsidRDefault="0003054F" w:rsidP="001A3F5B">
            <w:pPr>
              <w:pStyle w:val="TableText"/>
            </w:pPr>
            <w:r w:rsidRPr="00D44CF2">
              <w:t>2024 ISP</w:t>
            </w:r>
          </w:p>
        </w:tc>
        <w:tc>
          <w:tcPr>
            <w:tcW w:w="7795" w:type="dxa"/>
          </w:tcPr>
          <w:p w14:paraId="0E28071F" w14:textId="63E4B107" w:rsidR="0003054F" w:rsidRPr="00D44CF2" w:rsidRDefault="0003054F"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 roadmap for the transition of the NEM power system to meet both consumer needs and government energy and emissions targets between now and 2050. It outlines the mix of generation, storage and network investments required meet the targets. At </w:t>
            </w:r>
            <w:hyperlink r:id="rId33" w:history="1">
              <w:r w:rsidRPr="00D44CF2">
                <w:rPr>
                  <w:rStyle w:val="Hyperlink"/>
                </w:rPr>
                <w:t>https://www.aemo.com.au/energy-systems/major-publications/integrated-system-plan-isp/2024-integrated-system-plan-isp</w:t>
              </w:r>
            </w:hyperlink>
            <w:r w:rsidRPr="00D44CF2">
              <w:t>.</w:t>
            </w:r>
          </w:p>
        </w:tc>
      </w:tr>
    </w:tbl>
    <w:p w14:paraId="66D0FED2" w14:textId="77777777" w:rsidR="0003054F" w:rsidRPr="00D44CF2" w:rsidRDefault="0003054F" w:rsidP="0003054F">
      <w:pPr>
        <w:pStyle w:val="BodyText"/>
      </w:pPr>
    </w:p>
    <w:p w14:paraId="18D05159" w14:textId="77777777" w:rsidR="0003054F" w:rsidRPr="00D44CF2" w:rsidRDefault="0003054F" w:rsidP="00C70B3F">
      <w:pPr>
        <w:pStyle w:val="BodyText"/>
        <w:sectPr w:rsidR="0003054F" w:rsidRPr="00D44CF2" w:rsidSect="00AE5141">
          <w:headerReference w:type="default" r:id="rId34"/>
          <w:pgSz w:w="11907" w:h="16840" w:code="9"/>
          <w:pgMar w:top="1985" w:right="907" w:bottom="1418" w:left="907" w:header="788" w:footer="471" w:gutter="0"/>
          <w:cols w:space="708"/>
          <w:docGrid w:linePitch="360"/>
        </w:sectPr>
      </w:pPr>
    </w:p>
    <w:p w14:paraId="4350E91E" w14:textId="77777777" w:rsidR="0066118A" w:rsidRPr="00D44CF2" w:rsidRDefault="0066118A" w:rsidP="00491C8C">
      <w:pPr>
        <w:pStyle w:val="Heading1"/>
        <w:spacing w:after="300"/>
      </w:pPr>
      <w:bookmarkStart w:id="29" w:name="_Ref177639420"/>
      <w:bookmarkStart w:id="30" w:name="_Toc180159682"/>
      <w:bookmarkStart w:id="31" w:name="_Toc212023273"/>
      <w:r w:rsidRPr="00D44CF2">
        <w:lastRenderedPageBreak/>
        <w:t>Drivers of the energy transition in Victoria</w:t>
      </w:r>
      <w:bookmarkEnd w:id="29"/>
      <w:bookmarkEnd w:id="30"/>
      <w:bookmarkEnd w:id="31"/>
    </w:p>
    <w:p w14:paraId="120BFDBE" w14:textId="77777777" w:rsidR="0066118A" w:rsidRPr="00D44CF2" w:rsidRDefault="0066118A" w:rsidP="00707D58">
      <w:pPr>
        <w:pStyle w:val="HeadlineStatement"/>
        <w:spacing w:after="60"/>
      </w:pPr>
      <w:r w:rsidRPr="00D44CF2">
        <w:t xml:space="preserve">This section outlines information about the changing energy landscape in Victoria that is relevant for transmission planning. This includes a summary of key changes in energy consumption and supply patterns and government policies, updated generation and storage projects since the publication of the 2024 VAPR, and insights from the latest demand and energy consumption forecasts for Victoria. </w:t>
      </w:r>
    </w:p>
    <w:tbl>
      <w:tblPr>
        <w:tblStyle w:val="AEMO-Table1"/>
        <w:tblW w:w="0" w:type="auto"/>
        <w:tblLayout w:type="fixed"/>
        <w:tblLook w:val="0400" w:firstRow="0" w:lastRow="0" w:firstColumn="0" w:lastColumn="0" w:noHBand="0" w:noVBand="1"/>
      </w:tblPr>
      <w:tblGrid>
        <w:gridCol w:w="10091"/>
      </w:tblGrid>
      <w:tr w:rsidR="0066118A" w:rsidRPr="00D44CF2" w14:paraId="5B5CDF5F" w14:textId="77777777" w:rsidTr="001A3F5B">
        <w:tc>
          <w:tcPr>
            <w:tcW w:w="10091" w:type="dxa"/>
            <w:tcBorders>
              <w:top w:val="nil"/>
              <w:bottom w:val="nil"/>
            </w:tcBorders>
            <w:shd w:val="clear" w:color="auto" w:fill="E6CEEB" w:themeFill="accent1" w:themeFillTint="33"/>
          </w:tcPr>
          <w:p w14:paraId="71120D54" w14:textId="77777777" w:rsidR="0066118A" w:rsidRPr="00D44CF2" w:rsidRDefault="0066118A" w:rsidP="00491C8C">
            <w:pPr>
              <w:pStyle w:val="BreakoutBoxHeading"/>
              <w:spacing w:before="100" w:after="40"/>
              <w:rPr>
                <w:b w:val="0"/>
                <w:bCs/>
              </w:rPr>
            </w:pPr>
            <w:r w:rsidRPr="00D44CF2">
              <w:t xml:space="preserve">Key insights </w:t>
            </w:r>
          </w:p>
          <w:p w14:paraId="5C964F44" w14:textId="77777777" w:rsidR="0066118A" w:rsidRPr="00D44CF2" w:rsidRDefault="0066118A" w:rsidP="001A3F5B">
            <w:pPr>
              <w:pStyle w:val="ListBullet"/>
            </w:pPr>
            <w:r w:rsidRPr="00D44CF2">
              <w:t>Victoria’s rapid energy transition is being driven by large-scale renewable energy generation, so far mostly developed in the west of the state, and strong uptake of distributed generation by consumers.</w:t>
            </w:r>
          </w:p>
          <w:p w14:paraId="0D6BD85F" w14:textId="77777777" w:rsidR="0066118A" w:rsidRPr="00D44CF2" w:rsidRDefault="0066118A" w:rsidP="001A3F5B">
            <w:pPr>
              <w:pStyle w:val="ListBullet"/>
            </w:pPr>
            <w:r w:rsidRPr="00D44CF2">
              <w:t>Victoria recorded its all-time lowest minimum operational demand of 1,504 MW on Sunday 1 January 2025. This was 60 MW lower than the previous record set last financial year. This minimum demand occurred during the daytime due to high output from distributed PV generation.</w:t>
            </w:r>
          </w:p>
          <w:p w14:paraId="7D5860DE" w14:textId="77777777" w:rsidR="0066118A" w:rsidRPr="00D44CF2" w:rsidRDefault="0066118A" w:rsidP="001A3F5B">
            <w:pPr>
              <w:pStyle w:val="ListBullet"/>
            </w:pPr>
            <w:r w:rsidRPr="00D44CF2">
              <w:rPr>
                <w:rStyle w:val="normaltextrun"/>
              </w:rPr>
              <w:t xml:space="preserve">Government policies and incentive schemes, increasing industry commitment to large-scale investments in renewable energy generation, fast-growing consumer investment in distributed renewable resources, and the application of new technologies are reshaping how Victorians use the transmission network. </w:t>
            </w:r>
          </w:p>
          <w:p w14:paraId="428912DE" w14:textId="77777777" w:rsidR="0066118A" w:rsidRPr="00D44CF2" w:rsidRDefault="0066118A" w:rsidP="001A3F5B">
            <w:pPr>
              <w:pStyle w:val="ListBullet"/>
            </w:pPr>
            <w:r w:rsidRPr="00D44CF2">
              <w:t>New generation/storage commitments since the 2024 VAPR total 840 MW of solar and wind generation, while another 997 MW of wind and solar generation connected to the DSN. Investment remains strong, particularly in BESS in the South-west, Murray River and Central Northern regions of Victoria. A total of</w:t>
            </w:r>
            <w:r w:rsidRPr="00D44CF2" w:rsidDel="00CE6FC8">
              <w:t xml:space="preserve"> </w:t>
            </w:r>
            <w:r w:rsidRPr="00D44CF2">
              <w:t>350 MW of BESS projects reached the committed stage since the 2024 VAPR</w:t>
            </w:r>
            <w:r w:rsidRPr="00D44CF2">
              <w:rPr>
                <w:rStyle w:val="FootnoteReference"/>
              </w:rPr>
              <w:footnoteReference w:id="21"/>
            </w:r>
            <w:r w:rsidRPr="00D44CF2">
              <w:t>.</w:t>
            </w:r>
          </w:p>
          <w:p w14:paraId="1FA5AFFC" w14:textId="77777777" w:rsidR="0066118A" w:rsidRPr="00D44CF2" w:rsidRDefault="0066118A" w:rsidP="001A3F5B">
            <w:pPr>
              <w:pStyle w:val="ListBullet"/>
            </w:pPr>
            <w:r w:rsidRPr="00D44CF2">
              <w:t>The maximum installed large generation capacity, together with committed generation, in the Victorian DSN as of July 2025, is 17.1 GW, consisting of:</w:t>
            </w:r>
          </w:p>
          <w:p w14:paraId="325D0827" w14:textId="77777777" w:rsidR="0066118A" w:rsidRPr="00D44CF2" w:rsidRDefault="0066118A" w:rsidP="00707D58">
            <w:pPr>
              <w:pStyle w:val="ListBullet2"/>
              <w:spacing w:before="80" w:after="40"/>
              <w:ind w:left="568" w:hanging="284"/>
            </w:pPr>
            <w:r w:rsidRPr="00D44CF2">
              <w:t xml:space="preserve">renewable generation capacity of 9.6 GW – 8.9 GW of large-scale wind, solar generation, and battery storage, and 0.7 GW of hydro generation, and </w:t>
            </w:r>
          </w:p>
          <w:p w14:paraId="360E7D16" w14:textId="77777777" w:rsidR="0066118A" w:rsidRPr="00D44CF2" w:rsidRDefault="0066118A" w:rsidP="00707D58">
            <w:pPr>
              <w:pStyle w:val="ListBullet2"/>
              <w:spacing w:before="80" w:after="40"/>
              <w:ind w:left="568" w:hanging="284"/>
            </w:pPr>
            <w:r w:rsidRPr="00D44CF2">
              <w:t>thermal generation capacity of 7.5 GW – 5.1 GW of coal generation, of which 3.9 GW is announced to be retired in the next 10 years, and 2.4 GW of gas generation.</w:t>
            </w:r>
          </w:p>
          <w:p w14:paraId="64E18251" w14:textId="314EA3AD" w:rsidR="0066118A" w:rsidRPr="00D44CF2" w:rsidRDefault="0066118A" w:rsidP="001A3F5B">
            <w:pPr>
              <w:pStyle w:val="ListBullet"/>
            </w:pPr>
            <w:r w:rsidRPr="00D44CF2">
              <w:t>Maximum demand in Victoria is projected to grow steadily through to 2030, supported by gradual increases in forecast consumption from data centres, large industrial loads (LILs</w:t>
            </w:r>
            <w:r w:rsidR="005964D0" w:rsidRPr="00D44CF2">
              <w:t>)</w:t>
            </w:r>
            <w:r w:rsidRPr="00D44CF2">
              <w:t xml:space="preserve">, and electrification. From 2030 onwards, demand growth accelerates, primarily driven by a substantial uplift in projected data centre consumption. This results in </w:t>
            </w:r>
            <w:r w:rsidRPr="00D44CF2" w:rsidDel="00DF7301">
              <w:t xml:space="preserve">a </w:t>
            </w:r>
            <w:r w:rsidRPr="00D44CF2">
              <w:t>change from the 2024 ESOO, with 50% POE maximum operational demand reaching 11.3 GW by 2034-35, approximately 723 MW higher than the corresponding forecast in the 2024 ESOO</w:t>
            </w:r>
            <w:r w:rsidRPr="00D44CF2">
              <w:rPr>
                <w:rStyle w:val="FootnoteReference"/>
              </w:rPr>
              <w:footnoteReference w:id="22"/>
            </w:r>
            <w:r w:rsidRPr="00D44CF2">
              <w:t>.</w:t>
            </w:r>
          </w:p>
          <w:p w14:paraId="3A5148A6" w14:textId="77777777" w:rsidR="0066118A" w:rsidRPr="00D44CF2" w:rsidRDefault="0066118A" w:rsidP="001A3F5B">
            <w:pPr>
              <w:pStyle w:val="ListBullet"/>
              <w:spacing w:after="0"/>
            </w:pPr>
            <w:r w:rsidRPr="00D44CF2">
              <w:t>Minimum demand is forecast to decline</w:t>
            </w:r>
            <w:r w:rsidRPr="00D44CF2">
              <w:rPr>
                <w:lang w:val="en-US"/>
              </w:rPr>
              <w:t xml:space="preserve"> rapidly, reaching 0 GW by 2029 and -2.6 GW by the end of the planning horizon.  </w:t>
            </w:r>
          </w:p>
        </w:tc>
      </w:tr>
    </w:tbl>
    <w:p w14:paraId="14F21BE7" w14:textId="77777777" w:rsidR="0066118A" w:rsidRPr="00D44CF2" w:rsidRDefault="0066118A" w:rsidP="0066118A">
      <w:pPr>
        <w:pStyle w:val="Heading2"/>
        <w:rPr>
          <w:lang w:val="en-US"/>
        </w:rPr>
      </w:pPr>
      <w:bookmarkStart w:id="32" w:name="_Toc180159683"/>
      <w:bookmarkStart w:id="33" w:name="_Toc212023274"/>
      <w:r w:rsidRPr="00D44CF2">
        <w:rPr>
          <w:lang w:val="en-US"/>
        </w:rPr>
        <w:lastRenderedPageBreak/>
        <w:t>Evolving energy consumption and supply</w:t>
      </w:r>
      <w:bookmarkEnd w:id="32"/>
      <w:bookmarkEnd w:id="33"/>
    </w:p>
    <w:p w14:paraId="27251EF9" w14:textId="77777777" w:rsidR="0066118A" w:rsidRPr="00D44CF2" w:rsidRDefault="0066118A" w:rsidP="0066118A">
      <w:pPr>
        <w:pStyle w:val="BodyText"/>
      </w:pPr>
      <w:r w:rsidRPr="00D44CF2">
        <w:rPr>
          <w:lang w:val="en-US"/>
        </w:rPr>
        <w:t>Traditional energy consumption has changed in Australian households and businesses, with the growth of non</w:t>
      </w:r>
      <w:r w:rsidRPr="00D44CF2">
        <w:rPr>
          <w:lang w:val="en-US"/>
        </w:rPr>
        <w:noBreakHyphen/>
        <w:t>conventional and smarter electricity usage patterns throughout the day.</w:t>
      </w:r>
      <w:r w:rsidRPr="00D44CF2">
        <w:t xml:space="preserve"> The energy efficiency of</w:t>
      </w:r>
      <w:r w:rsidRPr="00D44CF2">
        <w:rPr>
          <w:lang w:val="en-US"/>
        </w:rPr>
        <w:t xml:space="preserve"> </w:t>
      </w:r>
      <w:r w:rsidRPr="00D44CF2">
        <w:t>cooking, heating, and cooling is rising due to consumer choices and behavioural shifts. Consumers are managing energy in new ways through their CER, including EVs, domestic and small-scale energy storage systems, and adjustments to the operating cycles of appliances like heat pumps, air-conditioners, and hot water heaters.</w:t>
      </w:r>
    </w:p>
    <w:p w14:paraId="5621F6D2" w14:textId="37B9E644" w:rsidR="0066118A" w:rsidRPr="00D44CF2" w:rsidRDefault="0066118A" w:rsidP="0066118A">
      <w:pPr>
        <w:pStyle w:val="BodyText"/>
      </w:pPr>
      <w:r w:rsidRPr="00D44CF2">
        <w:rPr>
          <w:b/>
        </w:rPr>
        <w:fldChar w:fldCharType="begin"/>
      </w:r>
      <w:r w:rsidRPr="00D44CF2">
        <w:rPr>
          <w:b/>
        </w:rPr>
        <w:instrText xml:space="preserve"> REF _Ref179280800 \r \h  \* MERGEFORMAT </w:instrText>
      </w:r>
      <w:r w:rsidRPr="00D44CF2">
        <w:rPr>
          <w:b/>
        </w:rPr>
      </w:r>
      <w:r w:rsidRPr="00D44CF2">
        <w:rPr>
          <w:b/>
        </w:rPr>
        <w:fldChar w:fldCharType="separate"/>
      </w:r>
      <w:r w:rsidR="004973D2">
        <w:rPr>
          <w:b/>
        </w:rPr>
        <w:t>Figure 3</w:t>
      </w:r>
      <w:r w:rsidRPr="00D44CF2">
        <w:rPr>
          <w:b/>
        </w:rPr>
        <w:fldChar w:fldCharType="end"/>
      </w:r>
      <w:r w:rsidRPr="00D44CF2">
        <w:rPr>
          <w:b/>
        </w:rPr>
        <w:t xml:space="preserve"> </w:t>
      </w:r>
      <w:r w:rsidRPr="00D44CF2">
        <w:t>shows that the generation supply has become more distributed, in a change from</w:t>
      </w:r>
      <w:r w:rsidRPr="00D44CF2" w:rsidDel="009E7017">
        <w:t xml:space="preserve"> </w:t>
      </w:r>
      <w:r w:rsidRPr="00D44CF2">
        <w:t>traditional centralised generation, with generation now diversified on both the supply and user sides, and energy increasingly flowing both ways, from and towards consumers.</w:t>
      </w:r>
    </w:p>
    <w:p w14:paraId="7006B140" w14:textId="77777777" w:rsidR="0066118A" w:rsidRPr="00D44CF2" w:rsidRDefault="0066118A" w:rsidP="0066118A">
      <w:pPr>
        <w:pStyle w:val="CaptionFigure"/>
      </w:pPr>
      <w:bookmarkStart w:id="34" w:name="_Ref179280800"/>
      <w:bookmarkStart w:id="35" w:name="_Toc180159772"/>
      <w:bookmarkStart w:id="36" w:name="_Toc212023337"/>
      <w:r w:rsidRPr="00D44CF2">
        <w:t>Bi-directional flow paths in modern-day power systems</w:t>
      </w:r>
      <w:bookmarkEnd w:id="34"/>
      <w:bookmarkEnd w:id="35"/>
      <w:bookmarkEnd w:id="36"/>
    </w:p>
    <w:p w14:paraId="4BCAD1B8" w14:textId="651B8551" w:rsidR="0066118A" w:rsidRPr="00D44CF2" w:rsidRDefault="004C4896" w:rsidP="0066118A">
      <w:pPr>
        <w:pStyle w:val="BodyText"/>
        <w:rPr>
          <w:lang w:val="en-US"/>
        </w:rPr>
      </w:pPr>
      <w:r w:rsidRPr="00D44CF2">
        <w:rPr>
          <w:noProof/>
          <w:lang w:val="en-US"/>
        </w:rPr>
        <w:drawing>
          <wp:inline distT="0" distB="0" distL="0" distR="0" wp14:anchorId="1774E67C" wp14:editId="36E0044E">
            <wp:extent cx="6436905" cy="2522136"/>
            <wp:effectExtent l="0" t="0" r="2540" b="0"/>
            <wp:docPr id="1446082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6437630" cy="2522420"/>
                    </a:xfrm>
                    <a:prstGeom prst="rect">
                      <a:avLst/>
                    </a:prstGeom>
                    <a:noFill/>
                    <a:ln>
                      <a:noFill/>
                    </a:ln>
                    <a:extLst>
                      <a:ext uri="{53640926-AAD7-44D8-BBD7-CCE9431645EC}">
                        <a14:shadowObscured xmlns:a14="http://schemas.microsoft.com/office/drawing/2010/main"/>
                      </a:ext>
                    </a:extLst>
                  </pic:spPr>
                </pic:pic>
              </a:graphicData>
            </a:graphic>
          </wp:inline>
        </w:drawing>
      </w:r>
    </w:p>
    <w:p w14:paraId="3EDC6838" w14:textId="77777777" w:rsidR="0066118A" w:rsidRPr="00D44CF2" w:rsidRDefault="0066118A" w:rsidP="0066118A">
      <w:pPr>
        <w:pStyle w:val="TableFigureFootnote"/>
        <w:rPr>
          <w:lang w:val="en-US"/>
        </w:rPr>
      </w:pPr>
    </w:p>
    <w:p w14:paraId="28970729" w14:textId="66522886" w:rsidR="0066118A" w:rsidRPr="00D44CF2" w:rsidRDefault="0066118A" w:rsidP="0066118A">
      <w:pPr>
        <w:pStyle w:val="BodyText"/>
        <w:rPr>
          <w:lang w:val="en-US"/>
        </w:rPr>
      </w:pPr>
      <w:r w:rsidRPr="00D44CF2">
        <w:t xml:space="preserve">The future power system will </w:t>
      </w:r>
      <w:r w:rsidR="001758A7" w:rsidRPr="00D44CF2">
        <w:t xml:space="preserve">have </w:t>
      </w:r>
      <w:r w:rsidRPr="00D44CF2">
        <w:t xml:space="preserve">changes in energy supply and consumption patterns at different levels of the power system. </w:t>
      </w:r>
      <w:r w:rsidRPr="00D44CF2">
        <w:rPr>
          <w:lang w:val="en-US"/>
        </w:rPr>
        <w:t>These are the key changes observed in the transition towards a modern power system, including in Victoria and across the Australia’s energy markets:</w:t>
      </w:r>
    </w:p>
    <w:p w14:paraId="44FA6911" w14:textId="77777777" w:rsidR="0066118A" w:rsidRPr="00D44CF2" w:rsidRDefault="0066118A" w:rsidP="0066118A">
      <w:pPr>
        <w:pStyle w:val="ListBullet"/>
      </w:pPr>
      <w:r w:rsidRPr="00D44CF2">
        <w:t xml:space="preserve">There is ongoing growth in CER, including distributed PV generation, BESS and EVs. </w:t>
      </w:r>
    </w:p>
    <w:p w14:paraId="559D7B5B" w14:textId="20B8781D" w:rsidR="0066118A" w:rsidRPr="00D44CF2" w:rsidRDefault="001758A7" w:rsidP="0066118A">
      <w:pPr>
        <w:pStyle w:val="ListBullet"/>
      </w:pPr>
      <w:r w:rsidRPr="00D44CF2">
        <w:t>Multiple elements have the opportunity to be coordinated including through v</w:t>
      </w:r>
      <w:r w:rsidR="0066118A" w:rsidRPr="00D44CF2">
        <w:t xml:space="preserve">irtual power plants (VPPs) </w:t>
      </w:r>
      <w:r w:rsidRPr="00D44CF2">
        <w:t xml:space="preserve">which can </w:t>
      </w:r>
      <w:r w:rsidR="0066118A" w:rsidRPr="00D44CF2">
        <w:t xml:space="preserve">aggregate CER assets into larger systems, trading energy between them and the grid, and </w:t>
      </w:r>
      <w:r w:rsidRPr="00D44CF2">
        <w:t xml:space="preserve">providing broader </w:t>
      </w:r>
      <w:r w:rsidR="0066118A" w:rsidRPr="00D44CF2">
        <w:t xml:space="preserve">system benefits </w:t>
      </w:r>
      <w:r w:rsidR="00746705" w:rsidRPr="00D44CF2">
        <w:t xml:space="preserve">from </w:t>
      </w:r>
      <w:r w:rsidR="0066118A" w:rsidRPr="00D44CF2">
        <w:t xml:space="preserve">these resources </w:t>
      </w:r>
      <w:r w:rsidR="00746705" w:rsidRPr="00D44CF2">
        <w:t>depending on financial incentives, technology and communication standards, customer preferences, and market or policy arrangements</w:t>
      </w:r>
      <w:r w:rsidR="0066118A" w:rsidRPr="00D44CF2">
        <w:rPr>
          <w:rStyle w:val="FootnoteReference"/>
        </w:rPr>
        <w:footnoteReference w:id="23"/>
      </w:r>
      <w:r w:rsidR="0066118A" w:rsidRPr="00D44CF2">
        <w:t>.</w:t>
      </w:r>
    </w:p>
    <w:p w14:paraId="15922528" w14:textId="5FE4A595" w:rsidR="0066118A" w:rsidRPr="00D44CF2" w:rsidRDefault="0066118A" w:rsidP="0066118A">
      <w:pPr>
        <w:pStyle w:val="ListBullet"/>
        <w:rPr>
          <w:rFonts w:ascii="Arial Nova" w:eastAsia="Arial Nova" w:hAnsi="Arial Nova" w:cs="Times New Roman"/>
        </w:rPr>
      </w:pPr>
      <w:r w:rsidRPr="00D44CF2">
        <w:t>Operational challenges to maintain</w:t>
      </w:r>
      <w:r w:rsidRPr="00D44CF2">
        <w:rPr>
          <w:lang w:val="en-US"/>
        </w:rPr>
        <w:t xml:space="preserve"> system security and meet consumer requirements in the broader power system during low and negative demand daytime periods are growing, driven by the high levels of distributed PV relative to underlying demand. In Victoria,</w:t>
      </w:r>
      <w:r w:rsidRPr="00D44CF2">
        <w:rPr>
          <w:rFonts w:ascii="Arial Nova" w:eastAsia="Arial Nova" w:hAnsi="Arial Nova" w:cs="Times New Roman"/>
        </w:rPr>
        <w:t xml:space="preserve"> reverse power flows have occurred at a number of terminal stations, which were mainly built to supply customer loads, as a result of an increasing number of distributed generators (including distributed PV) connected at the distribution level. In 2024-25, the total hours of reverse </w:t>
      </w:r>
      <w:r w:rsidRPr="00D44CF2">
        <w:rPr>
          <w:rFonts w:ascii="Arial Nova" w:eastAsia="Arial Nova" w:hAnsi="Arial Nova" w:cs="Times New Roman"/>
        </w:rPr>
        <w:lastRenderedPageBreak/>
        <w:t>power flows</w:t>
      </w:r>
      <w:r w:rsidRPr="00D44CF2">
        <w:rPr>
          <w:rStyle w:val="FootnoteReference"/>
          <w:rFonts w:eastAsia="Arial Nova" w:cs="Times New Roman"/>
        </w:rPr>
        <w:footnoteReference w:id="24"/>
      </w:r>
      <w:r w:rsidRPr="00D44CF2">
        <w:rPr>
          <w:rFonts w:ascii="Arial Nova" w:eastAsia="Arial Nova" w:hAnsi="Arial Nova" w:cs="Times New Roman"/>
        </w:rPr>
        <w:t xml:space="preserve"> increased by 11% compared to 2023-24. </w:t>
      </w:r>
      <w:r w:rsidRPr="00D44CF2">
        <w:t xml:space="preserve">More co-ordinated approaches with DNSPs will be required to manage the operational challenges </w:t>
      </w:r>
      <w:r w:rsidR="00A16381" w:rsidRPr="00D44CF2">
        <w:t>resulting from</w:t>
      </w:r>
      <w:r w:rsidRPr="00D44CF2">
        <w:t xml:space="preserve"> these reverse power flows.</w:t>
      </w:r>
    </w:p>
    <w:p w14:paraId="22A833DE" w14:textId="77777777" w:rsidR="0066118A" w:rsidRPr="00D44CF2" w:rsidRDefault="0066118A" w:rsidP="0066118A">
      <w:pPr>
        <w:pStyle w:val="ListBullet"/>
        <w:rPr>
          <w:lang w:val="en-GB"/>
        </w:rPr>
      </w:pPr>
      <w:r w:rsidRPr="00D44CF2">
        <w:t>Victoria recorded its all-time lowest minimum operational demand of 1,504 M</w:t>
      </w:r>
      <w:r w:rsidRPr="00D44CF2">
        <w:rPr>
          <w:lang w:val="en-GB"/>
        </w:rPr>
        <w:t xml:space="preserve">W on 1 January 2025. This was 60 MW lower than the previous record set last financial year. Minimum demand is now occurring during the daytime because of the effect of distributed PV generation. At the time of minimum demand on 1 January 2025, 3.5 GW of distributed PV generation was observed. </w:t>
      </w:r>
    </w:p>
    <w:p w14:paraId="29DA984D" w14:textId="77777777" w:rsidR="0066118A" w:rsidRPr="00D44CF2" w:rsidRDefault="0066118A" w:rsidP="0066118A">
      <w:pPr>
        <w:pStyle w:val="ListBullet"/>
        <w:rPr>
          <w:lang w:val="en-US"/>
        </w:rPr>
      </w:pPr>
      <w:r w:rsidRPr="00D44CF2">
        <w:rPr>
          <w:lang w:val="en-US"/>
        </w:rPr>
        <w:t xml:space="preserve">There is increased potential for large inverter-based block loads like data centres and hydrogen electrolysers connecting to </w:t>
      </w:r>
      <w:r w:rsidRPr="00D44CF2">
        <w:t>the</w:t>
      </w:r>
      <w:r w:rsidRPr="00D44CF2">
        <w:rPr>
          <w:lang w:val="en-US"/>
        </w:rPr>
        <w:t xml:space="preserve"> network.</w:t>
      </w:r>
    </w:p>
    <w:p w14:paraId="421194D8" w14:textId="77777777" w:rsidR="0066118A" w:rsidRPr="00D44CF2" w:rsidRDefault="0066118A" w:rsidP="0066118A">
      <w:pPr>
        <w:pStyle w:val="BodyText"/>
        <w:rPr>
          <w:rStyle w:val="normaltextrun"/>
        </w:rPr>
      </w:pPr>
      <w:r w:rsidRPr="00D44CF2">
        <w:rPr>
          <w:rStyle w:val="normaltextrun"/>
        </w:rPr>
        <w:t xml:space="preserve">Victoria’s transition from fossil fuels to clean energy sources, to deliver low cost and reliable energy to households and businesses via a secure power system, is well underway as consumers, investors and governments continue to develop renewable generation and storage. </w:t>
      </w:r>
    </w:p>
    <w:p w14:paraId="3787F843" w14:textId="77777777" w:rsidR="0066118A" w:rsidRPr="00D44CF2" w:rsidRDefault="0066118A" w:rsidP="0066118A">
      <w:pPr>
        <w:pStyle w:val="BodyText"/>
        <w:rPr>
          <w:lang w:val="en-US"/>
        </w:rPr>
      </w:pPr>
      <w:r w:rsidRPr="00D44CF2">
        <w:rPr>
          <w:lang w:val="en-US"/>
        </w:rPr>
        <w:t xml:space="preserve">The main load centres in Victoria are in metropolitan Melbourne and the Geelong area, where the bulk of the state’s energy is consumed by households or businesses. </w:t>
      </w:r>
    </w:p>
    <w:p w14:paraId="764BFB5A" w14:textId="6BE6666C" w:rsidR="0066118A" w:rsidRPr="00D44CF2" w:rsidRDefault="0066118A" w:rsidP="0066118A">
      <w:pPr>
        <w:pStyle w:val="BodyText"/>
      </w:pPr>
      <w:r w:rsidRPr="00D44CF2">
        <w:t>Changes in the energy landscape mean that careful and proactive coordination is required to plan and operate the power system. The growing proportion of CER generating energy in the distribution network, the bi</w:t>
      </w:r>
      <w:r w:rsidRPr="00D44CF2">
        <w:noBreakHyphen/>
        <w:t>directional power flow at terminal stations, and the occurrence of minimum system load (MSL) conditions are creating additional operational challenges as well as the need for proactive planning measures</w:t>
      </w:r>
      <w:r w:rsidR="00DF23C1">
        <w:rPr>
          <w:rStyle w:val="FootnoteReference"/>
        </w:rPr>
        <w:footnoteReference w:id="25"/>
      </w:r>
      <w:r w:rsidRPr="00D44CF2">
        <w:t xml:space="preserve">.  </w:t>
      </w:r>
    </w:p>
    <w:p w14:paraId="5BF6A3CE" w14:textId="77777777" w:rsidR="0066118A" w:rsidRPr="00D44CF2" w:rsidRDefault="0066118A" w:rsidP="0066118A">
      <w:pPr>
        <w:pStyle w:val="Heading2"/>
      </w:pPr>
      <w:bookmarkStart w:id="37" w:name="_Toc180159684"/>
      <w:bookmarkStart w:id="38" w:name="_Toc212023275"/>
      <w:r w:rsidRPr="00D44CF2">
        <w:t>Growth in renewable energy sources allowing orderly exit of coal power plants</w:t>
      </w:r>
      <w:bookmarkEnd w:id="37"/>
      <w:bookmarkEnd w:id="38"/>
    </w:p>
    <w:p w14:paraId="1FF6F645" w14:textId="61B1360B" w:rsidR="0066118A" w:rsidRPr="00D44CF2" w:rsidRDefault="0066118A" w:rsidP="0066118A">
      <w:pPr>
        <w:pStyle w:val="BodyText"/>
      </w:pPr>
      <w:r w:rsidRPr="00D44CF2">
        <w:rPr>
          <w:lang w:val="en-US"/>
        </w:rPr>
        <w:t xml:space="preserve">Historically, </w:t>
      </w:r>
      <w:r w:rsidRPr="00D44CF2">
        <w:t xml:space="preserve">Victoria’s power generation was predominantly based on brown coal power plants in the Latrobe Valley, and some gas generation units used to firm up demand during peaking times. Hazelwood Power Station retired in 2017, and the remaining coal fleet, which is aging, is </w:t>
      </w:r>
      <w:r w:rsidR="618FA350" w:rsidRPr="00D44CF2">
        <w:t>planned</w:t>
      </w:r>
      <w:r w:rsidRPr="00D44CF2">
        <w:t xml:space="preserve"> to retire in </w:t>
      </w:r>
      <w:r w:rsidRPr="00D44CF2">
        <w:rPr>
          <w:lang w:val="en-US"/>
        </w:rPr>
        <w:t>10-20 year</w:t>
      </w:r>
      <w:r w:rsidRPr="00D44CF2">
        <w:t xml:space="preserve">s.   </w:t>
      </w:r>
    </w:p>
    <w:p w14:paraId="60528623" w14:textId="7CF0371B" w:rsidR="0066118A" w:rsidRPr="00D44CF2" w:rsidRDefault="00633274">
      <w:pPr>
        <w:pStyle w:val="BodyText"/>
        <w:rPr>
          <w:lang w:val="en-US"/>
        </w:rPr>
      </w:pPr>
      <w:r w:rsidRPr="00D44CF2">
        <w:t>YWPS’s</w:t>
      </w:r>
      <w:r w:rsidR="0066118A" w:rsidRPr="00D44CF2">
        <w:t xml:space="preserve"> owner, EnergyAustralia, announced in 2021 its intention to retire </w:t>
      </w:r>
      <w:r w:rsidR="3017B424" w:rsidRPr="00D44CF2">
        <w:t>YWPS</w:t>
      </w:r>
      <w:r w:rsidR="0066118A" w:rsidRPr="00D44CF2">
        <w:t xml:space="preserve"> early due to carbon neutral targets, the net plant’s reliability, and rising operational costs. </w:t>
      </w:r>
      <w:r w:rsidR="6D4942F9" w:rsidRPr="00D44CF2">
        <w:t xml:space="preserve">With </w:t>
      </w:r>
      <w:r w:rsidR="013FFEAD" w:rsidRPr="00D44CF2">
        <w:t>YWPS</w:t>
      </w:r>
      <w:r w:rsidR="00C429C9" w:rsidRPr="00D44CF2">
        <w:t>’</w:t>
      </w:r>
      <w:r w:rsidR="013FFEAD" w:rsidRPr="00D44CF2">
        <w:t xml:space="preserve"> retirement</w:t>
      </w:r>
      <w:r w:rsidR="00C429C9" w:rsidRPr="00D44CF2">
        <w:t>,</w:t>
      </w:r>
      <w:r w:rsidR="013FFEAD" w:rsidRPr="00D44CF2">
        <w:t xml:space="preserve"> the Victorian network </w:t>
      </w:r>
      <w:r w:rsidR="79B56826" w:rsidRPr="00D44CF2">
        <w:t>will</w:t>
      </w:r>
      <w:r w:rsidR="013FFEAD" w:rsidRPr="00D44CF2">
        <w:t xml:space="preserve"> find alternative supplies from interconnectors and </w:t>
      </w:r>
      <w:r w:rsidR="0336B358" w:rsidRPr="00D44CF2">
        <w:t xml:space="preserve">other </w:t>
      </w:r>
      <w:r w:rsidR="013FFEAD" w:rsidRPr="00D44CF2">
        <w:t xml:space="preserve">generators </w:t>
      </w:r>
      <w:r w:rsidR="22D248EF" w:rsidRPr="00D44CF2">
        <w:t xml:space="preserve">(existing and future) </w:t>
      </w:r>
      <w:r w:rsidR="013FFEAD" w:rsidRPr="00D44CF2">
        <w:t>to cover the</w:t>
      </w:r>
      <w:r w:rsidR="0066118A" w:rsidRPr="00D44CF2">
        <w:t xml:space="preserve"> 1,600 MW generation </w:t>
      </w:r>
      <w:r w:rsidR="39186B6A" w:rsidRPr="00D44CF2">
        <w:t>(</w:t>
      </w:r>
      <w:r w:rsidR="0066118A" w:rsidRPr="00D44CF2">
        <w:t>roughly 20% of Victoria’s electricity demand</w:t>
      </w:r>
      <w:r w:rsidR="2D3F5A78" w:rsidRPr="00D44CF2">
        <w:t>)</w:t>
      </w:r>
      <w:r w:rsidR="3CCE67D2" w:rsidRPr="00D44CF2">
        <w:t xml:space="preserve"> it was providing</w:t>
      </w:r>
      <w:r w:rsidR="0066118A" w:rsidRPr="00D44CF2">
        <w:t>. As discussed in the 2025 VTP</w:t>
      </w:r>
      <w:r w:rsidR="0066118A" w:rsidRPr="00D44CF2">
        <w:rPr>
          <w:rStyle w:val="FootnoteReference"/>
        </w:rPr>
        <w:footnoteReference w:id="26"/>
      </w:r>
      <w:r w:rsidR="0066118A" w:rsidRPr="00D44CF2">
        <w:t xml:space="preserve">, Victoria’s generation landscape is expected to change from the current dominant supply source of coal generation in the Latrobe Valley to a mix of wind and solar generation predominantly located in Western Victoria and offshore wind in Gippsland. </w:t>
      </w:r>
      <w:r w:rsidR="0066118A" w:rsidRPr="00D44CF2">
        <w:rPr>
          <w:lang w:val="en-US"/>
        </w:rPr>
        <w:t xml:space="preserve">The services provided by these existing coal-fired generators – such as inertia and frequency </w:t>
      </w:r>
      <w:r w:rsidR="0066118A" w:rsidRPr="00D44CF2">
        <w:rPr>
          <w:lang w:val="en-US"/>
        </w:rPr>
        <w:lastRenderedPageBreak/>
        <w:t>control, and supply or absorption ability of reactive power – will be fulfilled by other sources and technologies</w:t>
      </w:r>
      <w:r w:rsidR="0066118A" w:rsidRPr="00D44CF2" w:rsidDel="3FF4D65B">
        <w:rPr>
          <w:lang w:val="en-US"/>
        </w:rPr>
        <w:t xml:space="preserve"> </w:t>
      </w:r>
      <w:r w:rsidR="0066118A" w:rsidRPr="00D44CF2">
        <w:rPr>
          <w:lang w:val="en-US"/>
        </w:rPr>
        <w:t>inclusive of sources shared from neighboring regions</w:t>
      </w:r>
      <w:r w:rsidR="0066118A" w:rsidRPr="00D44CF2">
        <w:rPr>
          <w:rStyle w:val="FootnoteReference"/>
          <w:lang w:val="en-US"/>
        </w:rPr>
        <w:footnoteReference w:id="27"/>
      </w:r>
      <w:r w:rsidR="0066118A" w:rsidRPr="00D44CF2">
        <w:rPr>
          <w:lang w:val="en-US"/>
        </w:rPr>
        <w:t xml:space="preserve">. </w:t>
      </w:r>
    </w:p>
    <w:p w14:paraId="58F0DB15" w14:textId="782479A3" w:rsidR="0066118A" w:rsidRPr="00D44CF2" w:rsidRDefault="0066118A" w:rsidP="0066118A">
      <w:pPr>
        <w:pStyle w:val="BodyText"/>
      </w:pPr>
      <w:r w:rsidRPr="00D44CF2">
        <w:rPr>
          <w:b/>
          <w:bCs/>
          <w:lang w:val="en-US"/>
        </w:rPr>
        <w:fldChar w:fldCharType="begin"/>
      </w:r>
      <w:r w:rsidRPr="00D44CF2">
        <w:rPr>
          <w:b/>
          <w:bCs/>
          <w:lang w:val="en-US"/>
        </w:rPr>
        <w:instrText xml:space="preserve"> REF _Ref179280862 \r \h  \* MERGEFORMAT </w:instrText>
      </w:r>
      <w:r w:rsidRPr="00D44CF2">
        <w:rPr>
          <w:b/>
          <w:bCs/>
          <w:lang w:val="en-US"/>
        </w:rPr>
      </w:r>
      <w:r w:rsidRPr="00D44CF2">
        <w:rPr>
          <w:b/>
          <w:bCs/>
          <w:lang w:val="en-US"/>
        </w:rPr>
        <w:fldChar w:fldCharType="separate"/>
      </w:r>
      <w:r w:rsidR="004973D2">
        <w:rPr>
          <w:b/>
          <w:bCs/>
          <w:lang w:val="en-US"/>
        </w:rPr>
        <w:t>Figure 4</w:t>
      </w:r>
      <w:r w:rsidRPr="00D44CF2">
        <w:rPr>
          <w:b/>
          <w:bCs/>
          <w:lang w:val="en-US"/>
        </w:rPr>
        <w:fldChar w:fldCharType="end"/>
      </w:r>
      <w:r w:rsidRPr="00D44CF2">
        <w:rPr>
          <w:b/>
          <w:bCs/>
          <w:lang w:val="en-US"/>
        </w:rPr>
        <w:t xml:space="preserve"> </w:t>
      </w:r>
      <w:r w:rsidRPr="00D44CF2">
        <w:rPr>
          <w:lang w:val="en-US"/>
        </w:rPr>
        <w:t>illustrates the</w:t>
      </w:r>
      <w:r w:rsidRPr="00D44CF2" w:rsidDel="00CD3D0F">
        <w:rPr>
          <w:lang w:val="en-US"/>
        </w:rPr>
        <w:t xml:space="preserve"> </w:t>
      </w:r>
      <w:r w:rsidRPr="00D44CF2">
        <w:rPr>
          <w:lang w:val="en-US"/>
        </w:rPr>
        <w:t>coal generation capacity in Victoria, and how it is projected to decrease over the next two decades based on announced coal plant retirement plans, as well as the reduction in coal capacity forecast in the 2024 ISP</w:t>
      </w:r>
      <w:r w:rsidRPr="00D44CF2">
        <w:t xml:space="preserve"> </w:t>
      </w:r>
      <w:r w:rsidRPr="00D44CF2">
        <w:rPr>
          <w:i/>
          <w:iCs/>
        </w:rPr>
        <w:t xml:space="preserve">Step Change </w:t>
      </w:r>
      <w:r w:rsidRPr="00D44CF2">
        <w:t>scenario, which shows all</w:t>
      </w:r>
      <w:r w:rsidRPr="00D44CF2" w:rsidDel="00CF5EF0">
        <w:t xml:space="preserve"> </w:t>
      </w:r>
      <w:r w:rsidRPr="00D44CF2">
        <w:t xml:space="preserve">Victoria’s coal fleet is forecast to retire by 2033-34. </w:t>
      </w:r>
    </w:p>
    <w:p w14:paraId="2B11A3D3" w14:textId="77777777" w:rsidR="0066118A" w:rsidRPr="00D44CF2" w:rsidRDefault="0066118A" w:rsidP="0066118A">
      <w:pPr>
        <w:pStyle w:val="CaptionFigure"/>
      </w:pPr>
      <w:bookmarkStart w:id="39" w:name="_Toc180159735"/>
      <w:bookmarkStart w:id="40" w:name="_Toc180159773"/>
      <w:bookmarkStart w:id="41" w:name="_Toc180159736"/>
      <w:bookmarkStart w:id="42" w:name="_Toc180159774"/>
      <w:bookmarkStart w:id="43" w:name="_Ref179280862"/>
      <w:bookmarkStart w:id="44" w:name="_Toc180159775"/>
      <w:bookmarkStart w:id="45" w:name="_Toc212023338"/>
      <w:bookmarkEnd w:id="39"/>
      <w:bookmarkEnd w:id="40"/>
      <w:bookmarkEnd w:id="41"/>
      <w:bookmarkEnd w:id="42"/>
      <w:r w:rsidRPr="00D44CF2">
        <w:t>Actual and forecast Victorian coal power generation retirements, 2009-10 to 2049-50 (GW</w:t>
      </w:r>
      <w:r w:rsidRPr="00D44CF2" w:rsidDel="00475047">
        <w:t>)</w:t>
      </w:r>
      <w:bookmarkEnd w:id="43"/>
      <w:bookmarkEnd w:id="44"/>
      <w:bookmarkEnd w:id="45"/>
    </w:p>
    <w:p w14:paraId="5EC69E68" w14:textId="77777777" w:rsidR="0066118A" w:rsidRPr="00D44CF2" w:rsidRDefault="0066118A" w:rsidP="0066118A">
      <w:pPr>
        <w:pStyle w:val="BodyText"/>
      </w:pPr>
      <w:r w:rsidRPr="00D44CF2">
        <w:rPr>
          <w:noProof/>
        </w:rPr>
        <w:drawing>
          <wp:inline distT="0" distB="0" distL="0" distR="0" wp14:anchorId="25B15D38" wp14:editId="6AF0E722">
            <wp:extent cx="6066430" cy="3357245"/>
            <wp:effectExtent l="0" t="0" r="0" b="0"/>
            <wp:docPr id="2045170660" name="drawing" descr="A graph of a growing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70660" name="drawing" descr="A graph of a growing graph&#10;&#10;AI-generated content may be incorrect."/>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069439" cy="3358910"/>
                    </a:xfrm>
                    <a:prstGeom prst="rect">
                      <a:avLst/>
                    </a:prstGeom>
                    <a:ln>
                      <a:noFill/>
                    </a:ln>
                    <a:extLst>
                      <a:ext uri="{53640926-AAD7-44D8-BBD7-CCE9431645EC}">
                        <a14:shadowObscured xmlns:a14="http://schemas.microsoft.com/office/drawing/2010/main"/>
                      </a:ext>
                    </a:extLst>
                  </pic:spPr>
                </pic:pic>
              </a:graphicData>
            </a:graphic>
          </wp:inline>
        </w:drawing>
      </w:r>
    </w:p>
    <w:p w14:paraId="1DB00DBC" w14:textId="0BE0883A" w:rsidR="0066118A" w:rsidRPr="00D44CF2" w:rsidRDefault="0066118A" w:rsidP="0066118A">
      <w:pPr>
        <w:pStyle w:val="TableFigureFootnote"/>
      </w:pPr>
      <w:r w:rsidRPr="00D44CF2">
        <w:rPr>
          <w:lang w:val="en-US"/>
        </w:rPr>
        <w:t xml:space="preserve">Notes: </w:t>
      </w:r>
      <w:r w:rsidRPr="00D44CF2">
        <w:t xml:space="preserve">Geninfo is AEMO’s Generation Information webpage, at </w:t>
      </w:r>
      <w:hyperlink r:id="rId37">
        <w:r w:rsidRPr="00D44CF2">
          <w:rPr>
            <w:rStyle w:val="Hyperlink"/>
          </w:rPr>
          <w:t>https://www.aemo.com.au/energy-systems/electricity/national-electricity-market-nem/nem-forecasting-and-planning/forecasting-and-planning-data/generation-information</w:t>
        </w:r>
      </w:hyperlink>
      <w:r w:rsidRPr="00D44CF2">
        <w:t xml:space="preserve">. VicGrid forecast is at </w:t>
      </w:r>
      <w:hyperlink r:id="rId38">
        <w:r w:rsidR="005B2BFC" w:rsidRPr="005B2BFC">
          <w:rPr>
            <w:rStyle w:val="Hyperlink"/>
          </w:rPr>
          <w:t>https://www.vicgrid.com.au/__data/assets/pdf_file/0032/761396/2025-victorian-transmission-plan.pdf</w:t>
        </w:r>
      </w:hyperlink>
      <w:r w:rsidRPr="00D44CF2">
        <w:t>.</w:t>
      </w:r>
    </w:p>
    <w:p w14:paraId="060BAAD6" w14:textId="77777777" w:rsidR="0066118A" w:rsidRPr="00D44CF2" w:rsidRDefault="0066118A" w:rsidP="0066118A">
      <w:pPr>
        <w:pStyle w:val="BodyText"/>
      </w:pPr>
      <w:r w:rsidRPr="00D44CF2">
        <w:rPr>
          <w:lang w:val="en-US"/>
        </w:rPr>
        <w:t xml:space="preserve">The 2024 ISP identified that renewable energy connected by transmission and distribution, firmed with </w:t>
      </w:r>
      <w:r w:rsidRPr="00D44CF2">
        <w:t xml:space="preserve">storage and backed up by gas-fired generation, will be the lowest-cost way to supply electricity to homes and businesses as Australia transitions to a net zero economy. </w:t>
      </w:r>
    </w:p>
    <w:p w14:paraId="08A57670" w14:textId="102EA55C" w:rsidR="0066118A" w:rsidRPr="00D44CF2" w:rsidRDefault="0066118A" w:rsidP="0066118A">
      <w:pPr>
        <w:pStyle w:val="BodyText"/>
      </w:pPr>
      <w:r w:rsidRPr="00D44CF2">
        <w:rPr>
          <w:b/>
          <w:bCs/>
        </w:rPr>
        <w:fldChar w:fldCharType="begin"/>
      </w:r>
      <w:r w:rsidRPr="00D44CF2">
        <w:rPr>
          <w:b/>
          <w:bCs/>
        </w:rPr>
        <w:instrText xml:space="preserve"> REF _Ref179281001 \r \h  \* MERGEFORMAT</w:instrText>
      </w:r>
      <w:r w:rsidRPr="00D44CF2">
        <w:rPr>
          <w:b/>
        </w:rPr>
        <w:instrText xml:space="preserve"> </w:instrText>
      </w:r>
      <w:r w:rsidRPr="00D44CF2">
        <w:rPr>
          <w:b/>
          <w:bCs/>
        </w:rPr>
      </w:r>
      <w:r w:rsidRPr="00D44CF2">
        <w:rPr>
          <w:b/>
          <w:bCs/>
        </w:rPr>
        <w:fldChar w:fldCharType="separate"/>
      </w:r>
      <w:r w:rsidR="004973D2">
        <w:rPr>
          <w:b/>
          <w:bCs/>
        </w:rPr>
        <w:t>Figure 5</w:t>
      </w:r>
      <w:r w:rsidRPr="00D44CF2">
        <w:rPr>
          <w:b/>
          <w:bCs/>
        </w:rPr>
        <w:fldChar w:fldCharType="end"/>
      </w:r>
      <w:r w:rsidRPr="00D44CF2">
        <w:t xml:space="preserve"> shows expected generation capacity across the NEM to 2050 in the optimal development path of the 2024 ISP </w:t>
      </w:r>
      <w:r w:rsidRPr="00D44CF2">
        <w:rPr>
          <w:i/>
          <w:iCs/>
        </w:rPr>
        <w:t xml:space="preserve">Step Change </w:t>
      </w:r>
      <w:r w:rsidRPr="00D44CF2">
        <w:t>scenario. It highlights that, as coal generation retires, supply adequacy needs to be balanced with growth in renewable generation, with about 6 GW of additional generation capacity needing to be added to the NEM every year.</w:t>
      </w:r>
    </w:p>
    <w:p w14:paraId="4EBD5DFC" w14:textId="77777777" w:rsidR="0066118A" w:rsidRPr="00D44CF2" w:rsidRDefault="0066118A" w:rsidP="0066118A">
      <w:pPr>
        <w:pStyle w:val="CaptionFigure"/>
      </w:pPr>
      <w:bookmarkStart w:id="46" w:name="_Toc180159739"/>
      <w:bookmarkStart w:id="47" w:name="_Toc180159777"/>
      <w:bookmarkStart w:id="48" w:name="_Ref179281001"/>
      <w:bookmarkStart w:id="49" w:name="_Toc180159778"/>
      <w:bookmarkStart w:id="50" w:name="_Toc212023339"/>
      <w:bookmarkEnd w:id="46"/>
      <w:bookmarkEnd w:id="47"/>
      <w:r w:rsidRPr="00D44CF2">
        <w:lastRenderedPageBreak/>
        <w:t xml:space="preserve">Generation capacity in the NEM, 2024 ISP </w:t>
      </w:r>
      <w:r w:rsidRPr="00D44CF2">
        <w:rPr>
          <w:i/>
        </w:rPr>
        <w:t>Step Change</w:t>
      </w:r>
      <w:r w:rsidRPr="00D44CF2">
        <w:t xml:space="preserve"> scenario, 2009-10 to 2049-50 (GW)</w:t>
      </w:r>
      <w:bookmarkEnd w:id="48"/>
      <w:bookmarkEnd w:id="49"/>
      <w:bookmarkEnd w:id="50"/>
    </w:p>
    <w:p w14:paraId="51CB6855" w14:textId="77777777" w:rsidR="0066118A" w:rsidRPr="00D44CF2" w:rsidRDefault="0066118A" w:rsidP="0066118A">
      <w:pPr>
        <w:pStyle w:val="BodyText"/>
        <w:spacing w:after="0"/>
      </w:pPr>
      <w:r w:rsidRPr="00D44CF2">
        <w:rPr>
          <w:noProof/>
        </w:rPr>
        <w:drawing>
          <wp:inline distT="0" distB="0" distL="0" distR="0" wp14:anchorId="028C0E8C" wp14:editId="5216CC94">
            <wp:extent cx="6351921" cy="3635655"/>
            <wp:effectExtent l="0" t="0" r="0" b="3175"/>
            <wp:docPr id="1254328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868" t="2794" b="4772"/>
                    <a:stretch/>
                  </pic:blipFill>
                  <pic:spPr bwMode="auto">
                    <a:xfrm>
                      <a:off x="0" y="0"/>
                      <a:ext cx="6356062" cy="3638025"/>
                    </a:xfrm>
                    <a:prstGeom prst="rect">
                      <a:avLst/>
                    </a:prstGeom>
                    <a:noFill/>
                    <a:ln>
                      <a:noFill/>
                    </a:ln>
                    <a:extLst>
                      <a:ext uri="{53640926-AAD7-44D8-BBD7-CCE9431645EC}">
                        <a14:shadowObscured xmlns:a14="http://schemas.microsoft.com/office/drawing/2010/main"/>
                      </a:ext>
                    </a:extLst>
                  </pic:spPr>
                </pic:pic>
              </a:graphicData>
            </a:graphic>
          </wp:inline>
        </w:drawing>
      </w:r>
    </w:p>
    <w:p w14:paraId="036E7247" w14:textId="77777777" w:rsidR="0066118A" w:rsidRPr="00D44CF2" w:rsidRDefault="0066118A" w:rsidP="0066118A">
      <w:pPr>
        <w:pStyle w:val="TableFigureFootnote"/>
        <w:spacing w:after="0"/>
        <w:rPr>
          <w:lang w:val="en-US"/>
        </w:rPr>
      </w:pPr>
      <w:r w:rsidRPr="00D44CF2">
        <w:rPr>
          <w:lang w:val="en-US"/>
        </w:rPr>
        <w:t>Notes: Flexible gas includes gas-powered generation and potential hydrogen capacity. CER storage means CER such as batteries and EVs. Projections for rooftop solar and other distributed solar and CER storage were based on unit costs, consumer trends and assumptions about payments received to participate in the electricity market.</w:t>
      </w:r>
    </w:p>
    <w:p w14:paraId="3F22C8C3" w14:textId="77777777" w:rsidR="0066118A" w:rsidRPr="00D44CF2" w:rsidRDefault="0066118A" w:rsidP="0066118A">
      <w:pPr>
        <w:pStyle w:val="Heading2"/>
      </w:pPr>
      <w:bookmarkStart w:id="51" w:name="_Toc180159685"/>
      <w:bookmarkStart w:id="52" w:name="_Toc212023276"/>
      <w:r w:rsidRPr="00D44CF2">
        <w:t>The critical role of the transmission network in a robust power system</w:t>
      </w:r>
      <w:bookmarkEnd w:id="51"/>
      <w:bookmarkEnd w:id="52"/>
    </w:p>
    <w:p w14:paraId="347CB8CF" w14:textId="77777777" w:rsidR="0066118A" w:rsidRPr="00D44CF2" w:rsidRDefault="0066118A" w:rsidP="0066118A">
      <w:pPr>
        <w:pStyle w:val="BodyText"/>
      </w:pPr>
      <w:r w:rsidRPr="00D44CF2">
        <w:rPr>
          <w:lang w:val="en-US"/>
        </w:rPr>
        <w:t xml:space="preserve">A key element of a robust power system is its ability to maintain system security and reliability during extreme </w:t>
      </w:r>
      <w:r w:rsidRPr="00D44CF2">
        <w:t>operating conditions driven by factors such as high or low demand levels, lack of system strength and/or inertia, and extreme climate events.</w:t>
      </w:r>
    </w:p>
    <w:p w14:paraId="2FCA9A1E" w14:textId="77777777" w:rsidR="0066118A" w:rsidRPr="00D44CF2" w:rsidRDefault="0066118A" w:rsidP="0066118A">
      <w:pPr>
        <w:pStyle w:val="BodyText"/>
      </w:pPr>
      <w:r w:rsidRPr="00D44CF2">
        <w:t xml:space="preserve">System strength and inertia are critical characteristics that enable the power system to recover from sudden disturbances and maintain stability. Reduced availability (due to displacement or orderly retirement) of conventional generation units online can lead to shortfalls in these characteristics.  </w:t>
      </w:r>
    </w:p>
    <w:p w14:paraId="0A873E3A" w14:textId="77777777" w:rsidR="0066118A" w:rsidRPr="00D44CF2" w:rsidRDefault="0066118A" w:rsidP="0066118A">
      <w:pPr>
        <w:pStyle w:val="BodyText"/>
        <w:rPr>
          <w:rFonts w:ascii="Arial Nova" w:eastAsia="Arial Nova" w:hAnsi="Arial Nova" w:cs="Times New Roman"/>
        </w:rPr>
      </w:pPr>
      <w:r w:rsidRPr="00D44CF2">
        <w:rPr>
          <w:lang w:val="en-US"/>
        </w:rPr>
        <w:t xml:space="preserve">Maintaining the resilience of the DSN through these challenges is critical. The future power system will be more complex with the continuing growth of renewable inverter-based resources (IBR) on the supply side as well as large inverter-based loads (IBL), and ongoing rapid uptake in renewable energy-based sources diversified across both transmission and distribution networks. As such, planning the power system is essential to ensure it continues to operate reliably to meet consumer needs. </w:t>
      </w:r>
    </w:p>
    <w:p w14:paraId="016AFBEF" w14:textId="77777777" w:rsidR="0066118A" w:rsidRPr="00D44CF2" w:rsidRDefault="0066118A" w:rsidP="0066118A">
      <w:pPr>
        <w:pStyle w:val="BodyText"/>
        <w:rPr>
          <w:lang w:val="en-US"/>
        </w:rPr>
      </w:pPr>
      <w:r w:rsidRPr="00D44CF2">
        <w:rPr>
          <w:lang w:val="en-US"/>
        </w:rPr>
        <w:t xml:space="preserve">The transmission network continues to play a critical role in maintaining a resilient power system, as the backbone or primary corridor of the power system to transfer the energy sourced from renewable generation across Victoria and neighboring regions into Victoria’s large load centres. </w:t>
      </w:r>
    </w:p>
    <w:p w14:paraId="004FB088" w14:textId="77777777" w:rsidR="0066118A" w:rsidRPr="00D44CF2" w:rsidRDefault="0066118A" w:rsidP="0066118A">
      <w:pPr>
        <w:pStyle w:val="BodyText"/>
      </w:pPr>
      <w:r w:rsidRPr="00D44CF2">
        <w:rPr>
          <w:lang w:val="en-US"/>
        </w:rPr>
        <w:t xml:space="preserve">The 2024 ISP’s </w:t>
      </w:r>
      <w:r w:rsidRPr="00D44CF2">
        <w:t xml:space="preserve">optimal development path identified over 10,000 km of transmission projects by 2050 across the NEM, under the </w:t>
      </w:r>
      <w:r w:rsidRPr="00D44CF2">
        <w:rPr>
          <w:i/>
          <w:iCs/>
        </w:rPr>
        <w:t xml:space="preserve">Step Change </w:t>
      </w:r>
      <w:r w:rsidRPr="00D44CF2">
        <w:t xml:space="preserve">scenario, including major augmentation projects that have been identified as </w:t>
      </w:r>
      <w:r w:rsidRPr="00D44CF2">
        <w:lastRenderedPageBreak/>
        <w:t>committed/anticipated or actionable for Victoria to enable the optimal development path. The development of these projects is critical to ensure the resilience of the overall power system in Victoria.</w:t>
      </w:r>
    </w:p>
    <w:p w14:paraId="0C34076F" w14:textId="77777777" w:rsidR="0066118A" w:rsidRPr="00D44CF2" w:rsidRDefault="0066118A" w:rsidP="0066118A">
      <w:pPr>
        <w:pStyle w:val="Heading2"/>
      </w:pPr>
      <w:bookmarkStart w:id="53" w:name="_Ref177637239"/>
      <w:bookmarkStart w:id="54" w:name="_Toc180159686"/>
      <w:bookmarkStart w:id="55" w:name="_Toc212023277"/>
      <w:r w:rsidRPr="00D44CF2">
        <w:t>Government policies and initiatives supporting the energy transition</w:t>
      </w:r>
      <w:bookmarkEnd w:id="53"/>
      <w:bookmarkEnd w:id="54"/>
      <w:bookmarkEnd w:id="55"/>
    </w:p>
    <w:p w14:paraId="430DEAE0" w14:textId="77777777" w:rsidR="0066118A" w:rsidRPr="00D44CF2" w:rsidRDefault="0066118A" w:rsidP="0066118A">
      <w:pPr>
        <w:pStyle w:val="BodyText"/>
        <w:rPr>
          <w:lang w:val="en-GB"/>
        </w:rPr>
      </w:pPr>
      <w:r w:rsidRPr="00D44CF2">
        <w:rPr>
          <w:lang w:val="en-GB"/>
        </w:rPr>
        <w:t>The Victorian Government has made a range of commitments and policy announcements to enable the energy transition and support the connection of renewable generation. These commitments and policies have significant impact on the drivers for, and economics of, investment opportunities in the Victorian electricity network. These are recent major government policies or initiatives:</w:t>
      </w:r>
    </w:p>
    <w:p w14:paraId="07F874A3" w14:textId="1833F01E" w:rsidR="0066118A" w:rsidRPr="00D44CF2" w:rsidRDefault="0066118A" w:rsidP="0066118A">
      <w:pPr>
        <w:pStyle w:val="ListBullet"/>
        <w:numPr>
          <w:ilvl w:val="0"/>
          <w:numId w:val="18"/>
        </w:numPr>
      </w:pPr>
      <w:r w:rsidRPr="00D44CF2">
        <w:t>VTIF</w:t>
      </w:r>
      <w:r w:rsidRPr="00D44CF2">
        <w:rPr>
          <w:rStyle w:val="FootnoteReference"/>
        </w:rPr>
        <w:footnoteReference w:id="28"/>
      </w:r>
      <w:r w:rsidRPr="00D44CF2">
        <w:t xml:space="preserve"> and VTP – see Section </w:t>
      </w:r>
      <w:r w:rsidRPr="00D44CF2">
        <w:fldChar w:fldCharType="begin"/>
      </w:r>
      <w:r w:rsidRPr="00D44CF2">
        <w:instrText xml:space="preserve"> REF _Ref179383623 \n \h  \* MERGEFORMAT </w:instrText>
      </w:r>
      <w:r w:rsidRPr="00D44CF2">
        <w:fldChar w:fldCharType="separate"/>
      </w:r>
      <w:r w:rsidR="004973D2" w:rsidRPr="003536AD">
        <w:rPr>
          <w:lang w:val="en-US"/>
        </w:rPr>
        <w:t>1.2.2</w:t>
      </w:r>
      <w:r w:rsidRPr="00D44CF2">
        <w:fldChar w:fldCharType="end"/>
      </w:r>
      <w:r w:rsidRPr="00D44CF2">
        <w:t xml:space="preserve"> for details. </w:t>
      </w:r>
    </w:p>
    <w:p w14:paraId="619F3BD9" w14:textId="77777777" w:rsidR="0066118A" w:rsidRPr="00D44CF2" w:rsidRDefault="0066118A" w:rsidP="0066118A">
      <w:pPr>
        <w:pStyle w:val="ListBullet"/>
        <w:numPr>
          <w:ilvl w:val="0"/>
          <w:numId w:val="18"/>
        </w:numPr>
      </w:pPr>
      <w:r w:rsidRPr="00D44CF2">
        <w:t>VTP – VicGrid’s 2025 VTP</w:t>
      </w:r>
      <w:r w:rsidRPr="00D44CF2">
        <w:rPr>
          <w:rStyle w:val="FootnoteReference"/>
        </w:rPr>
        <w:footnoteReference w:id="29"/>
      </w:r>
      <w:r w:rsidRPr="00D44CF2">
        <w:t xml:space="preserve"> offers a new approach to planning that considers important factors including land use, environmental impacts and community views much earlier in the process. This aims to minimise negative impacts to regional communities, landholders and rights holders, keep costs low for consumers and give industry the certainty it needs to invest in the renewable energy Victoria requires for the future.</w:t>
      </w:r>
    </w:p>
    <w:p w14:paraId="34C7DB3C" w14:textId="77777777" w:rsidR="0066118A" w:rsidRPr="00D44CF2" w:rsidRDefault="0066118A" w:rsidP="0066118A">
      <w:pPr>
        <w:pStyle w:val="ListBullet"/>
        <w:numPr>
          <w:ilvl w:val="0"/>
          <w:numId w:val="18"/>
        </w:numPr>
      </w:pPr>
      <w:r w:rsidRPr="00D44CF2">
        <w:t>Victorian transmission planning objectives – with the new functions of VicGrid, a new Victorian transmission planning objective, as set out in amendments to the NEVA, passed in May 2024. The new objective incorporates environmental objectives and the state’s needs in response to the energy transition and will guide how transmission planning and investment decisions are made in Victoria. </w:t>
      </w:r>
      <w:r w:rsidRPr="00D44CF2" w:rsidDel="00CE2C4F">
        <w:t xml:space="preserve"> </w:t>
      </w:r>
    </w:p>
    <w:p w14:paraId="723259BF" w14:textId="1A1343E1" w:rsidR="0066118A" w:rsidRPr="00D44CF2" w:rsidRDefault="0066118A" w:rsidP="0066118A">
      <w:pPr>
        <w:pStyle w:val="ListBullet"/>
        <w:numPr>
          <w:ilvl w:val="0"/>
          <w:numId w:val="18"/>
        </w:numPr>
      </w:pPr>
      <w:r w:rsidRPr="00D44CF2">
        <w:t>RDP</w:t>
      </w:r>
      <w:r w:rsidR="00B8246E" w:rsidRPr="00D44CF2">
        <w:t xml:space="preserve"> </w:t>
      </w:r>
      <w:r w:rsidRPr="00D44CF2">
        <w:t>– a</w:t>
      </w:r>
      <w:r w:rsidRPr="00D44CF2">
        <w:rPr>
          <w:rFonts w:ascii="Arial Nova" w:eastAsia="Arial Nova" w:hAnsi="Arial Nova" w:cs="Arial Nova"/>
        </w:rPr>
        <w:t>s outlined in the RDP Directions Paper</w:t>
      </w:r>
      <w:r w:rsidRPr="00D44CF2">
        <w:rPr>
          <w:rStyle w:val="FootnoteReference"/>
          <w:rFonts w:eastAsia="Arial Nova" w:cs="Arial Nova"/>
        </w:rPr>
        <w:footnoteReference w:id="30"/>
      </w:r>
      <w:r w:rsidRPr="00D44CF2">
        <w:rPr>
          <w:rFonts w:ascii="Arial Nova" w:eastAsia="Arial Nova" w:hAnsi="Arial Nova" w:cs="Arial Nova"/>
        </w:rPr>
        <w:t xml:space="preserve">, AEMO worked with the Victorian Government to develop the RDP Stage 1 projects to provide short- to medium-term solutions to strengthen the existing network and accelerate REZs. In 2022, the Victorian Government issued the Third RDP Stage 1 NEVA Order directing AEMO to </w:t>
      </w:r>
      <w:r w:rsidRPr="00D44CF2" w:rsidDel="00B10076">
        <w:rPr>
          <w:rFonts w:ascii="Arial Nova" w:eastAsia="Arial Nova" w:hAnsi="Arial Nova" w:cs="Arial Nova"/>
        </w:rPr>
        <w:t xml:space="preserve">enter </w:t>
      </w:r>
      <w:r w:rsidRPr="00D44CF2">
        <w:rPr>
          <w:rFonts w:ascii="Arial Nova" w:eastAsia="Arial Nova" w:hAnsi="Arial Nova" w:cs="Arial Nova"/>
        </w:rPr>
        <w:t>contracts with the declared transmission system operators for the network augmentations identified in RDP Stage 1</w:t>
      </w:r>
      <w:r w:rsidRPr="00D44CF2">
        <w:rPr>
          <w:rFonts w:ascii="Arial Nova" w:eastAsia="Arial Nova" w:hAnsi="Arial Nova" w:cs="Arial Nova"/>
          <w:vertAlign w:val="superscript"/>
        </w:rPr>
        <w:t>23</w:t>
      </w:r>
      <w:r w:rsidRPr="00D44CF2">
        <w:rPr>
          <w:rFonts w:ascii="Arial Nova" w:eastAsia="Arial Nova" w:hAnsi="Arial Nova" w:cs="Arial Nova"/>
        </w:rPr>
        <w:t xml:space="preserve">. </w:t>
      </w:r>
      <w:r w:rsidRPr="00D44CF2">
        <w:t>For progress of the delivery of the projects since 2024 VAPR, see Section</w:t>
      </w:r>
      <w:r w:rsidRPr="00D44CF2" w:rsidDel="00941B0E">
        <w:t xml:space="preserve"> </w:t>
      </w:r>
      <w:r w:rsidRPr="00D44CF2">
        <w:t>3.1.2</w:t>
      </w:r>
      <w:r w:rsidR="0083326E" w:rsidRPr="00D44CF2">
        <w:t>.</w:t>
      </w:r>
      <w:r w:rsidRPr="00D44CF2">
        <w:t xml:space="preserve"> </w:t>
      </w:r>
    </w:p>
    <w:p w14:paraId="10A9E322" w14:textId="25BA5465" w:rsidR="0066118A" w:rsidRPr="00D44CF2" w:rsidRDefault="0066118A" w:rsidP="0066118A">
      <w:pPr>
        <w:pStyle w:val="ListBullet"/>
        <w:numPr>
          <w:ilvl w:val="0"/>
          <w:numId w:val="18"/>
        </w:numPr>
      </w:pPr>
      <w:r w:rsidRPr="00D44CF2">
        <w:t>Offshore wind targets –</w:t>
      </w:r>
      <w:r w:rsidRPr="00D44CF2" w:rsidDel="007A777D">
        <w:t xml:space="preserve"> </w:t>
      </w:r>
      <w:r w:rsidRPr="00D44CF2">
        <w:t>the Victorian Government has set generation capacity targets of at least 2 GW by 2032</w:t>
      </w:r>
      <w:r w:rsidR="003558A1" w:rsidRPr="00D44CF2">
        <w:rPr>
          <w:rStyle w:val="FootnoteReference"/>
        </w:rPr>
        <w:footnoteReference w:id="31"/>
      </w:r>
      <w:r w:rsidRPr="00D44CF2">
        <w:t>, 4 GW by 2035 and 9 GW by 2040</w:t>
      </w:r>
      <w:r w:rsidRPr="00D44CF2">
        <w:rPr>
          <w:rStyle w:val="FootnoteReference"/>
        </w:rPr>
        <w:footnoteReference w:id="32"/>
      </w:r>
      <w:r w:rsidRPr="00D44CF2">
        <w:t xml:space="preserve">. VicGrid is leading a coordinated approach to transmission development for offshore wind generation in Gippsland and the declared Southern Ocean area. See Section </w:t>
      </w:r>
      <w:r w:rsidRPr="00D44CF2">
        <w:fldChar w:fldCharType="begin"/>
      </w:r>
      <w:r w:rsidRPr="00D44CF2">
        <w:instrText xml:space="preserve"> REF _Ref210391517 \n \h </w:instrText>
      </w:r>
      <w:r w:rsidR="00824101" w:rsidRPr="00D44CF2">
        <w:instrText xml:space="preserve"> \* MERGEFORMAT </w:instrText>
      </w:r>
      <w:r w:rsidRPr="00D44CF2">
        <w:fldChar w:fldCharType="separate"/>
      </w:r>
      <w:r w:rsidR="004973D2">
        <w:t>2.5</w:t>
      </w:r>
      <w:r w:rsidRPr="00D44CF2">
        <w:fldChar w:fldCharType="end"/>
      </w:r>
      <w:r w:rsidRPr="00D44CF2">
        <w:t xml:space="preserve"> for more details about planned offshore wind development activities. </w:t>
      </w:r>
    </w:p>
    <w:p w14:paraId="607B54CF" w14:textId="739CBA43" w:rsidR="0066118A" w:rsidRPr="00D44CF2" w:rsidRDefault="002715D9" w:rsidP="0066118A">
      <w:pPr>
        <w:pStyle w:val="BodyText"/>
        <w:rPr>
          <w:b/>
        </w:rPr>
        <w:sectPr w:rsidR="0066118A" w:rsidRPr="00D44CF2" w:rsidSect="0066118A">
          <w:headerReference w:type="default" r:id="rId40"/>
          <w:footerReference w:type="default" r:id="rId41"/>
          <w:pgSz w:w="11907" w:h="16840" w:code="9"/>
          <w:pgMar w:top="1985" w:right="907" w:bottom="1418" w:left="907" w:header="788" w:footer="471" w:gutter="0"/>
          <w:cols w:space="708"/>
          <w:docGrid w:linePitch="360"/>
        </w:sectPr>
      </w:pPr>
      <w:bookmarkStart w:id="56" w:name="_Ref179809858"/>
      <w:bookmarkStart w:id="57" w:name="_Toc180159687"/>
      <w:r w:rsidRPr="00D44CF2">
        <w:t xml:space="preserve">Appendix </w:t>
      </w:r>
      <w:r w:rsidRPr="00D44CF2">
        <w:fldChar w:fldCharType="begin"/>
      </w:r>
      <w:r w:rsidRPr="00D44CF2">
        <w:instrText xml:space="preserve"> REF _Ref210750358 \r \h </w:instrText>
      </w:r>
      <w:r w:rsidR="00824101" w:rsidRPr="00D44CF2">
        <w:instrText xml:space="preserve"> \* MERGEFORMAT </w:instrText>
      </w:r>
      <w:r w:rsidRPr="00D44CF2">
        <w:fldChar w:fldCharType="separate"/>
      </w:r>
      <w:r w:rsidR="004973D2">
        <w:t>A1</w:t>
      </w:r>
      <w:r w:rsidRPr="00D44CF2">
        <w:fldChar w:fldCharType="end"/>
      </w:r>
      <w:r w:rsidRPr="00D44CF2">
        <w:t xml:space="preserve"> </w:t>
      </w:r>
      <w:r w:rsidR="0066118A" w:rsidRPr="00D44CF2">
        <w:t>lists all government policies and initiat</w:t>
      </w:r>
      <w:r w:rsidR="00DD017F" w:rsidRPr="00D44CF2">
        <w:t>iv</w:t>
      </w:r>
      <w:r w:rsidR="0066118A" w:rsidRPr="00D44CF2">
        <w:t>es taken into consideration in this plan.</w:t>
      </w:r>
    </w:p>
    <w:p w14:paraId="767171A5" w14:textId="77777777" w:rsidR="0066118A" w:rsidRPr="00D44CF2" w:rsidRDefault="0066118A" w:rsidP="0066118A">
      <w:pPr>
        <w:pStyle w:val="Heading2"/>
      </w:pPr>
      <w:bookmarkStart w:id="58" w:name="_Ref210391517"/>
      <w:bookmarkStart w:id="59" w:name="_Toc212023278"/>
      <w:r w:rsidRPr="00D44CF2">
        <w:lastRenderedPageBreak/>
        <w:t>Supply changes – continuing investments in grid-scale renewable generation and storage</w:t>
      </w:r>
      <w:bookmarkEnd w:id="58"/>
      <w:bookmarkEnd w:id="59"/>
      <w:r w:rsidRPr="00D44CF2">
        <w:t xml:space="preserve"> </w:t>
      </w:r>
      <w:bookmarkEnd w:id="56"/>
      <w:bookmarkEnd w:id="57"/>
    </w:p>
    <w:p w14:paraId="7921CF15" w14:textId="651A4769" w:rsidR="0066118A" w:rsidRPr="00D44CF2" w:rsidRDefault="0066118A" w:rsidP="0066118A">
      <w:pPr>
        <w:pStyle w:val="BodyText"/>
      </w:pPr>
      <w:r w:rsidRPr="00D44CF2">
        <w:rPr>
          <w:rStyle w:val="normaltextrun"/>
        </w:rPr>
        <w:t xml:space="preserve">Enabling the energy transition </w:t>
      </w:r>
      <w:r w:rsidR="00433B2C" w:rsidRPr="00D44CF2">
        <w:rPr>
          <w:rStyle w:val="normaltextrun"/>
        </w:rPr>
        <w:t xml:space="preserve">requires </w:t>
      </w:r>
      <w:r w:rsidRPr="00D44CF2">
        <w:rPr>
          <w:rStyle w:val="normaltextrun"/>
        </w:rPr>
        <w:t xml:space="preserve">timely </w:t>
      </w:r>
      <w:r w:rsidR="001D361E" w:rsidRPr="00D44CF2">
        <w:rPr>
          <w:rStyle w:val="normaltextrun"/>
        </w:rPr>
        <w:t>investment and delivery of</w:t>
      </w:r>
      <w:r w:rsidRPr="00D44CF2">
        <w:rPr>
          <w:rStyle w:val="normaltextrun"/>
        </w:rPr>
        <w:t xml:space="preserve"> new </w:t>
      </w:r>
      <w:r w:rsidR="001D361E" w:rsidRPr="00D44CF2">
        <w:rPr>
          <w:rStyle w:val="normaltextrun"/>
        </w:rPr>
        <w:t xml:space="preserve">DSN and </w:t>
      </w:r>
      <w:r w:rsidRPr="00D44CF2">
        <w:rPr>
          <w:rStyle w:val="normaltextrun"/>
        </w:rPr>
        <w:t>connections projects</w:t>
      </w:r>
      <w:r w:rsidR="004E66A0" w:rsidRPr="00D44CF2">
        <w:rPr>
          <w:rStyle w:val="normaltextrun"/>
        </w:rPr>
        <w:t>. This will ensure</w:t>
      </w:r>
      <w:r w:rsidRPr="00D44CF2">
        <w:rPr>
          <w:rStyle w:val="normaltextrun"/>
        </w:rPr>
        <w:t xml:space="preserve"> th</w:t>
      </w:r>
      <w:r w:rsidR="003D72EA" w:rsidRPr="00D44CF2">
        <w:rPr>
          <w:rStyle w:val="normaltextrun"/>
        </w:rPr>
        <w:t>e</w:t>
      </w:r>
      <w:r w:rsidRPr="00D44CF2">
        <w:rPr>
          <w:rStyle w:val="normaltextrun"/>
        </w:rPr>
        <w:t xml:space="preserve"> benefit</w:t>
      </w:r>
      <w:r w:rsidR="003D72EA" w:rsidRPr="00D44CF2">
        <w:rPr>
          <w:rStyle w:val="normaltextrun"/>
        </w:rPr>
        <w:t>s of these projects</w:t>
      </w:r>
      <w:r w:rsidR="00BB68C8" w:rsidRPr="00D44CF2">
        <w:rPr>
          <w:rStyle w:val="normaltextrun"/>
        </w:rPr>
        <w:t xml:space="preserve"> </w:t>
      </w:r>
      <w:r w:rsidRPr="00D44CF2">
        <w:rPr>
          <w:rStyle w:val="normaltextrun"/>
        </w:rPr>
        <w:t>unlock renewable potential</w:t>
      </w:r>
      <w:r w:rsidR="00BB68C8" w:rsidRPr="00D44CF2">
        <w:rPr>
          <w:rStyle w:val="normaltextrun"/>
        </w:rPr>
        <w:t xml:space="preserve"> and deliver benefits</w:t>
      </w:r>
      <w:r w:rsidR="00085C17" w:rsidRPr="00D44CF2">
        <w:rPr>
          <w:rStyle w:val="normaltextrun"/>
        </w:rPr>
        <w:t xml:space="preserve"> to consumers and communities</w:t>
      </w:r>
      <w:r w:rsidRPr="00D44CF2">
        <w:rPr>
          <w:rStyle w:val="normaltextrun"/>
        </w:rPr>
        <w:t>.</w:t>
      </w:r>
    </w:p>
    <w:p w14:paraId="21125A7B" w14:textId="510B7BEF" w:rsidR="0066118A" w:rsidRPr="00D44CF2" w:rsidRDefault="0066118A" w:rsidP="0066118A">
      <w:pPr>
        <w:pStyle w:val="BodyText"/>
      </w:pPr>
      <w:r w:rsidRPr="00D44CF2">
        <w:t xml:space="preserve">Victoria’s transition is driven by investment in large-scale renewable energy generation, primarily concentrated in the state’s </w:t>
      </w:r>
      <w:r w:rsidR="0DE71E0C" w:rsidRPr="00D44CF2">
        <w:t>N</w:t>
      </w:r>
      <w:r w:rsidRPr="00D44CF2">
        <w:t xml:space="preserve">orthern, </w:t>
      </w:r>
      <w:r w:rsidR="7EC6913B" w:rsidRPr="00D44CF2">
        <w:t>W</w:t>
      </w:r>
      <w:r w:rsidRPr="00D44CF2">
        <w:t xml:space="preserve">estern, and </w:t>
      </w:r>
      <w:r w:rsidR="263C30D6" w:rsidRPr="00D44CF2">
        <w:t>S</w:t>
      </w:r>
      <w:r w:rsidRPr="00D44CF2">
        <w:t>outhwestern</w:t>
      </w:r>
      <w:r w:rsidR="002A0801" w:rsidRPr="00D44CF2">
        <w:t xml:space="preserve"> </w:t>
      </w:r>
      <w:r w:rsidR="01A25F24" w:rsidRPr="00D44CF2">
        <w:t>corridors</w:t>
      </w:r>
      <w:r w:rsidR="002A0801" w:rsidRPr="00D44CF2">
        <w:t xml:space="preserve"> and </w:t>
      </w:r>
      <w:r w:rsidR="00D2413C" w:rsidRPr="00D44CF2">
        <w:t>in the Gippsland Offshore zone</w:t>
      </w:r>
      <w:r w:rsidRPr="00D44CF2">
        <w:t>.</w:t>
      </w:r>
      <w:r w:rsidR="00380CCB" w:rsidRPr="00D44CF2">
        <w:t xml:space="preserve"> Victoria is also seeing an influx of BESS interest in all regions including the metropolitan Melbourne area which </w:t>
      </w:r>
      <w:r w:rsidR="00D4009B" w:rsidRPr="00D44CF2">
        <w:t>is generally a difficult location for other large renewable projects.</w:t>
      </w:r>
      <w:r w:rsidRPr="00D44CF2">
        <w:t xml:space="preserve"> Government policies and initiatives driven by Victoria’s renewable energy targets (see </w:t>
      </w:r>
      <w:r w:rsidR="00485FAB" w:rsidRPr="00D44CF2">
        <w:br/>
      </w:r>
      <w:r w:rsidRPr="00D44CF2">
        <w:t xml:space="preserve">Section </w:t>
      </w:r>
      <w:r w:rsidRPr="00D44CF2">
        <w:fldChar w:fldCharType="begin"/>
      </w:r>
      <w:r w:rsidRPr="00D44CF2">
        <w:instrText xml:space="preserve"> REF _Ref177637239 \n \h  \* MERGEFORMAT </w:instrText>
      </w:r>
      <w:r w:rsidRPr="00D44CF2">
        <w:fldChar w:fldCharType="separate"/>
      </w:r>
      <w:r w:rsidR="004973D2">
        <w:t>2.4</w:t>
      </w:r>
      <w:r w:rsidRPr="00D44CF2">
        <w:fldChar w:fldCharType="end"/>
      </w:r>
      <w:r w:rsidRPr="00D44CF2">
        <w:t>), such as Victorian Renewable Energy Target 1 (VRET1) and VRET2, have enabled a total of</w:t>
      </w:r>
      <w:r w:rsidRPr="00D44CF2" w:rsidDel="00D10B35">
        <w:t xml:space="preserve"> </w:t>
      </w:r>
      <w:r w:rsidRPr="00D44CF2">
        <w:t>approximately 1.6</w:t>
      </w:r>
      <w:r w:rsidR="00485FAB" w:rsidRPr="00D44CF2">
        <w:t> </w:t>
      </w:r>
      <w:r w:rsidRPr="00D44CF2">
        <w:t>GW of new renewable energy generation capacity and up to 365 MW/600 megawatt hours (MWh) of new energy storage that is planned to be online in Victoria by 2025</w:t>
      </w:r>
      <w:r w:rsidRPr="00D44CF2">
        <w:rPr>
          <w:vertAlign w:val="superscript"/>
        </w:rPr>
        <w:footnoteReference w:id="33"/>
      </w:r>
      <w:r w:rsidR="00D4009B" w:rsidRPr="00D44CF2">
        <w:t xml:space="preserve">. Victoria’s off shore wind policy </w:t>
      </w:r>
      <w:r w:rsidR="00E072AD" w:rsidRPr="00D44CF2">
        <w:t xml:space="preserve">development policy has drawn significant interest, particularly in the Gippsland offshore wind zone where the </w:t>
      </w:r>
      <w:r w:rsidR="3A4E4A83" w:rsidRPr="00D44CF2">
        <w:t xml:space="preserve">first </w:t>
      </w:r>
      <w:r w:rsidR="00E072AD" w:rsidRPr="00D44CF2">
        <w:t xml:space="preserve">capacity auction for </w:t>
      </w:r>
      <w:r w:rsidR="4911CEDB" w:rsidRPr="00D44CF2">
        <w:t>offshore wind development will occur</w:t>
      </w:r>
      <w:r w:rsidRPr="00D44CF2">
        <w:t xml:space="preserve">. </w:t>
      </w:r>
    </w:p>
    <w:p w14:paraId="5825F248" w14:textId="77777777" w:rsidR="0066118A" w:rsidRPr="00D44CF2" w:rsidRDefault="0066118A" w:rsidP="0066118A">
      <w:pPr>
        <w:pStyle w:val="BodyText"/>
      </w:pPr>
      <w:r w:rsidRPr="00D44CF2">
        <w:t>AVP defines projects by the following definitions:</w:t>
      </w:r>
    </w:p>
    <w:p w14:paraId="42CC8694" w14:textId="77777777" w:rsidR="0066118A" w:rsidRPr="00D44CF2" w:rsidRDefault="0066118A" w:rsidP="0066118A">
      <w:pPr>
        <w:pStyle w:val="ListBullet"/>
        <w:numPr>
          <w:ilvl w:val="0"/>
          <w:numId w:val="35"/>
        </w:numPr>
      </w:pPr>
      <w:r w:rsidRPr="00D44CF2">
        <w:rPr>
          <w:b/>
          <w:bCs/>
        </w:rPr>
        <w:t xml:space="preserve">Proposed </w:t>
      </w:r>
      <w:r w:rsidRPr="00D44CF2">
        <w:t>– projects that proponents have proposed, that have not yet met commitment criteria,</w:t>
      </w:r>
    </w:p>
    <w:p w14:paraId="3B53AE1D" w14:textId="77777777" w:rsidR="0066118A" w:rsidRPr="00D44CF2" w:rsidRDefault="0066118A" w:rsidP="0066118A">
      <w:pPr>
        <w:pStyle w:val="ListBullet"/>
        <w:numPr>
          <w:ilvl w:val="0"/>
          <w:numId w:val="35"/>
        </w:numPr>
      </w:pPr>
      <w:r w:rsidRPr="00D44CF2">
        <w:rPr>
          <w:b/>
          <w:bCs/>
        </w:rPr>
        <w:t xml:space="preserve">Committed </w:t>
      </w:r>
      <w:r w:rsidRPr="00D44CF2">
        <w:t>–</w:t>
      </w:r>
      <w:r w:rsidRPr="00D44CF2">
        <w:rPr>
          <w:b/>
          <w:bCs/>
        </w:rPr>
        <w:t xml:space="preserve"> </w:t>
      </w:r>
      <w:r w:rsidRPr="00D44CF2">
        <w:t>projects where Connection Agreements have been executed and the project is unconditional</w:t>
      </w:r>
      <w:r w:rsidRPr="00D44CF2">
        <w:rPr>
          <w:rStyle w:val="FootnoteReference"/>
        </w:rPr>
        <w:footnoteReference w:id="34"/>
      </w:r>
      <w:r w:rsidRPr="00D44CF2">
        <w:t>, and</w:t>
      </w:r>
    </w:p>
    <w:p w14:paraId="144B59EA" w14:textId="77777777" w:rsidR="0066118A" w:rsidRPr="00D44CF2" w:rsidRDefault="0066118A" w:rsidP="0066118A">
      <w:pPr>
        <w:pStyle w:val="ListBullet"/>
        <w:numPr>
          <w:ilvl w:val="0"/>
          <w:numId w:val="35"/>
        </w:numPr>
      </w:pPr>
      <w:r w:rsidRPr="00D44CF2">
        <w:rPr>
          <w:b/>
          <w:bCs/>
        </w:rPr>
        <w:t>Commissioned</w:t>
      </w:r>
      <w:r w:rsidRPr="00D44CF2">
        <w:t xml:space="preserve"> – projects where all Hold Point testing</w:t>
      </w:r>
      <w:r w:rsidRPr="00D44CF2">
        <w:rPr>
          <w:rStyle w:val="FootnoteReference"/>
        </w:rPr>
        <w:footnoteReference w:id="35"/>
      </w:r>
      <w:r w:rsidRPr="00D44CF2">
        <w:t xml:space="preserve"> has been completed and AEMO has approved the generator for output at full capacity.</w:t>
      </w:r>
    </w:p>
    <w:p w14:paraId="16B66B8C" w14:textId="16D9D54F" w:rsidR="00AE6E51" w:rsidRPr="00D44CF2" w:rsidRDefault="0066118A" w:rsidP="00AE6E51">
      <w:pPr>
        <w:pStyle w:val="BodyText"/>
      </w:pPr>
      <w:r w:rsidRPr="00D44CF2">
        <w:rPr>
          <w:b/>
          <w:bCs/>
        </w:rPr>
        <w:fldChar w:fldCharType="begin"/>
      </w:r>
      <w:r w:rsidRPr="00D44CF2">
        <w:rPr>
          <w:b/>
          <w:bCs/>
        </w:rPr>
        <w:instrText xml:space="preserve"> REF _Ref209452160 \r \h </w:instrText>
      </w:r>
      <w:r w:rsidR="00D44CF2">
        <w:rPr>
          <w:b/>
          <w:bCs/>
        </w:rPr>
        <w:instrText xml:space="preserve"> \* MERGEFORMAT </w:instrText>
      </w:r>
      <w:r w:rsidRPr="00D44CF2">
        <w:rPr>
          <w:b/>
          <w:bCs/>
        </w:rPr>
      </w:r>
      <w:r w:rsidRPr="00D44CF2">
        <w:rPr>
          <w:b/>
          <w:bCs/>
        </w:rPr>
        <w:fldChar w:fldCharType="separate"/>
      </w:r>
      <w:r w:rsidR="004973D2">
        <w:rPr>
          <w:b/>
          <w:bCs/>
        </w:rPr>
        <w:t>Figure 6</w:t>
      </w:r>
      <w:r w:rsidRPr="00D44CF2">
        <w:rPr>
          <w:b/>
          <w:bCs/>
        </w:rPr>
        <w:fldChar w:fldCharType="end"/>
      </w:r>
      <w:r w:rsidR="0083326E" w:rsidRPr="00D44CF2">
        <w:rPr>
          <w:b/>
          <w:bCs/>
        </w:rPr>
        <w:t xml:space="preserve"> </w:t>
      </w:r>
      <w:r w:rsidRPr="00D44CF2">
        <w:t xml:space="preserve">shows the high investment interest for renewable generation and storage in Victoria across existing projects and the pipeline for new connections in the outlook period. </w:t>
      </w:r>
      <w:r w:rsidR="00AE6E51" w:rsidRPr="00D44CF2">
        <w:t>It summarises</w:t>
      </w:r>
      <w:r w:rsidR="00AE6E51" w:rsidRPr="00D44CF2" w:rsidDel="27715F62">
        <w:t xml:space="preserve"> </w:t>
      </w:r>
      <w:r w:rsidR="00AE6E51" w:rsidRPr="00D44CF2">
        <w:t>the installed capacity of existing and projected generation/storage connections on the DSN exceeding 30 MW</w:t>
      </w:r>
      <w:r w:rsidR="00AE6E51" w:rsidRPr="00D44CF2">
        <w:rPr>
          <w:vertAlign w:val="superscript"/>
        </w:rPr>
        <w:footnoteReference w:id="36"/>
      </w:r>
      <w:r w:rsidR="007C2EF7" w:rsidRPr="00D44CF2">
        <w:t>:</w:t>
      </w:r>
    </w:p>
    <w:p w14:paraId="6F48A828" w14:textId="77777777" w:rsidR="00AE6E51" w:rsidRPr="00D44CF2" w:rsidRDefault="00AE6E51" w:rsidP="00AE6E51">
      <w:pPr>
        <w:pStyle w:val="ListBullet"/>
      </w:pPr>
      <w:r w:rsidRPr="00D44CF2">
        <w:t xml:space="preserve">The total large generator installed capacity plus committed generation and storage projects in Victoria as of 30 August 2025 </w:t>
      </w:r>
      <w:r w:rsidRPr="00D44CF2" w:rsidDel="00D55C6E">
        <w:t xml:space="preserve">is </w:t>
      </w:r>
      <w:r w:rsidRPr="00D44CF2">
        <w:t>17.1 GW</w:t>
      </w:r>
      <w:r w:rsidRPr="00D44CF2">
        <w:rPr>
          <w:vertAlign w:val="superscript"/>
        </w:rPr>
        <w:footnoteReference w:id="37"/>
      </w:r>
      <w:r w:rsidRPr="00D44CF2">
        <w:t xml:space="preserve">. Renewable generation capacity </w:t>
      </w:r>
      <w:r w:rsidRPr="00D44CF2" w:rsidDel="00D55C6E">
        <w:t xml:space="preserve">is </w:t>
      </w:r>
      <w:r w:rsidRPr="00D44CF2">
        <w:t>9.6 GW:</w:t>
      </w:r>
    </w:p>
    <w:p w14:paraId="5167FF9D" w14:textId="77777777" w:rsidR="00AE6E51" w:rsidRPr="00D44CF2" w:rsidRDefault="00AE6E51" w:rsidP="00AE6E51">
      <w:pPr>
        <w:pStyle w:val="ListBullet2"/>
      </w:pPr>
      <w:r w:rsidRPr="00D44CF2">
        <w:t xml:space="preserve"> 8.9 GW of large-scale wind, solar generation, and battery storage, and</w:t>
      </w:r>
    </w:p>
    <w:p w14:paraId="1DC61842" w14:textId="77777777" w:rsidR="00AE6E51" w:rsidRPr="00D44CF2" w:rsidRDefault="00AE6E51" w:rsidP="00AE6E51">
      <w:pPr>
        <w:pStyle w:val="ListBullet2"/>
        <w:numPr>
          <w:ilvl w:val="1"/>
          <w:numId w:val="36"/>
        </w:numPr>
      </w:pPr>
      <w:r w:rsidRPr="00D44CF2">
        <w:t xml:space="preserve">0.7 GW of hydro generation. </w:t>
      </w:r>
    </w:p>
    <w:p w14:paraId="539D56DF" w14:textId="77777777" w:rsidR="00AE6E51" w:rsidRPr="00D44CF2" w:rsidRDefault="00AE6E51" w:rsidP="00AE6E51">
      <w:pPr>
        <w:pStyle w:val="ListBullet"/>
        <w:numPr>
          <w:ilvl w:val="0"/>
          <w:numId w:val="36"/>
        </w:numPr>
      </w:pPr>
      <w:r w:rsidRPr="00D44CF2">
        <w:t>Current thermal generation capacity 7.5 GW:</w:t>
      </w:r>
    </w:p>
    <w:p w14:paraId="561A7A02" w14:textId="77777777" w:rsidR="00AE6E51" w:rsidRPr="00D44CF2" w:rsidRDefault="00AE6E51" w:rsidP="00AE6E51">
      <w:pPr>
        <w:pStyle w:val="ListBullet2"/>
        <w:numPr>
          <w:ilvl w:val="1"/>
          <w:numId w:val="37"/>
        </w:numPr>
      </w:pPr>
      <w:r w:rsidRPr="00D44CF2">
        <w:lastRenderedPageBreak/>
        <w:t>5.1 GW of coal generation remains after 1.9 GW retired between 2014 and 2017, and</w:t>
      </w:r>
    </w:p>
    <w:p w14:paraId="50C78620" w14:textId="7ECA75F3" w:rsidR="00AE6E51" w:rsidRPr="00D44CF2" w:rsidRDefault="00AE6E51" w:rsidP="00AE6E51">
      <w:pPr>
        <w:pStyle w:val="ListBullet2"/>
      </w:pPr>
      <w:r w:rsidRPr="00D44CF2">
        <w:t>2.4 GW of gas generation.</w:t>
      </w:r>
    </w:p>
    <w:p w14:paraId="29C53582" w14:textId="11716CF1" w:rsidR="0066118A" w:rsidRPr="00D44CF2" w:rsidRDefault="0066118A" w:rsidP="0066118A">
      <w:pPr>
        <w:pStyle w:val="BodyText"/>
        <w:sectPr w:rsidR="0066118A" w:rsidRPr="00D44CF2" w:rsidSect="0066118A">
          <w:pgSz w:w="11907" w:h="16840" w:code="9"/>
          <w:pgMar w:top="1985" w:right="907" w:bottom="1418" w:left="907" w:header="788" w:footer="471" w:gutter="0"/>
          <w:cols w:space="708"/>
          <w:docGrid w:linePitch="360"/>
        </w:sectPr>
      </w:pPr>
    </w:p>
    <w:p w14:paraId="0DA28B5B" w14:textId="77777777" w:rsidR="0066118A" w:rsidRPr="00D44CF2" w:rsidRDefault="0066118A" w:rsidP="0066118A">
      <w:pPr>
        <w:pStyle w:val="CaptionFigure"/>
        <w:spacing w:before="0"/>
      </w:pPr>
      <w:bookmarkStart w:id="60" w:name="_Ref177554361"/>
      <w:bookmarkStart w:id="61" w:name="_Toc180159779"/>
      <w:bookmarkStart w:id="62" w:name="_Ref208417281"/>
      <w:bookmarkStart w:id="63" w:name="_Ref209452160"/>
      <w:bookmarkStart w:id="64" w:name="_Ref210392858"/>
      <w:bookmarkStart w:id="65" w:name="_Toc212023340"/>
      <w:r w:rsidRPr="00D44CF2">
        <w:lastRenderedPageBreak/>
        <w:t>Summary of existing generation capacity and connections pipeline in Victoria</w:t>
      </w:r>
      <w:bookmarkEnd w:id="60"/>
      <w:bookmarkEnd w:id="61"/>
      <w:bookmarkEnd w:id="62"/>
      <w:bookmarkEnd w:id="63"/>
      <w:bookmarkEnd w:id="64"/>
      <w:bookmarkEnd w:id="65"/>
    </w:p>
    <w:p w14:paraId="4A9AD684" w14:textId="7BD991D4" w:rsidR="0066118A" w:rsidRPr="00D44CF2" w:rsidRDefault="00EE31E0" w:rsidP="0066118A">
      <w:pPr>
        <w:pStyle w:val="BodyText"/>
      </w:pPr>
      <w:r w:rsidRPr="00D44CF2">
        <w:rPr>
          <w:noProof/>
        </w:rPr>
        <w:drawing>
          <wp:inline distT="0" distB="0" distL="0" distR="0" wp14:anchorId="64BC7669" wp14:editId="39DD2A2A">
            <wp:extent cx="9027736" cy="5184000"/>
            <wp:effectExtent l="0" t="0" r="2540" b="0"/>
            <wp:docPr id="702608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08430" name=""/>
                    <pic:cNvPicPr/>
                  </pic:nvPicPr>
                  <pic:blipFill rotWithShape="1">
                    <a:blip r:embed="rId42"/>
                    <a:srcRect t="1100" b="814"/>
                    <a:stretch/>
                  </pic:blipFill>
                  <pic:spPr bwMode="auto">
                    <a:xfrm>
                      <a:off x="0" y="0"/>
                      <a:ext cx="9027736" cy="5184000"/>
                    </a:xfrm>
                    <a:prstGeom prst="rect">
                      <a:avLst/>
                    </a:prstGeom>
                    <a:ln>
                      <a:noFill/>
                    </a:ln>
                    <a:extLst>
                      <a:ext uri="{53640926-AAD7-44D8-BBD7-CCE9431645EC}">
                        <a14:shadowObscured xmlns:a14="http://schemas.microsoft.com/office/drawing/2010/main"/>
                      </a:ext>
                    </a:extLst>
                  </pic:spPr>
                </pic:pic>
              </a:graphicData>
            </a:graphic>
          </wp:inline>
        </w:drawing>
      </w:r>
    </w:p>
    <w:p w14:paraId="2FC8CE58" w14:textId="6D91D6BA" w:rsidR="00F256C8" w:rsidRPr="00D44CF2" w:rsidRDefault="00F256C8" w:rsidP="0066118A">
      <w:pPr>
        <w:pStyle w:val="BodyText"/>
        <w:sectPr w:rsidR="00F256C8" w:rsidRPr="00D44CF2" w:rsidSect="0066118A">
          <w:footerReference w:type="default" r:id="rId43"/>
          <w:pgSz w:w="16840" w:h="11907" w:orient="landscape" w:code="9"/>
          <w:pgMar w:top="1985" w:right="907" w:bottom="1418" w:left="907" w:header="788" w:footer="471" w:gutter="0"/>
          <w:cols w:space="708"/>
          <w:docGrid w:linePitch="360"/>
        </w:sectPr>
      </w:pPr>
    </w:p>
    <w:p w14:paraId="204F7AFF" w14:textId="4A12BD5C" w:rsidR="0066118A" w:rsidRPr="00D44CF2" w:rsidRDefault="0066118A" w:rsidP="0066118A">
      <w:pPr>
        <w:pStyle w:val="BodyText"/>
      </w:pPr>
      <w:r w:rsidRPr="00D44CF2">
        <w:lastRenderedPageBreak/>
        <w:t xml:space="preserve">There is a substantial pipeline of additional projects currently classed as proposed. </w:t>
      </w:r>
      <w:r w:rsidRPr="00D44CF2">
        <w:rPr>
          <w:b/>
          <w:bCs/>
        </w:rPr>
        <w:fldChar w:fldCharType="begin"/>
      </w:r>
      <w:r w:rsidRPr="00D44CF2">
        <w:rPr>
          <w:b/>
          <w:bCs/>
        </w:rPr>
        <w:instrText xml:space="preserve"> REF _Ref208318357 \n \h </w:instrText>
      </w:r>
      <w:r w:rsidR="0083326E" w:rsidRPr="00D44CF2">
        <w:rPr>
          <w:b/>
          <w:bCs/>
        </w:rPr>
        <w:instrText xml:space="preserve"> \* MERGEFORMAT </w:instrText>
      </w:r>
      <w:r w:rsidRPr="00D44CF2">
        <w:rPr>
          <w:b/>
          <w:bCs/>
        </w:rPr>
      </w:r>
      <w:r w:rsidRPr="00D44CF2">
        <w:rPr>
          <w:b/>
          <w:bCs/>
        </w:rPr>
        <w:fldChar w:fldCharType="separate"/>
      </w:r>
      <w:r w:rsidR="004973D2">
        <w:rPr>
          <w:b/>
          <w:bCs/>
        </w:rPr>
        <w:t>Figure 7</w:t>
      </w:r>
      <w:r w:rsidRPr="00D44CF2">
        <w:rPr>
          <w:b/>
          <w:bCs/>
        </w:rPr>
        <w:fldChar w:fldCharType="end"/>
      </w:r>
      <w:r w:rsidRPr="00D44CF2">
        <w:t xml:space="preserve"> shows new and existing generation and storage projects from the last 12 months, grouped by the stage in the connection process projects are at. </w:t>
      </w:r>
    </w:p>
    <w:p w14:paraId="242E42EF" w14:textId="77777777" w:rsidR="0066118A" w:rsidRPr="00D44CF2" w:rsidRDefault="0066118A" w:rsidP="0066118A">
      <w:pPr>
        <w:pStyle w:val="CaptionFigure"/>
      </w:pPr>
      <w:bookmarkStart w:id="66" w:name="_Toc179369169"/>
      <w:bookmarkStart w:id="67" w:name="_Ref208318357"/>
      <w:bookmarkStart w:id="68" w:name="_Toc212023341"/>
      <w:bookmarkEnd w:id="66"/>
      <w:r w:rsidRPr="00D44CF2">
        <w:t>Total maximum capacity (MW) by count of projects by category</w:t>
      </w:r>
      <w:bookmarkEnd w:id="67"/>
      <w:bookmarkEnd w:id="68"/>
      <w:r w:rsidRPr="00D44CF2">
        <w:t xml:space="preserve">  </w:t>
      </w:r>
    </w:p>
    <w:p w14:paraId="7E2DCCB1" w14:textId="4C2E9357" w:rsidR="0066118A" w:rsidRPr="00D44CF2" w:rsidRDefault="004243B7" w:rsidP="009E6FC5">
      <w:pPr>
        <w:pStyle w:val="BodyText"/>
      </w:pPr>
      <w:r w:rsidRPr="00D44CF2">
        <w:rPr>
          <w:noProof/>
        </w:rPr>
        <w:drawing>
          <wp:inline distT="0" distB="0" distL="0" distR="0" wp14:anchorId="31D758C2" wp14:editId="52E2C799">
            <wp:extent cx="6408000" cy="4417602"/>
            <wp:effectExtent l="0" t="0" r="0" b="2540"/>
            <wp:docPr id="1399197567" name="Picture 1"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97567" name="Picture 1" descr="A graph of different colored squares&#10;&#10;AI-generated content may be incorrect."/>
                    <pic:cNvPicPr/>
                  </pic:nvPicPr>
                  <pic:blipFill>
                    <a:blip r:embed="rId44"/>
                    <a:stretch>
                      <a:fillRect/>
                    </a:stretch>
                  </pic:blipFill>
                  <pic:spPr>
                    <a:xfrm>
                      <a:off x="0" y="0"/>
                      <a:ext cx="6408000" cy="4417602"/>
                    </a:xfrm>
                    <a:prstGeom prst="rect">
                      <a:avLst/>
                    </a:prstGeom>
                  </pic:spPr>
                </pic:pic>
              </a:graphicData>
            </a:graphic>
          </wp:inline>
        </w:drawing>
      </w:r>
    </w:p>
    <w:p w14:paraId="3E12929E" w14:textId="77777777" w:rsidR="0066118A" w:rsidRPr="00D44CF2" w:rsidRDefault="0066118A" w:rsidP="0066118A">
      <w:pPr>
        <w:pStyle w:val="Heading3"/>
      </w:pPr>
      <w:r w:rsidRPr="00D44CF2">
        <w:t>Growing investments in renewable energy highlight challenges in Victoria’s traditional transmission network</w:t>
      </w:r>
      <w:r w:rsidRPr="00D44CF2">
        <w:rPr>
          <w:rFonts w:ascii="Arial" w:hAnsi="Arial" w:cs="Arial"/>
        </w:rPr>
        <w:t>​</w:t>
      </w:r>
    </w:p>
    <w:p w14:paraId="698F9C06" w14:textId="40DF98C9" w:rsidR="0066118A" w:rsidRPr="00D44CF2" w:rsidRDefault="0066118A" w:rsidP="0066118A">
      <w:pPr>
        <w:pStyle w:val="BodyText"/>
      </w:pPr>
      <w:r w:rsidRPr="00D44CF2">
        <w:t xml:space="preserve">As Victoria decarbonises its energy system, the geographic location of supply has diversified. Additional solar and wind generation is being developed in the west of the state while large brown coal generators in the Latrobe Valley are approaching their </w:t>
      </w:r>
      <w:r w:rsidR="1F5A45BA" w:rsidRPr="00D44CF2">
        <w:t>planned</w:t>
      </w:r>
      <w:r w:rsidRPr="00D44CF2">
        <w:t xml:space="preserve"> closure dates (mid-2028 for Yallourn Power Station and Loy Yang A in 2035). Solar and wind generation sources, including offshore wind, are also expected to develop in the east to take advantage of existing transmission infrastructure. </w:t>
      </w:r>
    </w:p>
    <w:p w14:paraId="45619036" w14:textId="514EB139" w:rsidR="0066118A" w:rsidRPr="00D44CF2" w:rsidRDefault="0066118A" w:rsidP="009E6FC5">
      <w:pPr>
        <w:pStyle w:val="BodyText"/>
        <w:spacing w:after="0"/>
      </w:pPr>
      <w:r w:rsidRPr="00D44CF2">
        <w:t xml:space="preserve">Both east and west generation developments will be </w:t>
      </w:r>
      <w:r w:rsidR="009D48DF" w:rsidRPr="00D44CF2">
        <w:t>needed</w:t>
      </w:r>
      <w:r w:rsidRPr="00D44CF2">
        <w:t xml:space="preserve"> to meet the needs of Victorian consumers. While the network to the east is expected to largely accommodate generation developments replacing coal in the next decade, the network to the west does not yet have capacity to transfer large quantities of the power from the </w:t>
      </w:r>
      <w:r w:rsidRPr="00D44CF2">
        <w:lastRenderedPageBreak/>
        <w:t xml:space="preserve">renewable energy sources expected to connect in that area (see Section 3.2.1 in the 2025 </w:t>
      </w:r>
      <w:r w:rsidRPr="00D44CF2">
        <w:rPr>
          <w:i/>
          <w:iCs/>
        </w:rPr>
        <w:t>Victorian Network Performance and Insights Report</w:t>
      </w:r>
      <w:r w:rsidR="009E6FC5" w:rsidRPr="00D44CF2">
        <w:rPr>
          <w:i/>
          <w:iCs/>
        </w:rPr>
        <w:t xml:space="preserve"> </w:t>
      </w:r>
      <w:r w:rsidR="007258F4" w:rsidRPr="00D44CF2">
        <w:t>[</w:t>
      </w:r>
      <w:r w:rsidR="009E6FC5" w:rsidRPr="00D44CF2">
        <w:t>VNPIR</w:t>
      </w:r>
      <w:r w:rsidR="007258F4" w:rsidRPr="00D44CF2">
        <w:t>]</w:t>
      </w:r>
      <w:r w:rsidRPr="00D44CF2">
        <w:rPr>
          <w:rStyle w:val="FootnoteReference"/>
        </w:rPr>
        <w:footnoteReference w:id="38"/>
      </w:r>
      <w:r w:rsidRPr="00D44CF2">
        <w:t>).</w:t>
      </w:r>
    </w:p>
    <w:p w14:paraId="4AE62F06" w14:textId="77777777" w:rsidR="0066118A" w:rsidRPr="00D44CF2" w:rsidRDefault="0066118A" w:rsidP="0066118A">
      <w:pPr>
        <w:pStyle w:val="Heading4"/>
        <w:rPr>
          <w:b/>
          <w:bCs/>
        </w:rPr>
      </w:pPr>
      <w:r w:rsidRPr="00D44CF2">
        <w:t>Generation and storage update since the 2024 VAPR</w:t>
      </w:r>
      <w:r w:rsidRPr="00D44CF2">
        <w:rPr>
          <w:rFonts w:ascii="Arial" w:hAnsi="Arial" w:cs="Arial"/>
        </w:rPr>
        <w:t>​</w:t>
      </w:r>
    </w:p>
    <w:p w14:paraId="7BA6D6FD" w14:textId="77777777" w:rsidR="0066118A" w:rsidRPr="00D44CF2" w:rsidRDefault="0066118A" w:rsidP="0066118A">
      <w:pPr>
        <w:pStyle w:val="BodyText"/>
      </w:pPr>
      <w:r w:rsidRPr="00D44CF2">
        <w:t xml:space="preserve">Interest in wind and utility-scale solar projects continues, however there is an increasing uptake of committed BESS projects including hybrid applications of IBR incorporating storage.   </w:t>
      </w:r>
    </w:p>
    <w:p w14:paraId="4A9291A2" w14:textId="67B44957" w:rsidR="0066118A" w:rsidRPr="00D44CF2" w:rsidRDefault="0066118A" w:rsidP="0066118A">
      <w:pPr>
        <w:pStyle w:val="BodyText"/>
      </w:pPr>
      <w:r w:rsidRPr="00D44CF2">
        <w:rPr>
          <w:b/>
          <w:bCs/>
        </w:rPr>
        <w:fldChar w:fldCharType="begin"/>
      </w:r>
      <w:r w:rsidRPr="00D44CF2">
        <w:rPr>
          <w:b/>
          <w:bCs/>
        </w:rPr>
        <w:instrText xml:space="preserve"> REF _Ref177559162 \r \h  \* MERGEFORMAT </w:instrText>
      </w:r>
      <w:r w:rsidRPr="00D44CF2">
        <w:rPr>
          <w:b/>
          <w:bCs/>
        </w:rPr>
      </w:r>
      <w:r w:rsidRPr="00D44CF2">
        <w:rPr>
          <w:b/>
          <w:bCs/>
        </w:rPr>
        <w:fldChar w:fldCharType="separate"/>
      </w:r>
      <w:r w:rsidR="004973D2">
        <w:rPr>
          <w:b/>
          <w:bCs/>
        </w:rPr>
        <w:t>Table 2</w:t>
      </w:r>
      <w:r w:rsidRPr="00D44CF2">
        <w:rPr>
          <w:b/>
          <w:bCs/>
        </w:rPr>
        <w:fldChar w:fldCharType="end"/>
      </w:r>
      <w:r w:rsidR="0083326E" w:rsidRPr="00D44CF2">
        <w:rPr>
          <w:b/>
          <w:bCs/>
        </w:rPr>
        <w:t xml:space="preserve"> </w:t>
      </w:r>
      <w:r w:rsidRPr="00D44CF2">
        <w:t>lists newly committed large-scale renewable energy projects, currently in the commissioning phase, since the publication of the 2024 VAPR, adding 320.5</w:t>
      </w:r>
      <w:r w:rsidRPr="00D44CF2" w:rsidDel="00EF5621">
        <w:t xml:space="preserve"> </w:t>
      </w:r>
      <w:r w:rsidRPr="00D44CF2">
        <w:t>MW of capacity and 1,740 MWh of storage.</w:t>
      </w:r>
    </w:p>
    <w:p w14:paraId="73E9D914" w14:textId="77777777" w:rsidR="0066118A" w:rsidRPr="00D44CF2" w:rsidRDefault="0066118A" w:rsidP="0066118A">
      <w:pPr>
        <w:pStyle w:val="CaptionTable"/>
      </w:pPr>
      <w:r w:rsidRPr="00D44CF2">
        <w:t xml:space="preserve"> </w:t>
      </w:r>
      <w:bookmarkStart w:id="69" w:name="_Ref177559162"/>
      <w:bookmarkStart w:id="70" w:name="_Toc180655828"/>
      <w:bookmarkStart w:id="71" w:name="_Toc212023306"/>
      <w:r w:rsidRPr="00D44CF2">
        <w:t>Newly committed large-scale renewable projects since 2024 VAPR</w:t>
      </w:r>
      <w:bookmarkEnd w:id="69"/>
      <w:bookmarkEnd w:id="70"/>
      <w:bookmarkEnd w:id="71"/>
    </w:p>
    <w:tbl>
      <w:tblPr>
        <w:tblStyle w:val="AEMO-Table4"/>
        <w:tblW w:w="0" w:type="auto"/>
        <w:tblLook w:val="04A0" w:firstRow="1" w:lastRow="0" w:firstColumn="1" w:lastColumn="0" w:noHBand="0" w:noVBand="1"/>
      </w:tblPr>
      <w:tblGrid>
        <w:gridCol w:w="802"/>
        <w:gridCol w:w="2429"/>
        <w:gridCol w:w="2029"/>
        <w:gridCol w:w="1615"/>
        <w:gridCol w:w="1697"/>
        <w:gridCol w:w="1521"/>
      </w:tblGrid>
      <w:tr w:rsidR="00723C05" w:rsidRPr="00D44CF2" w14:paraId="5CD3B56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dxa"/>
          </w:tcPr>
          <w:p w14:paraId="6D39BD50" w14:textId="77777777" w:rsidR="0066118A" w:rsidRPr="00D44CF2" w:rsidRDefault="0066118A" w:rsidP="001A3F5B">
            <w:pPr>
              <w:pStyle w:val="TableText"/>
            </w:pPr>
            <w:r w:rsidRPr="00D44CF2">
              <w:t>Source</w:t>
            </w:r>
          </w:p>
        </w:tc>
        <w:tc>
          <w:tcPr>
            <w:tcW w:w="2429" w:type="dxa"/>
          </w:tcPr>
          <w:p w14:paraId="5B209960"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Project</w:t>
            </w:r>
          </w:p>
        </w:tc>
        <w:tc>
          <w:tcPr>
            <w:tcW w:w="2029" w:type="dxa"/>
          </w:tcPr>
          <w:p w14:paraId="0CA8E6B3"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Connecting terminal station</w:t>
            </w:r>
          </w:p>
        </w:tc>
        <w:tc>
          <w:tcPr>
            <w:tcW w:w="1615" w:type="dxa"/>
          </w:tcPr>
          <w:p w14:paraId="46A706F1"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Connection voltage (kV)</w:t>
            </w:r>
          </w:p>
        </w:tc>
        <w:tc>
          <w:tcPr>
            <w:tcW w:w="1697" w:type="dxa"/>
          </w:tcPr>
          <w:p w14:paraId="10C221F2"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Maximum capacity (MW)</w:t>
            </w:r>
          </w:p>
        </w:tc>
        <w:tc>
          <w:tcPr>
            <w:tcW w:w="1521" w:type="dxa"/>
          </w:tcPr>
          <w:p w14:paraId="029D04F4"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Storage capacity (MWh)</w:t>
            </w:r>
          </w:p>
        </w:tc>
      </w:tr>
      <w:tr w:rsidR="00723C05" w:rsidRPr="00D44CF2" w14:paraId="71D9C51D" w14:textId="77777777" w:rsidTr="00261D2D">
        <w:tc>
          <w:tcPr>
            <w:cnfStyle w:val="001000000000" w:firstRow="0" w:lastRow="0" w:firstColumn="1" w:lastColumn="0" w:oddVBand="0" w:evenVBand="0" w:oddHBand="0" w:evenHBand="0" w:firstRowFirstColumn="0" w:firstRowLastColumn="0" w:lastRowFirstColumn="0" w:lastRowLastColumn="0"/>
            <w:tcW w:w="802" w:type="dxa"/>
          </w:tcPr>
          <w:p w14:paraId="40E3AD3B" w14:textId="77777777" w:rsidR="0066118A" w:rsidRPr="00D44CF2" w:rsidRDefault="0066118A" w:rsidP="001A3F5B">
            <w:pPr>
              <w:pStyle w:val="TableText"/>
            </w:pPr>
            <w:r w:rsidRPr="00D44CF2">
              <w:t>Solar</w:t>
            </w:r>
          </w:p>
        </w:tc>
        <w:tc>
          <w:tcPr>
            <w:tcW w:w="2429" w:type="dxa"/>
          </w:tcPr>
          <w:p w14:paraId="7979755D"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Winton North Solar Farm</w:t>
            </w:r>
          </w:p>
        </w:tc>
        <w:tc>
          <w:tcPr>
            <w:tcW w:w="2029" w:type="dxa"/>
          </w:tcPr>
          <w:p w14:paraId="4398752F"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GNTS – Glenrowan</w:t>
            </w:r>
          </w:p>
        </w:tc>
        <w:tc>
          <w:tcPr>
            <w:tcW w:w="1615" w:type="dxa"/>
          </w:tcPr>
          <w:p w14:paraId="4AD4646A"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220</w:t>
            </w:r>
          </w:p>
        </w:tc>
        <w:tc>
          <w:tcPr>
            <w:tcW w:w="1697" w:type="dxa"/>
          </w:tcPr>
          <w:p w14:paraId="511D1644"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100</w:t>
            </w:r>
          </w:p>
        </w:tc>
        <w:tc>
          <w:tcPr>
            <w:tcW w:w="1521" w:type="dxa"/>
          </w:tcPr>
          <w:p w14:paraId="63EC0DC9"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p>
        </w:tc>
      </w:tr>
      <w:tr w:rsidR="00723C05" w:rsidRPr="00D44CF2" w14:paraId="2BD18499" w14:textId="77777777" w:rsidTr="00261D2D">
        <w:tc>
          <w:tcPr>
            <w:cnfStyle w:val="001000000000" w:firstRow="0" w:lastRow="0" w:firstColumn="1" w:lastColumn="0" w:oddVBand="0" w:evenVBand="0" w:oddHBand="0" w:evenHBand="0" w:firstRowFirstColumn="0" w:firstRowLastColumn="0" w:lastRowFirstColumn="0" w:lastRowLastColumn="0"/>
            <w:tcW w:w="802" w:type="dxa"/>
            <w:vMerge w:val="restart"/>
          </w:tcPr>
          <w:p w14:paraId="4A6BD55B" w14:textId="77777777" w:rsidR="0066118A" w:rsidRPr="00D44CF2" w:rsidRDefault="0066118A" w:rsidP="001A3F5B">
            <w:pPr>
              <w:pStyle w:val="TableText"/>
            </w:pPr>
            <w:r w:rsidRPr="00D44CF2">
              <w:t>BESS</w:t>
            </w:r>
          </w:p>
        </w:tc>
        <w:tc>
          <w:tcPr>
            <w:tcW w:w="2429" w:type="dxa"/>
          </w:tcPr>
          <w:p w14:paraId="25E4EC96"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Wooreen BESS</w:t>
            </w:r>
          </w:p>
        </w:tc>
        <w:tc>
          <w:tcPr>
            <w:tcW w:w="2029" w:type="dxa"/>
          </w:tcPr>
          <w:p w14:paraId="5A54F8E1"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JLTS – Jeeralang</w:t>
            </w:r>
          </w:p>
        </w:tc>
        <w:tc>
          <w:tcPr>
            <w:tcW w:w="1615" w:type="dxa"/>
          </w:tcPr>
          <w:p w14:paraId="08DCA709"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220</w:t>
            </w:r>
          </w:p>
        </w:tc>
        <w:tc>
          <w:tcPr>
            <w:tcW w:w="1697" w:type="dxa"/>
          </w:tcPr>
          <w:p w14:paraId="1400A8D6"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p>
        </w:tc>
        <w:tc>
          <w:tcPr>
            <w:tcW w:w="1521" w:type="dxa"/>
          </w:tcPr>
          <w:p w14:paraId="7859E5CB"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1,400</w:t>
            </w:r>
          </w:p>
        </w:tc>
      </w:tr>
      <w:tr w:rsidR="00723C05" w:rsidRPr="00D44CF2" w14:paraId="315402A4" w14:textId="77777777" w:rsidTr="00261D2D">
        <w:tc>
          <w:tcPr>
            <w:cnfStyle w:val="001000000000" w:firstRow="0" w:lastRow="0" w:firstColumn="1" w:lastColumn="0" w:oddVBand="0" w:evenVBand="0" w:oddHBand="0" w:evenHBand="0" w:firstRowFirstColumn="0" w:firstRowLastColumn="0" w:lastRowFirstColumn="0" w:lastRowLastColumn="0"/>
            <w:tcW w:w="802" w:type="dxa"/>
            <w:vMerge/>
          </w:tcPr>
          <w:p w14:paraId="1FD8B222" w14:textId="77777777" w:rsidR="0066118A" w:rsidRPr="00D44CF2" w:rsidRDefault="0066118A" w:rsidP="001A3F5B">
            <w:pPr>
              <w:pStyle w:val="TableText"/>
            </w:pPr>
          </w:p>
        </w:tc>
        <w:tc>
          <w:tcPr>
            <w:tcW w:w="2429" w:type="dxa"/>
          </w:tcPr>
          <w:p w14:paraId="57367FF1"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Axedale Solar Farm and BESS</w:t>
            </w:r>
          </w:p>
        </w:tc>
        <w:tc>
          <w:tcPr>
            <w:tcW w:w="2029" w:type="dxa"/>
          </w:tcPr>
          <w:p w14:paraId="60D7263A"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ADTS – Axedale</w:t>
            </w:r>
          </w:p>
        </w:tc>
        <w:tc>
          <w:tcPr>
            <w:tcW w:w="1615" w:type="dxa"/>
          </w:tcPr>
          <w:p w14:paraId="38E26B91"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220</w:t>
            </w:r>
          </w:p>
        </w:tc>
        <w:tc>
          <w:tcPr>
            <w:tcW w:w="1697" w:type="dxa"/>
          </w:tcPr>
          <w:p w14:paraId="6145741D"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140</w:t>
            </w:r>
          </w:p>
        </w:tc>
        <w:tc>
          <w:tcPr>
            <w:tcW w:w="1521" w:type="dxa"/>
          </w:tcPr>
          <w:p w14:paraId="40845F97"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100</w:t>
            </w:r>
          </w:p>
        </w:tc>
      </w:tr>
      <w:tr w:rsidR="00723C05" w:rsidRPr="00D44CF2" w14:paraId="0CC9574E" w14:textId="77777777" w:rsidTr="00261D2D">
        <w:tc>
          <w:tcPr>
            <w:cnfStyle w:val="001000000000" w:firstRow="0" w:lastRow="0" w:firstColumn="1" w:lastColumn="0" w:oddVBand="0" w:evenVBand="0" w:oddHBand="0" w:evenHBand="0" w:firstRowFirstColumn="0" w:firstRowLastColumn="0" w:lastRowFirstColumn="0" w:lastRowLastColumn="0"/>
            <w:tcW w:w="802" w:type="dxa"/>
            <w:vMerge/>
          </w:tcPr>
          <w:p w14:paraId="7EF61ECC" w14:textId="77777777" w:rsidR="0066118A" w:rsidRPr="00D44CF2" w:rsidRDefault="0066118A" w:rsidP="001A3F5B">
            <w:pPr>
              <w:pStyle w:val="TableText"/>
            </w:pPr>
          </w:p>
        </w:tc>
        <w:tc>
          <w:tcPr>
            <w:tcW w:w="2429" w:type="dxa"/>
          </w:tcPr>
          <w:p w14:paraId="4308746A"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Fosterville Solar Farm and BESS</w:t>
            </w:r>
          </w:p>
        </w:tc>
        <w:tc>
          <w:tcPr>
            <w:tcW w:w="2029" w:type="dxa"/>
          </w:tcPr>
          <w:p w14:paraId="3666ED89"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ADTS – Axedale</w:t>
            </w:r>
          </w:p>
        </w:tc>
        <w:tc>
          <w:tcPr>
            <w:tcW w:w="1615" w:type="dxa"/>
          </w:tcPr>
          <w:p w14:paraId="25B3713F"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rPr>
                <w:szCs w:val="16"/>
              </w:rPr>
            </w:pPr>
            <w:r w:rsidRPr="00D44CF2">
              <w:rPr>
                <w:szCs w:val="16"/>
              </w:rPr>
              <w:t>220</w:t>
            </w:r>
          </w:p>
        </w:tc>
        <w:tc>
          <w:tcPr>
            <w:tcW w:w="1697" w:type="dxa"/>
          </w:tcPr>
          <w:p w14:paraId="700C3482"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80.5</w:t>
            </w:r>
          </w:p>
        </w:tc>
        <w:tc>
          <w:tcPr>
            <w:tcW w:w="1521" w:type="dxa"/>
          </w:tcPr>
          <w:p w14:paraId="1F474907"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240</w:t>
            </w:r>
          </w:p>
        </w:tc>
      </w:tr>
    </w:tbl>
    <w:p w14:paraId="232702EF" w14:textId="77777777" w:rsidR="0066118A" w:rsidRPr="00D44CF2" w:rsidRDefault="0066118A" w:rsidP="0066118A">
      <w:pPr>
        <w:pStyle w:val="TableFigureFootnote"/>
      </w:pPr>
    </w:p>
    <w:p w14:paraId="2AA85C1F" w14:textId="4ADD15BD" w:rsidR="0066118A" w:rsidRPr="00D44CF2" w:rsidRDefault="0066118A" w:rsidP="0066118A">
      <w:pPr>
        <w:pStyle w:val="BodyText"/>
      </w:pPr>
      <w:r w:rsidRPr="00D44CF2">
        <w:t xml:space="preserve">As </w:t>
      </w:r>
      <w:r w:rsidRPr="00D44CF2">
        <w:rPr>
          <w:b/>
          <w:bCs/>
        </w:rPr>
        <w:fldChar w:fldCharType="begin"/>
      </w:r>
      <w:r w:rsidRPr="00D44CF2">
        <w:rPr>
          <w:b/>
          <w:bCs/>
        </w:rPr>
        <w:instrText xml:space="preserve"> REF _Ref177559172 \n \h </w:instrText>
      </w:r>
      <w:r w:rsidR="0083326E" w:rsidRPr="00D44CF2">
        <w:rPr>
          <w:b/>
          <w:bCs/>
        </w:rPr>
        <w:instrText xml:space="preserve"> \* MERGEFORMAT </w:instrText>
      </w:r>
      <w:r w:rsidRPr="00D44CF2">
        <w:rPr>
          <w:b/>
          <w:bCs/>
        </w:rPr>
      </w:r>
      <w:r w:rsidRPr="00D44CF2">
        <w:rPr>
          <w:b/>
          <w:bCs/>
        </w:rPr>
        <w:fldChar w:fldCharType="separate"/>
      </w:r>
      <w:r w:rsidR="004973D2">
        <w:rPr>
          <w:b/>
          <w:bCs/>
        </w:rPr>
        <w:t>Table 3</w:t>
      </w:r>
      <w:r w:rsidRPr="00D44CF2">
        <w:rPr>
          <w:b/>
          <w:bCs/>
        </w:rPr>
        <w:fldChar w:fldCharType="end"/>
      </w:r>
      <w:r w:rsidR="0083326E" w:rsidRPr="00D44CF2">
        <w:rPr>
          <w:b/>
          <w:bCs/>
        </w:rPr>
        <w:t xml:space="preserve"> </w:t>
      </w:r>
      <w:r w:rsidRPr="00D44CF2">
        <w:t>shows, three large-scale renewable projects have been commissioned in the DSN in the past year, adding 1,028 MW of capacity.</w:t>
      </w:r>
    </w:p>
    <w:p w14:paraId="17E2EE2D" w14:textId="77777777" w:rsidR="0066118A" w:rsidRPr="00D44CF2" w:rsidRDefault="0066118A" w:rsidP="0066118A">
      <w:pPr>
        <w:pStyle w:val="CaptionTable"/>
      </w:pPr>
      <w:bookmarkStart w:id="72" w:name="_Ref177559172"/>
      <w:bookmarkStart w:id="73" w:name="_Toc180655829"/>
      <w:bookmarkStart w:id="74" w:name="_Toc212023307"/>
      <w:r w:rsidRPr="00D44CF2">
        <w:t>Newly commissioned large-scale renewable projects since 2024 VAPR</w:t>
      </w:r>
      <w:bookmarkEnd w:id="72"/>
      <w:bookmarkEnd w:id="73"/>
      <w:bookmarkEnd w:id="74"/>
    </w:p>
    <w:tbl>
      <w:tblPr>
        <w:tblStyle w:val="AEMO-Table4"/>
        <w:tblW w:w="0" w:type="auto"/>
        <w:tblLook w:val="04A0" w:firstRow="1" w:lastRow="0" w:firstColumn="1" w:lastColumn="0" w:noHBand="0" w:noVBand="1"/>
      </w:tblPr>
      <w:tblGrid>
        <w:gridCol w:w="850"/>
        <w:gridCol w:w="2978"/>
        <w:gridCol w:w="2409"/>
        <w:gridCol w:w="1843"/>
        <w:gridCol w:w="1982"/>
      </w:tblGrid>
      <w:tr w:rsidR="0017564B" w:rsidRPr="00D44CF2" w14:paraId="796E8485"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0" w:type="dxa"/>
          </w:tcPr>
          <w:p w14:paraId="77D7F0D0" w14:textId="77777777" w:rsidR="0066118A" w:rsidRPr="00D44CF2" w:rsidRDefault="0066118A" w:rsidP="001A3F5B">
            <w:pPr>
              <w:pStyle w:val="TableText"/>
            </w:pPr>
            <w:r w:rsidRPr="00D44CF2">
              <w:t>Source</w:t>
            </w:r>
          </w:p>
        </w:tc>
        <w:tc>
          <w:tcPr>
            <w:tcW w:w="2978" w:type="dxa"/>
          </w:tcPr>
          <w:p w14:paraId="323E4BCE"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Project</w:t>
            </w:r>
          </w:p>
        </w:tc>
        <w:tc>
          <w:tcPr>
            <w:tcW w:w="2409" w:type="dxa"/>
          </w:tcPr>
          <w:p w14:paraId="1AEEFB93"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Connecting terminal station</w:t>
            </w:r>
          </w:p>
        </w:tc>
        <w:tc>
          <w:tcPr>
            <w:tcW w:w="1843" w:type="dxa"/>
          </w:tcPr>
          <w:p w14:paraId="5D35F2CB"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Connection voltage (kV)</w:t>
            </w:r>
          </w:p>
        </w:tc>
        <w:tc>
          <w:tcPr>
            <w:tcW w:w="1982" w:type="dxa"/>
          </w:tcPr>
          <w:p w14:paraId="79B03F04"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Maximum capacity (MW)</w:t>
            </w:r>
          </w:p>
        </w:tc>
      </w:tr>
      <w:tr w:rsidR="00723C05" w:rsidRPr="00D44CF2" w14:paraId="72543C1B"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850" w:type="dxa"/>
            <w:vMerge w:val="restart"/>
          </w:tcPr>
          <w:p w14:paraId="1FDEDD20" w14:textId="77777777" w:rsidR="0066118A" w:rsidRPr="00D44CF2" w:rsidRDefault="0066118A" w:rsidP="001A3F5B">
            <w:pPr>
              <w:pStyle w:val="TableText"/>
            </w:pPr>
            <w:r w:rsidRPr="00D44CF2">
              <w:t>Wind</w:t>
            </w:r>
          </w:p>
        </w:tc>
        <w:tc>
          <w:tcPr>
            <w:tcW w:w="2978" w:type="dxa"/>
          </w:tcPr>
          <w:p w14:paraId="43D5E360"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Golden Plains Wind Farm </w:t>
            </w:r>
          </w:p>
        </w:tc>
        <w:tc>
          <w:tcPr>
            <w:tcW w:w="2409" w:type="dxa"/>
          </w:tcPr>
          <w:p w14:paraId="7F80B00A" w14:textId="1C11D0D2"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CRTS </w:t>
            </w:r>
            <w:r w:rsidR="00295447" w:rsidRPr="00D44CF2">
              <w:rPr>
                <w:szCs w:val="16"/>
              </w:rPr>
              <w:t xml:space="preserve">– </w:t>
            </w:r>
            <w:r w:rsidRPr="00D44CF2">
              <w:t>Cressy</w:t>
            </w:r>
          </w:p>
        </w:tc>
        <w:tc>
          <w:tcPr>
            <w:tcW w:w="1843" w:type="dxa"/>
          </w:tcPr>
          <w:p w14:paraId="06EE6B7E"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220</w:t>
            </w:r>
          </w:p>
        </w:tc>
        <w:tc>
          <w:tcPr>
            <w:tcW w:w="1982" w:type="dxa"/>
          </w:tcPr>
          <w:p w14:paraId="039E7DFE"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733</w:t>
            </w:r>
          </w:p>
        </w:tc>
      </w:tr>
      <w:tr w:rsidR="00723C05" w:rsidRPr="00D44CF2" w14:paraId="10661E08"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850" w:type="dxa"/>
            <w:vMerge/>
          </w:tcPr>
          <w:p w14:paraId="2492D8E9" w14:textId="77777777" w:rsidR="0066118A" w:rsidRPr="00D44CF2" w:rsidRDefault="0066118A" w:rsidP="001A3F5B">
            <w:pPr>
              <w:pStyle w:val="TableText"/>
            </w:pPr>
          </w:p>
        </w:tc>
        <w:tc>
          <w:tcPr>
            <w:tcW w:w="2978" w:type="dxa"/>
          </w:tcPr>
          <w:p w14:paraId="30983B49"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Ryan Corner Wind Farm </w:t>
            </w:r>
          </w:p>
        </w:tc>
        <w:tc>
          <w:tcPr>
            <w:tcW w:w="2409" w:type="dxa"/>
          </w:tcPr>
          <w:p w14:paraId="5B2734C9"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TGTS – Terang</w:t>
            </w:r>
          </w:p>
        </w:tc>
        <w:tc>
          <w:tcPr>
            <w:tcW w:w="1843" w:type="dxa"/>
          </w:tcPr>
          <w:p w14:paraId="0A20F7FC"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132</w:t>
            </w:r>
          </w:p>
        </w:tc>
        <w:tc>
          <w:tcPr>
            <w:tcW w:w="1982" w:type="dxa"/>
          </w:tcPr>
          <w:p w14:paraId="2DD646C7"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205</w:t>
            </w:r>
          </w:p>
        </w:tc>
      </w:tr>
      <w:tr w:rsidR="00723C05" w:rsidRPr="00D44CF2" w14:paraId="66E83DBF"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850" w:type="dxa"/>
            <w:vMerge/>
          </w:tcPr>
          <w:p w14:paraId="389AD54D" w14:textId="77777777" w:rsidR="0066118A" w:rsidRPr="00D44CF2" w:rsidRDefault="0066118A" w:rsidP="001A3F5B">
            <w:pPr>
              <w:pStyle w:val="TableText"/>
            </w:pPr>
          </w:p>
        </w:tc>
        <w:tc>
          <w:tcPr>
            <w:tcW w:w="2978" w:type="dxa"/>
          </w:tcPr>
          <w:p w14:paraId="26F5ADE3"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Hawkesdale Wind Farm</w:t>
            </w:r>
          </w:p>
        </w:tc>
        <w:tc>
          <w:tcPr>
            <w:tcW w:w="2409" w:type="dxa"/>
          </w:tcPr>
          <w:p w14:paraId="3A1C98CF" w14:textId="6AFE6A89"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TGTS </w:t>
            </w:r>
            <w:r w:rsidR="00295447" w:rsidRPr="00D44CF2">
              <w:rPr>
                <w:szCs w:val="16"/>
              </w:rPr>
              <w:t xml:space="preserve">– </w:t>
            </w:r>
            <w:r w:rsidRPr="00D44CF2">
              <w:t>Terang</w:t>
            </w:r>
          </w:p>
        </w:tc>
        <w:tc>
          <w:tcPr>
            <w:tcW w:w="1843" w:type="dxa"/>
          </w:tcPr>
          <w:p w14:paraId="761F11A4"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132</w:t>
            </w:r>
          </w:p>
        </w:tc>
        <w:tc>
          <w:tcPr>
            <w:tcW w:w="1982" w:type="dxa"/>
          </w:tcPr>
          <w:p w14:paraId="20F4B59E"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90</w:t>
            </w:r>
          </w:p>
        </w:tc>
      </w:tr>
    </w:tbl>
    <w:p w14:paraId="7695AFEF" w14:textId="77777777" w:rsidR="0066118A" w:rsidRPr="00D44CF2" w:rsidRDefault="0066118A" w:rsidP="0066118A">
      <w:pPr>
        <w:pStyle w:val="TableFigureFootnote"/>
      </w:pPr>
    </w:p>
    <w:p w14:paraId="678B6513" w14:textId="4051BD92" w:rsidR="0066118A" w:rsidRPr="00D44CF2" w:rsidRDefault="0066118A" w:rsidP="0066118A">
      <w:pPr>
        <w:pStyle w:val="BodyText"/>
      </w:pPr>
      <w:r w:rsidRPr="00D44CF2">
        <w:t xml:space="preserve">In Victoria, two storage projects totalling 770 MWh have recently been commissioned (see </w:t>
      </w:r>
      <w:r w:rsidRPr="00D44CF2">
        <w:rPr>
          <w:b/>
          <w:bCs/>
        </w:rPr>
        <w:fldChar w:fldCharType="begin"/>
      </w:r>
      <w:r w:rsidRPr="00D44CF2">
        <w:rPr>
          <w:b/>
          <w:bCs/>
        </w:rPr>
        <w:instrText xml:space="preserve"> REF _Ref210307130 \r \h  \* MERGEFORMAT </w:instrText>
      </w:r>
      <w:r w:rsidRPr="00D44CF2">
        <w:rPr>
          <w:b/>
          <w:bCs/>
        </w:rPr>
      </w:r>
      <w:r w:rsidRPr="00D44CF2">
        <w:rPr>
          <w:b/>
          <w:bCs/>
        </w:rPr>
        <w:fldChar w:fldCharType="separate"/>
      </w:r>
      <w:r w:rsidR="004973D2">
        <w:rPr>
          <w:b/>
          <w:bCs/>
        </w:rPr>
        <w:t>Table 4</w:t>
      </w:r>
      <w:r w:rsidRPr="00D44CF2">
        <w:rPr>
          <w:b/>
          <w:bCs/>
        </w:rPr>
        <w:fldChar w:fldCharType="end"/>
      </w:r>
      <w:r w:rsidRPr="00D44CF2">
        <w:t xml:space="preserve">). This will further reinforce the continuity of supply and firming of VRE sources. </w:t>
      </w:r>
    </w:p>
    <w:p w14:paraId="69B1707A" w14:textId="77777777" w:rsidR="0066118A" w:rsidRPr="00D44CF2" w:rsidRDefault="0066118A" w:rsidP="0066118A">
      <w:pPr>
        <w:pStyle w:val="CaptionTable"/>
      </w:pPr>
      <w:bookmarkStart w:id="75" w:name="_Ref210307130"/>
      <w:bookmarkStart w:id="76" w:name="_Toc212023308"/>
      <w:r w:rsidRPr="00D44CF2">
        <w:t>Newly commissioned storage projects since 2024 VAPR</w:t>
      </w:r>
      <w:bookmarkEnd w:id="75"/>
      <w:bookmarkEnd w:id="76"/>
    </w:p>
    <w:tbl>
      <w:tblPr>
        <w:tblStyle w:val="AEMO-Table4"/>
        <w:tblW w:w="0" w:type="auto"/>
        <w:tblLook w:val="04A0" w:firstRow="1" w:lastRow="0" w:firstColumn="1" w:lastColumn="0" w:noHBand="0" w:noVBand="1"/>
      </w:tblPr>
      <w:tblGrid>
        <w:gridCol w:w="851"/>
        <w:gridCol w:w="2977"/>
        <w:gridCol w:w="2409"/>
        <w:gridCol w:w="1843"/>
        <w:gridCol w:w="1985"/>
      </w:tblGrid>
      <w:tr w:rsidR="0017564B" w:rsidRPr="00D44CF2" w14:paraId="14ADC010" w14:textId="7777777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51" w:type="dxa"/>
          </w:tcPr>
          <w:p w14:paraId="5734EBB5" w14:textId="77777777" w:rsidR="0066118A" w:rsidRPr="00D44CF2" w:rsidRDefault="0066118A" w:rsidP="001A3F5B">
            <w:pPr>
              <w:pStyle w:val="TableText"/>
            </w:pPr>
            <w:r w:rsidRPr="00D44CF2">
              <w:t>Source</w:t>
            </w:r>
          </w:p>
        </w:tc>
        <w:tc>
          <w:tcPr>
            <w:tcW w:w="2977" w:type="dxa"/>
          </w:tcPr>
          <w:p w14:paraId="24437478"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Project</w:t>
            </w:r>
          </w:p>
        </w:tc>
        <w:tc>
          <w:tcPr>
            <w:tcW w:w="2409" w:type="dxa"/>
          </w:tcPr>
          <w:p w14:paraId="4AD7E0C8"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Connecting terminal station</w:t>
            </w:r>
          </w:p>
        </w:tc>
        <w:tc>
          <w:tcPr>
            <w:tcW w:w="1843" w:type="dxa"/>
          </w:tcPr>
          <w:p w14:paraId="56D7338B"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Connection voltage (kV)</w:t>
            </w:r>
          </w:p>
        </w:tc>
        <w:tc>
          <w:tcPr>
            <w:tcW w:w="1985" w:type="dxa"/>
          </w:tcPr>
          <w:p w14:paraId="18E14200"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Storage capacity (MWh)</w:t>
            </w:r>
          </w:p>
        </w:tc>
      </w:tr>
      <w:tr w:rsidR="00723C05" w:rsidRPr="00D44CF2" w14:paraId="62383F77" w14:textId="77777777" w:rsidTr="00261D2D">
        <w:trPr>
          <w:trHeight w:val="113"/>
        </w:trPr>
        <w:tc>
          <w:tcPr>
            <w:cnfStyle w:val="001000000000" w:firstRow="0" w:lastRow="0" w:firstColumn="1" w:lastColumn="0" w:oddVBand="0" w:evenVBand="0" w:oddHBand="0" w:evenHBand="0" w:firstRowFirstColumn="0" w:firstRowLastColumn="0" w:lastRowFirstColumn="0" w:lastRowLastColumn="0"/>
            <w:tcW w:w="851" w:type="dxa"/>
          </w:tcPr>
          <w:p w14:paraId="68ADD2EB" w14:textId="77777777" w:rsidR="0066118A" w:rsidRPr="00D44CF2" w:rsidRDefault="0066118A" w:rsidP="001A3F5B">
            <w:pPr>
              <w:pStyle w:val="TableText"/>
            </w:pPr>
            <w:r w:rsidRPr="00D44CF2">
              <w:t>BESS</w:t>
            </w:r>
          </w:p>
        </w:tc>
        <w:tc>
          <w:tcPr>
            <w:tcW w:w="2977" w:type="dxa"/>
          </w:tcPr>
          <w:p w14:paraId="6F81688B"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Koorangie Energy Storage System</w:t>
            </w:r>
          </w:p>
        </w:tc>
        <w:tc>
          <w:tcPr>
            <w:tcW w:w="2409" w:type="dxa"/>
          </w:tcPr>
          <w:p w14:paraId="5294A145"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KOTS – Koorangie</w:t>
            </w:r>
          </w:p>
        </w:tc>
        <w:tc>
          <w:tcPr>
            <w:tcW w:w="1843" w:type="dxa"/>
          </w:tcPr>
          <w:p w14:paraId="2AFBA8D0"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220</w:t>
            </w:r>
          </w:p>
        </w:tc>
        <w:tc>
          <w:tcPr>
            <w:tcW w:w="1985" w:type="dxa"/>
          </w:tcPr>
          <w:p w14:paraId="1387F7C0"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 xml:space="preserve"> 370</w:t>
            </w:r>
          </w:p>
        </w:tc>
      </w:tr>
      <w:tr w:rsidR="00723C05" w:rsidRPr="00D44CF2" w14:paraId="6609D914" w14:textId="77777777" w:rsidTr="00261D2D">
        <w:trPr>
          <w:trHeight w:val="113"/>
        </w:trPr>
        <w:tc>
          <w:tcPr>
            <w:cnfStyle w:val="001000000000" w:firstRow="0" w:lastRow="0" w:firstColumn="1" w:lastColumn="0" w:oddVBand="0" w:evenVBand="0" w:oddHBand="0" w:evenHBand="0" w:firstRowFirstColumn="0" w:firstRowLastColumn="0" w:lastRowFirstColumn="0" w:lastRowLastColumn="0"/>
            <w:tcW w:w="851" w:type="dxa"/>
          </w:tcPr>
          <w:p w14:paraId="22E79358" w14:textId="77777777" w:rsidR="0066118A" w:rsidRPr="00D44CF2" w:rsidRDefault="0066118A" w:rsidP="001A3F5B">
            <w:pPr>
              <w:pStyle w:val="TableText"/>
            </w:pPr>
            <w:r w:rsidRPr="00D44CF2">
              <w:t>BESS</w:t>
            </w:r>
          </w:p>
        </w:tc>
        <w:tc>
          <w:tcPr>
            <w:tcW w:w="2977" w:type="dxa"/>
          </w:tcPr>
          <w:p w14:paraId="290C6C04"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Rangebank BESS (Cranbourne 220 kV)</w:t>
            </w:r>
          </w:p>
        </w:tc>
        <w:tc>
          <w:tcPr>
            <w:tcW w:w="2409" w:type="dxa"/>
          </w:tcPr>
          <w:p w14:paraId="5C988F26"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CBTS – Cranbourne</w:t>
            </w:r>
          </w:p>
        </w:tc>
        <w:tc>
          <w:tcPr>
            <w:tcW w:w="1843" w:type="dxa"/>
          </w:tcPr>
          <w:p w14:paraId="63B87966"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220</w:t>
            </w:r>
          </w:p>
        </w:tc>
        <w:tc>
          <w:tcPr>
            <w:tcW w:w="1985" w:type="dxa"/>
          </w:tcPr>
          <w:p w14:paraId="37161AAB"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 xml:space="preserve"> 400</w:t>
            </w:r>
          </w:p>
        </w:tc>
      </w:tr>
    </w:tbl>
    <w:p w14:paraId="22D9AEA2" w14:textId="77777777" w:rsidR="0066118A" w:rsidRPr="00D44CF2" w:rsidRDefault="0066118A" w:rsidP="0066118A">
      <w:pPr>
        <w:pStyle w:val="TableFigureFootnote"/>
      </w:pPr>
    </w:p>
    <w:p w14:paraId="140D3294" w14:textId="4F141646" w:rsidR="0066118A" w:rsidRPr="00D44CF2" w:rsidRDefault="0066118A" w:rsidP="0066118A">
      <w:pPr>
        <w:pStyle w:val="BodyText"/>
      </w:pPr>
      <w:r w:rsidRPr="00D44CF2">
        <w:t xml:space="preserve">In addition to the recently connected storage projects, a further two hybrid projects incorporating BESS and a standalone BESS project totalling 220.5 MW of generation and 1,740 MWh of BESS projects </w:t>
      </w:r>
      <w:r w:rsidRPr="00D44CF2" w:rsidDel="00761142">
        <w:t>reached commitment status in the past year</w:t>
      </w:r>
      <w:r w:rsidRPr="00D44CF2">
        <w:t xml:space="preserve">, as shown in </w:t>
      </w:r>
      <w:r w:rsidRPr="00D44CF2">
        <w:rPr>
          <w:b/>
        </w:rPr>
        <w:fldChar w:fldCharType="begin"/>
      </w:r>
      <w:r w:rsidRPr="00D44CF2">
        <w:rPr>
          <w:b/>
        </w:rPr>
        <w:instrText xml:space="preserve"> REF _Ref177559194 \r \h  \* MERGEFORMAT </w:instrText>
      </w:r>
      <w:r w:rsidRPr="00D44CF2">
        <w:rPr>
          <w:b/>
        </w:rPr>
      </w:r>
      <w:r w:rsidRPr="00D44CF2">
        <w:rPr>
          <w:b/>
        </w:rPr>
        <w:fldChar w:fldCharType="separate"/>
      </w:r>
      <w:r w:rsidR="004973D2">
        <w:rPr>
          <w:b/>
        </w:rPr>
        <w:t xml:space="preserve">Table </w:t>
      </w:r>
      <w:r w:rsidR="004973D2" w:rsidRPr="004973D2">
        <w:rPr>
          <w:b/>
          <w:bCs/>
        </w:rPr>
        <w:t>5</w:t>
      </w:r>
      <w:r w:rsidRPr="00D44CF2">
        <w:rPr>
          <w:b/>
        </w:rPr>
        <w:fldChar w:fldCharType="end"/>
      </w:r>
      <w:r w:rsidRPr="00D44CF2">
        <w:rPr>
          <w:b/>
        </w:rPr>
        <w:t>.</w:t>
      </w:r>
      <w:r w:rsidRPr="00D44CF2">
        <w:t xml:space="preserve"> </w:t>
      </w:r>
    </w:p>
    <w:p w14:paraId="595A144E" w14:textId="77777777" w:rsidR="0066118A" w:rsidRPr="00D44CF2" w:rsidRDefault="0066118A" w:rsidP="0066118A">
      <w:pPr>
        <w:pStyle w:val="CaptionTable"/>
      </w:pPr>
      <w:bookmarkStart w:id="77" w:name="_Ref177559194"/>
      <w:bookmarkStart w:id="78" w:name="_Toc180655830"/>
      <w:bookmarkStart w:id="79" w:name="_Toc212023309"/>
      <w:r w:rsidRPr="00D44CF2">
        <w:lastRenderedPageBreak/>
        <w:t>Newly committed hybrid and storage projects since 2024 VAPR</w:t>
      </w:r>
      <w:bookmarkEnd w:id="77"/>
      <w:bookmarkEnd w:id="78"/>
      <w:bookmarkEnd w:id="79"/>
    </w:p>
    <w:tbl>
      <w:tblPr>
        <w:tblStyle w:val="AEMO-Table4"/>
        <w:tblW w:w="0" w:type="auto"/>
        <w:tblLook w:val="04A0" w:firstRow="1" w:lastRow="0" w:firstColumn="1" w:lastColumn="0" w:noHBand="0" w:noVBand="1"/>
      </w:tblPr>
      <w:tblGrid>
        <w:gridCol w:w="801"/>
        <w:gridCol w:w="2430"/>
        <w:gridCol w:w="2030"/>
        <w:gridCol w:w="1615"/>
        <w:gridCol w:w="1697"/>
        <w:gridCol w:w="1520"/>
      </w:tblGrid>
      <w:tr w:rsidR="00723C05" w:rsidRPr="00D44CF2" w14:paraId="0C75A5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tcPr>
          <w:p w14:paraId="6FC9EB8B" w14:textId="77777777" w:rsidR="0066118A" w:rsidRPr="00D44CF2" w:rsidRDefault="0066118A" w:rsidP="001A3F5B">
            <w:pPr>
              <w:pStyle w:val="TableText"/>
            </w:pPr>
            <w:bookmarkStart w:id="80" w:name="_Toc179369113"/>
            <w:bookmarkStart w:id="81" w:name="_Hlk209443466"/>
            <w:bookmarkEnd w:id="80"/>
            <w:r w:rsidRPr="00D44CF2">
              <w:t>Source</w:t>
            </w:r>
          </w:p>
        </w:tc>
        <w:tc>
          <w:tcPr>
            <w:tcW w:w="2430" w:type="dxa"/>
          </w:tcPr>
          <w:p w14:paraId="305E3353"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Project</w:t>
            </w:r>
          </w:p>
        </w:tc>
        <w:tc>
          <w:tcPr>
            <w:tcW w:w="2030" w:type="dxa"/>
          </w:tcPr>
          <w:p w14:paraId="28E3CC7F"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Connecting Terminal station</w:t>
            </w:r>
          </w:p>
        </w:tc>
        <w:tc>
          <w:tcPr>
            <w:tcW w:w="1615" w:type="dxa"/>
          </w:tcPr>
          <w:p w14:paraId="4628F9B4"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Connection Voltage (kV)</w:t>
            </w:r>
          </w:p>
        </w:tc>
        <w:tc>
          <w:tcPr>
            <w:tcW w:w="1697" w:type="dxa"/>
          </w:tcPr>
          <w:p w14:paraId="2D0058DD"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Maximum capacity (MW)</w:t>
            </w:r>
          </w:p>
        </w:tc>
        <w:tc>
          <w:tcPr>
            <w:tcW w:w="1520" w:type="dxa"/>
          </w:tcPr>
          <w:p w14:paraId="015DF466" w14:textId="77777777" w:rsidR="0066118A" w:rsidRPr="00D44CF2" w:rsidRDefault="0066118A" w:rsidP="001A3F5B">
            <w:pPr>
              <w:pStyle w:val="TableText"/>
              <w:cnfStyle w:val="100000000000" w:firstRow="1" w:lastRow="0" w:firstColumn="0" w:lastColumn="0" w:oddVBand="0" w:evenVBand="0" w:oddHBand="0" w:evenHBand="0" w:firstRowFirstColumn="0" w:firstRowLastColumn="0" w:lastRowFirstColumn="0" w:lastRowLastColumn="0"/>
            </w:pPr>
            <w:r w:rsidRPr="00D44CF2">
              <w:t>Storage capacity (MWh)</w:t>
            </w:r>
          </w:p>
        </w:tc>
      </w:tr>
      <w:bookmarkEnd w:id="81"/>
      <w:tr w:rsidR="00723C05" w:rsidRPr="00D44CF2" w14:paraId="7C33E90F" w14:textId="77777777" w:rsidTr="00261D2D">
        <w:tc>
          <w:tcPr>
            <w:cnfStyle w:val="001000000000" w:firstRow="0" w:lastRow="0" w:firstColumn="1" w:lastColumn="0" w:oddVBand="0" w:evenVBand="0" w:oddHBand="0" w:evenHBand="0" w:firstRowFirstColumn="0" w:firstRowLastColumn="0" w:lastRowFirstColumn="0" w:lastRowLastColumn="0"/>
            <w:tcW w:w="801" w:type="dxa"/>
          </w:tcPr>
          <w:p w14:paraId="186B49C5" w14:textId="77777777" w:rsidR="0066118A" w:rsidRPr="00D44CF2" w:rsidRDefault="0066118A" w:rsidP="001A3F5B">
            <w:pPr>
              <w:pStyle w:val="TableText"/>
            </w:pPr>
            <w:r w:rsidRPr="00D44CF2">
              <w:t>BESS</w:t>
            </w:r>
          </w:p>
        </w:tc>
        <w:tc>
          <w:tcPr>
            <w:tcW w:w="2430" w:type="dxa"/>
          </w:tcPr>
          <w:p w14:paraId="66F9D348"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Wooreen BESS</w:t>
            </w:r>
          </w:p>
        </w:tc>
        <w:tc>
          <w:tcPr>
            <w:tcW w:w="2030" w:type="dxa"/>
          </w:tcPr>
          <w:p w14:paraId="192B6902" w14:textId="6D88A424"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JLTS </w:t>
            </w:r>
            <w:r w:rsidR="000272F5" w:rsidRPr="00D44CF2">
              <w:rPr>
                <w:szCs w:val="16"/>
              </w:rPr>
              <w:t>–</w:t>
            </w:r>
            <w:r w:rsidRPr="00D44CF2">
              <w:t xml:space="preserve"> Jeeralang</w:t>
            </w:r>
          </w:p>
        </w:tc>
        <w:tc>
          <w:tcPr>
            <w:tcW w:w="1615" w:type="dxa"/>
          </w:tcPr>
          <w:p w14:paraId="3168267A"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220</w:t>
            </w:r>
          </w:p>
        </w:tc>
        <w:tc>
          <w:tcPr>
            <w:tcW w:w="1697" w:type="dxa"/>
          </w:tcPr>
          <w:p w14:paraId="0398EB5E"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p>
        </w:tc>
        <w:tc>
          <w:tcPr>
            <w:tcW w:w="1520" w:type="dxa"/>
          </w:tcPr>
          <w:p w14:paraId="1C8A2ED9"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1,400</w:t>
            </w:r>
          </w:p>
        </w:tc>
      </w:tr>
      <w:tr w:rsidR="00723C05" w:rsidRPr="00D44CF2" w14:paraId="5F978982" w14:textId="77777777" w:rsidTr="00261D2D">
        <w:tc>
          <w:tcPr>
            <w:cnfStyle w:val="001000000000" w:firstRow="0" w:lastRow="0" w:firstColumn="1" w:lastColumn="0" w:oddVBand="0" w:evenVBand="0" w:oddHBand="0" w:evenHBand="0" w:firstRowFirstColumn="0" w:firstRowLastColumn="0" w:lastRowFirstColumn="0" w:lastRowLastColumn="0"/>
            <w:tcW w:w="801" w:type="dxa"/>
            <w:vMerge w:val="restart"/>
          </w:tcPr>
          <w:p w14:paraId="6E80E76C" w14:textId="77777777" w:rsidR="0066118A" w:rsidRPr="00D44CF2" w:rsidRDefault="0066118A" w:rsidP="001A3F5B">
            <w:pPr>
              <w:pStyle w:val="TableText"/>
            </w:pPr>
            <w:r w:rsidRPr="00D44CF2">
              <w:t>Hybrid</w:t>
            </w:r>
          </w:p>
        </w:tc>
        <w:tc>
          <w:tcPr>
            <w:tcW w:w="2430" w:type="dxa"/>
          </w:tcPr>
          <w:p w14:paraId="623B078E"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Axedale Solar Farm and BESS</w:t>
            </w:r>
          </w:p>
        </w:tc>
        <w:tc>
          <w:tcPr>
            <w:tcW w:w="2030" w:type="dxa"/>
          </w:tcPr>
          <w:p w14:paraId="0D9DAD07" w14:textId="1ED21E3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ADTS </w:t>
            </w:r>
            <w:r w:rsidR="000272F5" w:rsidRPr="00D44CF2">
              <w:rPr>
                <w:szCs w:val="16"/>
              </w:rPr>
              <w:t>–</w:t>
            </w:r>
            <w:r w:rsidRPr="00D44CF2">
              <w:t xml:space="preserve"> Axedale</w:t>
            </w:r>
          </w:p>
        </w:tc>
        <w:tc>
          <w:tcPr>
            <w:tcW w:w="1615" w:type="dxa"/>
          </w:tcPr>
          <w:p w14:paraId="7503A23B"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220</w:t>
            </w:r>
          </w:p>
        </w:tc>
        <w:tc>
          <w:tcPr>
            <w:tcW w:w="1697" w:type="dxa"/>
          </w:tcPr>
          <w:p w14:paraId="2773B695"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140</w:t>
            </w:r>
          </w:p>
        </w:tc>
        <w:tc>
          <w:tcPr>
            <w:tcW w:w="1520" w:type="dxa"/>
          </w:tcPr>
          <w:p w14:paraId="1D30436E"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100</w:t>
            </w:r>
          </w:p>
        </w:tc>
      </w:tr>
      <w:tr w:rsidR="00723C05" w:rsidRPr="00D44CF2" w14:paraId="215D7671" w14:textId="77777777" w:rsidTr="00261D2D">
        <w:tc>
          <w:tcPr>
            <w:cnfStyle w:val="001000000000" w:firstRow="0" w:lastRow="0" w:firstColumn="1" w:lastColumn="0" w:oddVBand="0" w:evenVBand="0" w:oddHBand="0" w:evenHBand="0" w:firstRowFirstColumn="0" w:firstRowLastColumn="0" w:lastRowFirstColumn="0" w:lastRowLastColumn="0"/>
            <w:tcW w:w="801" w:type="dxa"/>
            <w:vMerge/>
          </w:tcPr>
          <w:p w14:paraId="5383230E" w14:textId="77777777" w:rsidR="0066118A" w:rsidRPr="00D44CF2" w:rsidRDefault="0066118A" w:rsidP="001A3F5B">
            <w:pPr>
              <w:pStyle w:val="TableText"/>
            </w:pPr>
          </w:p>
        </w:tc>
        <w:tc>
          <w:tcPr>
            <w:tcW w:w="2430" w:type="dxa"/>
          </w:tcPr>
          <w:p w14:paraId="68E4C054" w14:textId="77777777"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Fosterville Solar Farm and BESS</w:t>
            </w:r>
          </w:p>
        </w:tc>
        <w:tc>
          <w:tcPr>
            <w:tcW w:w="2030" w:type="dxa"/>
          </w:tcPr>
          <w:p w14:paraId="2AB3341A" w14:textId="7D56C7E8" w:rsidR="0066118A" w:rsidRPr="00D44CF2" w:rsidRDefault="0066118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ADTS </w:t>
            </w:r>
            <w:r w:rsidR="000272F5" w:rsidRPr="00D44CF2">
              <w:rPr>
                <w:szCs w:val="16"/>
              </w:rPr>
              <w:t>–</w:t>
            </w:r>
            <w:r w:rsidRPr="00D44CF2">
              <w:t xml:space="preserve"> Axedale</w:t>
            </w:r>
          </w:p>
        </w:tc>
        <w:tc>
          <w:tcPr>
            <w:tcW w:w="1615" w:type="dxa"/>
          </w:tcPr>
          <w:p w14:paraId="37E29E44"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220</w:t>
            </w:r>
          </w:p>
        </w:tc>
        <w:tc>
          <w:tcPr>
            <w:tcW w:w="1697" w:type="dxa"/>
          </w:tcPr>
          <w:p w14:paraId="0BDE61DC"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80.5</w:t>
            </w:r>
          </w:p>
        </w:tc>
        <w:tc>
          <w:tcPr>
            <w:tcW w:w="1520" w:type="dxa"/>
          </w:tcPr>
          <w:p w14:paraId="6D5CEF83" w14:textId="77777777" w:rsidR="0066118A" w:rsidRPr="00D44CF2" w:rsidRDefault="0066118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240</w:t>
            </w:r>
          </w:p>
        </w:tc>
      </w:tr>
    </w:tbl>
    <w:p w14:paraId="19959EA6" w14:textId="77777777" w:rsidR="0066118A" w:rsidRPr="00D44CF2" w:rsidRDefault="0066118A" w:rsidP="0066118A">
      <w:pPr>
        <w:pStyle w:val="Heading2"/>
      </w:pPr>
      <w:bookmarkStart w:id="82" w:name="_Toc180159688"/>
      <w:bookmarkStart w:id="83" w:name="_Toc212023279"/>
      <w:r w:rsidRPr="00D44CF2">
        <w:t>Electricity consumption and demand trends and forecasts</w:t>
      </w:r>
      <w:bookmarkEnd w:id="82"/>
      <w:bookmarkEnd w:id="83"/>
    </w:p>
    <w:p w14:paraId="1BF418BA" w14:textId="77777777" w:rsidR="0066118A" w:rsidRPr="00D44CF2" w:rsidRDefault="0066118A" w:rsidP="0066118A">
      <w:pPr>
        <w:pStyle w:val="BodyText"/>
      </w:pPr>
      <w:r w:rsidRPr="00D44CF2">
        <w:t>The regional demand forecasts used for the 2025 Annual Planning Review are the Victorian components of AEMO’s 2025 ESOO</w:t>
      </w:r>
      <w:r w:rsidRPr="00D44CF2">
        <w:rPr>
          <w:vertAlign w:val="superscript"/>
        </w:rPr>
        <w:footnoteReference w:id="39"/>
      </w:r>
      <w:r w:rsidRPr="00D44CF2">
        <w:t xml:space="preserve"> Central (</w:t>
      </w:r>
      <w:r w:rsidRPr="00D44CF2">
        <w:rPr>
          <w:i/>
          <w:iCs/>
        </w:rPr>
        <w:t>Step Change</w:t>
      </w:r>
      <w:r w:rsidRPr="00D44CF2">
        <w:t>) scenario forecasts. Forecasts are sent out</w:t>
      </w:r>
      <w:r w:rsidRPr="00D44CF2">
        <w:rPr>
          <w:vertAlign w:val="superscript"/>
        </w:rPr>
        <w:footnoteReference w:id="40"/>
      </w:r>
      <w:r w:rsidRPr="00D44CF2">
        <w:t>, meaning energy delivered from the transmission system to household and business consumers plus expected losses in transmission and distribution networks:</w:t>
      </w:r>
    </w:p>
    <w:p w14:paraId="7E6569EA" w14:textId="77777777" w:rsidR="0066118A" w:rsidRPr="00D44CF2" w:rsidRDefault="0066118A" w:rsidP="0066118A">
      <w:pPr>
        <w:pStyle w:val="ListBullet"/>
        <w:numPr>
          <w:ilvl w:val="0"/>
          <w:numId w:val="37"/>
        </w:numPr>
      </w:pPr>
      <w:r w:rsidRPr="00D44CF2">
        <w:rPr>
          <w:b/>
          <w:bCs/>
        </w:rPr>
        <w:t>Operational consumption</w:t>
      </w:r>
      <w:r w:rsidRPr="00D44CF2">
        <w:t xml:space="preserve"> is defined as energy usage over a year, supplied through the transmission network and measured in megawatt hours (MWh). </w:t>
      </w:r>
    </w:p>
    <w:p w14:paraId="139D27C1" w14:textId="77777777" w:rsidR="0066118A" w:rsidRPr="00D44CF2" w:rsidRDefault="0066118A" w:rsidP="0066118A">
      <w:pPr>
        <w:pStyle w:val="ListBullet"/>
        <w:numPr>
          <w:ilvl w:val="0"/>
          <w:numId w:val="37"/>
        </w:numPr>
      </w:pPr>
      <w:r w:rsidRPr="00D44CF2">
        <w:rPr>
          <w:b/>
          <w:bCs/>
        </w:rPr>
        <w:t>Operational demand</w:t>
      </w:r>
      <w:r w:rsidRPr="00D44CF2">
        <w:t xml:space="preserve"> is defined as the level of electricity drawn from the transmission network, measured in megawatts (MW), averaged from the power system in half-hour intervals. </w:t>
      </w:r>
    </w:p>
    <w:p w14:paraId="0F0AC067" w14:textId="77777777" w:rsidR="0066118A" w:rsidRPr="00D44CF2" w:rsidRDefault="0066118A" w:rsidP="0066118A">
      <w:pPr>
        <w:pStyle w:val="ListBullet"/>
        <w:numPr>
          <w:ilvl w:val="0"/>
          <w:numId w:val="37"/>
        </w:numPr>
      </w:pPr>
      <w:r w:rsidRPr="00D44CF2">
        <w:rPr>
          <w:b/>
          <w:bCs/>
        </w:rPr>
        <w:t>Underlying consumption/demand</w:t>
      </w:r>
      <w:r w:rsidRPr="00D44CF2">
        <w:t xml:space="preserve"> means all the energy used, including that supplied by distributed PV.</w:t>
      </w:r>
    </w:p>
    <w:p w14:paraId="2A83E61E" w14:textId="77777777" w:rsidR="0066118A" w:rsidRPr="00D44CF2" w:rsidRDefault="0066118A" w:rsidP="0066118A">
      <w:pPr>
        <w:pStyle w:val="BodyText"/>
      </w:pPr>
      <w:r w:rsidRPr="00D44CF2">
        <w:t>Part of this section will cover analysis and explanation of how the 2025 forecasts compare to the 2024 forecasts. Consumption and demand forecasts are updated using the latest data on economic and population drivers as well as trends in behaviour by household and business consumers, including electrification impacts. The forecasts factor in projections for energy efficiency measures and growth in CER, including distributed PV generation, BESS and EVs, which all impact how much energy needs to be supplied from the transmission network.</w:t>
      </w:r>
    </w:p>
    <w:p w14:paraId="211FD74E" w14:textId="0441F581" w:rsidR="0066118A" w:rsidRPr="00D44CF2" w:rsidRDefault="0066118A" w:rsidP="0066118A">
      <w:pPr>
        <w:pStyle w:val="BodyText"/>
      </w:pPr>
      <w:r w:rsidRPr="00D44CF2">
        <w:t xml:space="preserve">For context, the </w:t>
      </w:r>
      <w:r w:rsidR="00E43225" w:rsidRPr="00D44CF2">
        <w:t>VNPIR</w:t>
      </w:r>
      <w:r w:rsidRPr="00D44CF2">
        <w:rPr>
          <w:rStyle w:val="FootnoteReference"/>
        </w:rPr>
        <w:footnoteReference w:id="41"/>
      </w:r>
      <w:r w:rsidRPr="00D44CF2">
        <w:t xml:space="preserve"> has details about Victoria’s operational consumption and demand in 2024-25:</w:t>
      </w:r>
    </w:p>
    <w:p w14:paraId="5D938CF9" w14:textId="0BB646FC" w:rsidR="0066118A" w:rsidRPr="00D44CF2" w:rsidRDefault="0066118A" w:rsidP="0066118A">
      <w:pPr>
        <w:pStyle w:val="ListBullet"/>
        <w:numPr>
          <w:ilvl w:val="0"/>
          <w:numId w:val="124"/>
        </w:numPr>
      </w:pPr>
      <w:r w:rsidRPr="00D44CF2">
        <w:t>The maximum demand for Victoria was 9,851 MW</w:t>
      </w:r>
      <w:r w:rsidR="00D548D7" w:rsidRPr="00D44CF2">
        <w:t xml:space="preserve"> </w:t>
      </w:r>
      <w:r w:rsidRPr="00D44CF2">
        <w:t>and occurred on 16 December 2024, compared to the peak of 9,294 MW in 2023-24</w:t>
      </w:r>
      <w:r w:rsidR="00D548D7" w:rsidRPr="00D44CF2">
        <w:rPr>
          <w:rStyle w:val="FootnoteReference"/>
        </w:rPr>
        <w:footnoteReference w:id="42"/>
      </w:r>
      <w:r w:rsidRPr="00D44CF2">
        <w:t xml:space="preserve">. </w:t>
      </w:r>
    </w:p>
    <w:p w14:paraId="00940ACC" w14:textId="77777777" w:rsidR="0066118A" w:rsidRPr="00D44CF2" w:rsidRDefault="0066118A" w:rsidP="0066118A">
      <w:pPr>
        <w:pStyle w:val="ListBullet"/>
        <w:numPr>
          <w:ilvl w:val="0"/>
          <w:numId w:val="124"/>
        </w:numPr>
      </w:pPr>
      <w:r w:rsidRPr="00D44CF2">
        <w:t>Victoria recorded its all-time lowest minimum operational demand of 1,504 MW on Wednesday 1 January 2025. This was 60 MW lower than the previous record set last year.</w:t>
      </w:r>
    </w:p>
    <w:p w14:paraId="4A6EDB85" w14:textId="77777777" w:rsidR="0066118A" w:rsidRPr="00D44CF2" w:rsidRDefault="0066118A" w:rsidP="0066118A">
      <w:pPr>
        <w:pStyle w:val="Heading3"/>
      </w:pPr>
      <w:r w:rsidRPr="00D44CF2">
        <w:lastRenderedPageBreak/>
        <w:t>Annual operational consumption forecast</w:t>
      </w:r>
    </w:p>
    <w:p w14:paraId="4370A49C" w14:textId="6A5F745D" w:rsidR="0083326E" w:rsidRPr="00D44CF2" w:rsidRDefault="0066118A" w:rsidP="0066118A">
      <w:pPr>
        <w:pStyle w:val="BodyText"/>
      </w:pPr>
      <w:r w:rsidRPr="00D44CF2">
        <w:rPr>
          <w:b/>
          <w:bCs/>
        </w:rPr>
        <w:fldChar w:fldCharType="begin"/>
      </w:r>
      <w:r w:rsidRPr="00D44CF2">
        <w:rPr>
          <w:b/>
          <w:bCs/>
        </w:rPr>
        <w:instrText xml:space="preserve"> REF _Ref177563574 \r \h  \* MERGEFORMAT </w:instrText>
      </w:r>
      <w:r w:rsidRPr="00D44CF2">
        <w:rPr>
          <w:b/>
          <w:bCs/>
        </w:rPr>
      </w:r>
      <w:r w:rsidRPr="00D44CF2">
        <w:rPr>
          <w:b/>
          <w:bCs/>
        </w:rPr>
        <w:fldChar w:fldCharType="separate"/>
      </w:r>
      <w:r w:rsidR="004973D2">
        <w:rPr>
          <w:b/>
          <w:bCs/>
        </w:rPr>
        <w:t>Figure 8</w:t>
      </w:r>
      <w:r w:rsidRPr="00D44CF2">
        <w:rPr>
          <w:b/>
          <w:bCs/>
        </w:rPr>
        <w:fldChar w:fldCharType="end"/>
      </w:r>
      <w:r w:rsidRPr="00D44CF2">
        <w:rPr>
          <w:b/>
          <w:bCs/>
        </w:rPr>
        <w:t xml:space="preserve"> </w:t>
      </w:r>
      <w:r w:rsidRPr="00D44CF2">
        <w:t>shows Victoria’s component forecasts containing operational consumption, small-scale generation</w:t>
      </w:r>
      <w:r w:rsidRPr="00D44CF2">
        <w:rPr>
          <w:vertAlign w:val="superscript"/>
        </w:rPr>
        <w:footnoteReference w:id="43"/>
      </w:r>
      <w:r w:rsidRPr="00D44CF2">
        <w:t xml:space="preserve"> and energy efficiency that make up the operational (sent out) consumption under the 2025 ESOO Central (</w:t>
      </w:r>
      <w:r w:rsidRPr="00D44CF2">
        <w:rPr>
          <w:i/>
          <w:iCs/>
        </w:rPr>
        <w:t>Step Change</w:t>
      </w:r>
      <w:r w:rsidRPr="00D44CF2">
        <w:t xml:space="preserve">) scenario for the next 30 years. </w:t>
      </w:r>
    </w:p>
    <w:p w14:paraId="520F0823" w14:textId="77777777" w:rsidR="005143C4" w:rsidRPr="00D44CF2" w:rsidRDefault="005143C4" w:rsidP="005143C4">
      <w:pPr>
        <w:pStyle w:val="BodyText"/>
      </w:pPr>
      <w:r w:rsidRPr="00D44CF2">
        <w:t>Under this scenario, AEMO projects the following:</w:t>
      </w:r>
    </w:p>
    <w:p w14:paraId="25B8074D" w14:textId="77777777" w:rsidR="005143C4" w:rsidRPr="00D44CF2" w:rsidRDefault="005143C4" w:rsidP="005143C4">
      <w:pPr>
        <w:pStyle w:val="ListBullet"/>
        <w:numPr>
          <w:ilvl w:val="0"/>
          <w:numId w:val="39"/>
        </w:numPr>
      </w:pPr>
      <w:r w:rsidRPr="00D44CF2">
        <w:t xml:space="preserve">Operational consumption increases gradually over the next 10 years due to business mass market (BMM), LIL and residential grid demand growth, with low contributions from EVs, business and residential electrification. </w:t>
      </w:r>
    </w:p>
    <w:p w14:paraId="1FFCCD9F" w14:textId="77777777" w:rsidR="005143C4" w:rsidRPr="00D44CF2" w:rsidRDefault="005143C4" w:rsidP="005143C4">
      <w:pPr>
        <w:pStyle w:val="ListBullet"/>
        <w:numPr>
          <w:ilvl w:val="0"/>
          <w:numId w:val="39"/>
        </w:numPr>
        <w:rPr>
          <w:szCs w:val="20"/>
        </w:rPr>
      </w:pPr>
      <w:r w:rsidRPr="00D44CF2">
        <w:t>From years 10 to 20, operational consumption increases significantly, driven by rapid growth in data centres and EV load, supported by consistent energy consumption from BMM. EV adoption continues to increase throughout the forecast period but increases more slowly than in the 2024 ESOO.</w:t>
      </w:r>
    </w:p>
    <w:p w14:paraId="40690C87" w14:textId="77777777" w:rsidR="005143C4" w:rsidRPr="00D44CF2" w:rsidRDefault="005143C4" w:rsidP="005143C4">
      <w:pPr>
        <w:pStyle w:val="ListBullet"/>
        <w:numPr>
          <w:ilvl w:val="0"/>
          <w:numId w:val="39"/>
        </w:numPr>
      </w:pPr>
      <w:r w:rsidRPr="00D44CF2">
        <w:t xml:space="preserve">From years 11 to 30, consumption continues to grow, driven by electrification in the residential and business sector, EV adoption, and the growth of data centres and domestic hydrogen production, offset by energy efficiencies and PV uptake. Starting from 2040-41, residential energy consumption is forecast to become negative, driven by the continued growth of distributed PV generation from households installing larger PV systems, along with improvements in energy efficiency.  </w:t>
      </w:r>
    </w:p>
    <w:p w14:paraId="4C4D755E" w14:textId="33B7CACE" w:rsidR="0083326E" w:rsidRPr="00D44CF2" w:rsidRDefault="0083326E" w:rsidP="0083326E">
      <w:pPr>
        <w:pStyle w:val="CaptionFigure"/>
      </w:pPr>
      <w:bookmarkStart w:id="84" w:name="_Ref177563574"/>
      <w:bookmarkStart w:id="85" w:name="_Toc180159781"/>
      <w:bookmarkStart w:id="86" w:name="_Toc212023342"/>
      <w:r w:rsidRPr="00D44CF2">
        <w:t>Forecast Victorian electricity annual operational (sent out) consumption, 2025 ESOO Central scenario</w:t>
      </w:r>
      <w:bookmarkEnd w:id="84"/>
      <w:bookmarkEnd w:id="85"/>
      <w:r w:rsidRPr="00D44CF2">
        <w:t>, 2026-27 to 2055-56</w:t>
      </w:r>
      <w:bookmarkEnd w:id="86"/>
      <w:r w:rsidRPr="00D44CF2">
        <w:t xml:space="preserve">  </w:t>
      </w:r>
    </w:p>
    <w:p w14:paraId="529C721C" w14:textId="77777777" w:rsidR="0083326E" w:rsidRPr="00D44CF2" w:rsidRDefault="0083326E" w:rsidP="0083326E">
      <w:pPr>
        <w:pStyle w:val="BodyText"/>
      </w:pPr>
      <w:r w:rsidRPr="00D44CF2">
        <w:rPr>
          <w:noProof/>
        </w:rPr>
        <w:drawing>
          <wp:inline distT="0" distB="0" distL="0" distR="0" wp14:anchorId="56D289A4" wp14:editId="65F740E0">
            <wp:extent cx="6408349" cy="3855492"/>
            <wp:effectExtent l="0" t="0" r="0" b="0"/>
            <wp:docPr id="802288494" name="Picture 1" descr="A graph of energy consump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88494" name="Picture 1" descr="A graph of energy consumption&#10;&#10;AI-generated content may be incorrect."/>
                    <pic:cNvPicPr/>
                  </pic:nvPicPr>
                  <pic:blipFill rotWithShape="1">
                    <a:blip r:embed="rId45"/>
                    <a:srcRect t="7488" b="536"/>
                    <a:stretch/>
                  </pic:blipFill>
                  <pic:spPr bwMode="auto">
                    <a:xfrm>
                      <a:off x="0" y="0"/>
                      <a:ext cx="6409055" cy="3855917"/>
                    </a:xfrm>
                    <a:prstGeom prst="rect">
                      <a:avLst/>
                    </a:prstGeom>
                    <a:ln>
                      <a:noFill/>
                    </a:ln>
                    <a:extLst>
                      <a:ext uri="{53640926-AAD7-44D8-BBD7-CCE9431645EC}">
                        <a14:shadowObscured xmlns:a14="http://schemas.microsoft.com/office/drawing/2010/main"/>
                      </a:ext>
                    </a:extLst>
                  </pic:spPr>
                </pic:pic>
              </a:graphicData>
            </a:graphic>
          </wp:inline>
        </w:drawing>
      </w:r>
    </w:p>
    <w:p w14:paraId="0FC2B2C8" w14:textId="77777777" w:rsidR="0066118A" w:rsidRPr="00D44CF2" w:rsidRDefault="0066118A" w:rsidP="0066118A">
      <w:pPr>
        <w:pStyle w:val="Heading4"/>
      </w:pPr>
      <w:r w:rsidRPr="00D44CF2">
        <w:lastRenderedPageBreak/>
        <w:t>Data centre connections</w:t>
      </w:r>
    </w:p>
    <w:p w14:paraId="3B514BF1" w14:textId="1642DE72" w:rsidR="0066118A" w:rsidRPr="00D44CF2" w:rsidRDefault="0066118A" w:rsidP="0066118A">
      <w:pPr>
        <w:pStyle w:val="BodyText"/>
      </w:pPr>
      <w:r w:rsidRPr="00D44CF2">
        <w:t xml:space="preserve">In the 2025 ESOO, data centres were a separate segment, under the business category, due to their growth patterns being fundamentally different from other business customers. In 2024-25, data centres consumed around 4 terawatt hours (TWh) of electricity across the NEM, accounting for around 2% of grid-delivered supply. The ESOO 2025 forecast a substantial rise in the numbers of data centres and hence energy usage in Victoria, suggesting that while plateauing after Year 10 (2034-35), data centres will remain a significant consumer of grid power. </w:t>
      </w:r>
    </w:p>
    <w:p w14:paraId="38DB399D" w14:textId="77777777" w:rsidR="0066118A" w:rsidRPr="00D44CF2" w:rsidRDefault="0066118A" w:rsidP="0066118A">
      <w:pPr>
        <w:pStyle w:val="CaptionFigure"/>
      </w:pPr>
      <w:bookmarkStart w:id="87" w:name="_Toc212023343"/>
      <w:r w:rsidRPr="00D44CF2">
        <w:t>Forecast Victorian electricity annual operational (sent out) consumption for data centres, 2025 ESOO Central scenario, 2026-27 to 2054-55</w:t>
      </w:r>
      <w:bookmarkEnd w:id="87"/>
      <w:r w:rsidRPr="00D44CF2">
        <w:t xml:space="preserve">  </w:t>
      </w:r>
    </w:p>
    <w:p w14:paraId="4D3E0670" w14:textId="77777777" w:rsidR="0066118A" w:rsidRPr="00D44CF2" w:rsidRDefault="0066118A" w:rsidP="0066118A">
      <w:pPr>
        <w:pStyle w:val="BodyText"/>
      </w:pPr>
      <w:r w:rsidRPr="00D44CF2">
        <w:rPr>
          <w:noProof/>
        </w:rPr>
        <w:drawing>
          <wp:inline distT="0" distB="0" distL="0" distR="0" wp14:anchorId="2435D4A7" wp14:editId="402BD7FF">
            <wp:extent cx="6408000" cy="3270470"/>
            <wp:effectExtent l="0" t="0" r="0" b="6350"/>
            <wp:docPr id="175317555" name="Picture 1" descr="A graph with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00314" name="Picture 1" descr="A graph with purple lines&#10;&#10;AI-generated content may be incorrect."/>
                    <pic:cNvPicPr/>
                  </pic:nvPicPr>
                  <pic:blipFill rotWithShape="1">
                    <a:blip r:embed="rId46"/>
                    <a:srcRect l="3941" t="13925" r="1759" b="10004"/>
                    <a:stretch/>
                  </pic:blipFill>
                  <pic:spPr bwMode="auto">
                    <a:xfrm>
                      <a:off x="0" y="0"/>
                      <a:ext cx="6408000" cy="3270470"/>
                    </a:xfrm>
                    <a:prstGeom prst="rect">
                      <a:avLst/>
                    </a:prstGeom>
                    <a:ln>
                      <a:noFill/>
                    </a:ln>
                    <a:extLst>
                      <a:ext uri="{53640926-AAD7-44D8-BBD7-CCE9431645EC}">
                        <a14:shadowObscured xmlns:a14="http://schemas.microsoft.com/office/drawing/2010/main"/>
                      </a:ext>
                    </a:extLst>
                  </pic:spPr>
                </pic:pic>
              </a:graphicData>
            </a:graphic>
          </wp:inline>
        </w:drawing>
      </w:r>
    </w:p>
    <w:p w14:paraId="5F89DEB0" w14:textId="063DD7C7" w:rsidR="0066118A" w:rsidRPr="00D44CF2" w:rsidRDefault="0066118A" w:rsidP="0066118A">
      <w:pPr>
        <w:pStyle w:val="TableFigureFootnote"/>
      </w:pPr>
      <w:r w:rsidRPr="00D44CF2">
        <w:t xml:space="preserve">Source: AEMO Forecasting Portal, at </w:t>
      </w:r>
      <w:hyperlink r:id="rId47" w:history="1">
        <w:r w:rsidRPr="00D44CF2">
          <w:rPr>
            <w:rStyle w:val="Hyperlink"/>
          </w:rPr>
          <w:t>https://www.aemo.com.au/energy-systems/electricity/national-electricity-market-nem/nem-forecasting-and-planning/forecasting-and-planning-data/electricity-forecasting-data-portal</w:t>
        </w:r>
      </w:hyperlink>
      <w:r w:rsidRPr="00D44CF2">
        <w:t>.</w:t>
      </w:r>
    </w:p>
    <w:p w14:paraId="39B21F35" w14:textId="46C1C9B0" w:rsidR="0066118A" w:rsidRPr="00D44CF2" w:rsidRDefault="00034268" w:rsidP="0083326E">
      <w:pPr>
        <w:pStyle w:val="Heading4"/>
      </w:pPr>
      <w:r w:rsidRPr="00D44CF2">
        <w:t xml:space="preserve">Changes in the forecast driven by </w:t>
      </w:r>
      <w:r w:rsidR="005F128E" w:rsidRPr="00D44CF2">
        <w:t>consumer behaviour</w:t>
      </w:r>
    </w:p>
    <w:p w14:paraId="0163FC90" w14:textId="77777777" w:rsidR="0066118A" w:rsidRPr="00D44CF2" w:rsidRDefault="0066118A" w:rsidP="0066118A">
      <w:pPr>
        <w:pStyle w:val="BodyText"/>
      </w:pPr>
      <w:r w:rsidRPr="00D44CF2">
        <w:t xml:space="preserve">There are a combination of factors influencing the uptake of EVs and its contribution to residential electricity consumption. Australian policy measures designed to support decarbonisation and electrification are projected to significantly influence electricity consumption across multiple sectors. For example, the New Vehicle Efficiency Standard (NVES) is fostering increased adoption of EVs, while Victoria’s Gas Substitution Roadmap is facilitating the transition from gas to electricity within residential and commercial domains. </w:t>
      </w:r>
    </w:p>
    <w:p w14:paraId="73DCDEA6" w14:textId="77777777" w:rsidR="0066118A" w:rsidRPr="00D44CF2" w:rsidRDefault="0066118A" w:rsidP="0066118A">
      <w:pPr>
        <w:pStyle w:val="BodyText"/>
      </w:pPr>
      <w:r w:rsidRPr="00D44CF2">
        <w:lastRenderedPageBreak/>
        <w:t>In addition to the Gas Substitution Roadmap, n</w:t>
      </w:r>
      <w:r w:rsidRPr="00D44CF2" w:rsidDel="00A07912">
        <w:t>ew electrification and effic</w:t>
      </w:r>
      <w:r w:rsidRPr="00D44CF2">
        <w:t>iency standards and regulations</w:t>
      </w:r>
      <w:r w:rsidRPr="00D44CF2">
        <w:rPr>
          <w:rStyle w:val="FootnoteReference"/>
        </w:rPr>
        <w:footnoteReference w:id="44"/>
      </w:r>
      <w:r w:rsidRPr="00D44CF2">
        <w:t xml:space="preserve"> are making new domestic and commercial builds all electric, making incentives available through the Victorian Energy Upgrades (VEU) program</w:t>
      </w:r>
      <w:r w:rsidRPr="00D44CF2">
        <w:rPr>
          <w:rStyle w:val="FootnoteReference"/>
        </w:rPr>
        <w:footnoteReference w:id="45"/>
      </w:r>
      <w:r w:rsidRPr="00D44CF2">
        <w:rPr>
          <w:vertAlign w:val="superscript"/>
        </w:rPr>
        <w:t>,</w:t>
      </w:r>
      <w:r w:rsidRPr="00D44CF2">
        <w:rPr>
          <w:rStyle w:val="FootnoteReference"/>
        </w:rPr>
        <w:footnoteReference w:id="46"/>
      </w:r>
      <w:r w:rsidRPr="00D44CF2">
        <w:t xml:space="preserve"> to new or existing homeowners and property developers.</w:t>
      </w:r>
    </w:p>
    <w:p w14:paraId="422AFE3C" w14:textId="795CCCFF" w:rsidR="0066118A" w:rsidRPr="00D44CF2" w:rsidRDefault="0066118A" w:rsidP="0066118A">
      <w:pPr>
        <w:pStyle w:val="BodyText"/>
      </w:pPr>
      <w:r w:rsidRPr="00D44CF2">
        <w:t>It should be noted that compared to the 2024 ESOO, the 2025 ESOO forecast showed a short-term uplift in new connections of residential developments, encouraged by state and federal incentives to improve housing affordability</w:t>
      </w:r>
      <w:r w:rsidRPr="00D44CF2">
        <w:rPr>
          <w:rStyle w:val="FootnoteReference"/>
        </w:rPr>
        <w:footnoteReference w:id="47"/>
      </w:r>
      <w:r w:rsidRPr="00D44CF2">
        <w:t xml:space="preserve">. This is anticipated to be a short-term boost until 2040 with residential connections returning to align with economic factors. Regardless, the 2025 ESOO anticipated a steady increase in the uptake of distributed PV, driven by anticipated electrification and efficiency regulations and consumers wanting to spend less on fuel bills, including charging up their EVs. This is illustrated in </w:t>
      </w:r>
      <w:r w:rsidRPr="00D44CF2">
        <w:rPr>
          <w:b/>
          <w:bCs/>
        </w:rPr>
        <w:fldChar w:fldCharType="begin"/>
      </w:r>
      <w:r w:rsidRPr="00D44CF2">
        <w:rPr>
          <w:b/>
          <w:bCs/>
        </w:rPr>
        <w:instrText xml:space="preserve"> REF _Ref210396436 \n \h </w:instrText>
      </w:r>
      <w:r w:rsidR="0083326E" w:rsidRPr="00D44CF2">
        <w:rPr>
          <w:b/>
          <w:bCs/>
        </w:rPr>
        <w:instrText xml:space="preserve"> \* MERGEFORMAT </w:instrText>
      </w:r>
      <w:r w:rsidRPr="00D44CF2">
        <w:rPr>
          <w:b/>
          <w:bCs/>
        </w:rPr>
      </w:r>
      <w:r w:rsidRPr="00D44CF2">
        <w:rPr>
          <w:b/>
          <w:bCs/>
        </w:rPr>
        <w:fldChar w:fldCharType="separate"/>
      </w:r>
      <w:r w:rsidR="004973D2">
        <w:rPr>
          <w:b/>
          <w:bCs/>
        </w:rPr>
        <w:t>Figure 10</w:t>
      </w:r>
      <w:r w:rsidRPr="00D44CF2">
        <w:rPr>
          <w:b/>
          <w:bCs/>
        </w:rPr>
        <w:fldChar w:fldCharType="end"/>
      </w:r>
      <w:r w:rsidRPr="00D44CF2">
        <w:t>.</w:t>
      </w:r>
    </w:p>
    <w:p w14:paraId="066827FB" w14:textId="77777777" w:rsidR="0066118A" w:rsidRPr="00D44CF2" w:rsidRDefault="0066118A" w:rsidP="0066118A">
      <w:pPr>
        <w:pStyle w:val="CaptionFigure"/>
      </w:pPr>
      <w:bookmarkStart w:id="88" w:name="_Ref208319689"/>
      <w:bookmarkStart w:id="89" w:name="_Ref210396436"/>
      <w:bookmarkStart w:id="90" w:name="_Toc212023344"/>
      <w:r w:rsidRPr="00D44CF2">
        <w:t>Forecast EV consumption versus distributed PV generation</w:t>
      </w:r>
      <w:bookmarkEnd w:id="88"/>
      <w:r w:rsidRPr="00D44CF2">
        <w:t>, 2025 ESOO Central scenario, 2026-27 to 2054</w:t>
      </w:r>
      <w:r w:rsidRPr="00D44CF2">
        <w:noBreakHyphen/>
        <w:t>55</w:t>
      </w:r>
      <w:bookmarkEnd w:id="89"/>
      <w:bookmarkEnd w:id="90"/>
    </w:p>
    <w:p w14:paraId="64D2760A" w14:textId="77777777" w:rsidR="0066118A" w:rsidRPr="00D44CF2" w:rsidRDefault="0066118A" w:rsidP="0066118A">
      <w:pPr>
        <w:pStyle w:val="BodyText"/>
      </w:pPr>
      <w:r w:rsidRPr="00D44CF2">
        <w:rPr>
          <w:noProof/>
        </w:rPr>
        <w:drawing>
          <wp:inline distT="0" distB="0" distL="0" distR="0" wp14:anchorId="6D0A167E" wp14:editId="3152A174">
            <wp:extent cx="6406934" cy="3010395"/>
            <wp:effectExtent l="0" t="0" r="0" b="0"/>
            <wp:docPr id="590435738"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35738" name="Picture 1" descr="A graph of a number of people&#10;&#10;AI-generated content may be incorrect."/>
                    <pic:cNvPicPr/>
                  </pic:nvPicPr>
                  <pic:blipFill rotWithShape="1">
                    <a:blip r:embed="rId48"/>
                    <a:srcRect l="2556" t="9770" r="1347" b="2704"/>
                    <a:stretch/>
                  </pic:blipFill>
                  <pic:spPr bwMode="auto">
                    <a:xfrm>
                      <a:off x="0" y="0"/>
                      <a:ext cx="6425291" cy="3019020"/>
                    </a:xfrm>
                    <a:prstGeom prst="rect">
                      <a:avLst/>
                    </a:prstGeom>
                    <a:ln>
                      <a:noFill/>
                    </a:ln>
                    <a:extLst>
                      <a:ext uri="{53640926-AAD7-44D8-BBD7-CCE9431645EC}">
                        <a14:shadowObscured xmlns:a14="http://schemas.microsoft.com/office/drawing/2010/main"/>
                      </a:ext>
                    </a:extLst>
                  </pic:spPr>
                </pic:pic>
              </a:graphicData>
            </a:graphic>
          </wp:inline>
        </w:drawing>
      </w:r>
    </w:p>
    <w:p w14:paraId="79073DC3" w14:textId="208DC814" w:rsidR="0066118A" w:rsidRPr="00D44CF2" w:rsidRDefault="0066118A" w:rsidP="0066118A">
      <w:pPr>
        <w:pStyle w:val="TableFigureFootnote"/>
        <w:rPr>
          <w:sz w:val="14"/>
          <w:szCs w:val="16"/>
        </w:rPr>
      </w:pPr>
      <w:r w:rsidRPr="00D44CF2">
        <w:rPr>
          <w:sz w:val="14"/>
          <w:szCs w:val="16"/>
        </w:rPr>
        <w:t xml:space="preserve">Source: AEMO Forecasting Data Portal, at </w:t>
      </w:r>
      <w:hyperlink r:id="rId49" w:history="1">
        <w:r w:rsidRPr="00D44CF2">
          <w:rPr>
            <w:rStyle w:val="Hyperlink"/>
            <w:sz w:val="14"/>
            <w:szCs w:val="16"/>
          </w:rPr>
          <w:t>https://www.aemo.com.au/energy-systems/electricity/national-electricity-market-nem/nem-forecasting-and-planning/forecasting-and-planning-data/electricity-forecasting-data-portal</w:t>
        </w:r>
      </w:hyperlink>
      <w:r w:rsidRPr="00D44CF2">
        <w:rPr>
          <w:sz w:val="14"/>
          <w:szCs w:val="16"/>
        </w:rPr>
        <w:t xml:space="preserve">. </w:t>
      </w:r>
    </w:p>
    <w:p w14:paraId="25D963C4" w14:textId="77777777" w:rsidR="0066118A" w:rsidRPr="00D44CF2" w:rsidRDefault="0066118A" w:rsidP="0066118A">
      <w:pPr>
        <w:pStyle w:val="Heading3"/>
      </w:pPr>
      <w:r w:rsidRPr="00D44CF2">
        <w:t>Factors influencing changes between 2024 and 2025 consumption forecasts</w:t>
      </w:r>
    </w:p>
    <w:p w14:paraId="1FD52ED8" w14:textId="0D74E930" w:rsidR="0066118A" w:rsidRPr="00D44CF2" w:rsidRDefault="0066118A" w:rsidP="0066118A">
      <w:pPr>
        <w:pStyle w:val="BodyText"/>
      </w:pPr>
      <w:r w:rsidRPr="00D44CF2">
        <w:t>As the 2025 ESOO report</w:t>
      </w:r>
      <w:r w:rsidR="005143C4" w:rsidRPr="00D44CF2">
        <w:t>ed</w:t>
      </w:r>
      <w:r w:rsidRPr="00D44CF2">
        <w:t xml:space="preserve">, under the </w:t>
      </w:r>
      <w:r w:rsidRPr="00D44CF2">
        <w:rPr>
          <w:i/>
          <w:iCs/>
        </w:rPr>
        <w:t>Step Change</w:t>
      </w:r>
      <w:r w:rsidRPr="00D44CF2">
        <w:t xml:space="preserve"> scenario, operational consumption is forecast to increase from 178 </w:t>
      </w:r>
      <w:bookmarkStart w:id="91" w:name="_Hlk210308005"/>
      <w:r w:rsidRPr="00D44CF2">
        <w:t xml:space="preserve">TWh </w:t>
      </w:r>
      <w:bookmarkEnd w:id="91"/>
      <w:r w:rsidRPr="00D44CF2">
        <w:t xml:space="preserve">in 2024-25 to around 229 TWh by 2034 in Victoria. This is attributed to the potential rapid expansion of data centre projects and accelerated business electrification, which is expected to pick up momentum through the 2030s and exceed levels in the 2024 ESOO. </w:t>
      </w:r>
    </w:p>
    <w:p w14:paraId="5072E9BD" w14:textId="77777777" w:rsidR="0066118A" w:rsidRPr="00D44CF2" w:rsidRDefault="0066118A" w:rsidP="0066118A">
      <w:pPr>
        <w:pStyle w:val="BodyText"/>
      </w:pPr>
      <w:r w:rsidRPr="00D44CF2">
        <w:t xml:space="preserve">This upward trend is predicted to be partially offset by the continued adoption of distributed PV systems, which reduce grid demand. This is anticipated from 2045-46 to 2054-55, where the forecast pace of growth in consumption begins to moderate, with slowing growth in data centres and sustained uptake of rooftop PV and PV </w:t>
      </w:r>
      <w:r w:rsidRPr="00D44CF2">
        <w:lastRenderedPageBreak/>
        <w:t>non-scheduled generation (PVNSG), while EVs and hydrogen production remain key contributors to the overall growth during this period.</w:t>
      </w:r>
    </w:p>
    <w:p w14:paraId="637DC642" w14:textId="189144DA" w:rsidR="0066118A" w:rsidRPr="00D44CF2" w:rsidRDefault="0066118A" w:rsidP="0066118A">
      <w:pPr>
        <w:pStyle w:val="BodyText"/>
      </w:pPr>
      <w:r w:rsidRPr="00D44CF2">
        <w:t xml:space="preserve">Using the 2024 and 2025 ESOO consumption forecasts, </w:t>
      </w:r>
      <w:r w:rsidRPr="00D44CF2">
        <w:rPr>
          <w:b/>
          <w:bCs/>
        </w:rPr>
        <w:fldChar w:fldCharType="begin"/>
      </w:r>
      <w:r w:rsidRPr="00D44CF2">
        <w:rPr>
          <w:b/>
          <w:bCs/>
        </w:rPr>
        <w:instrText xml:space="preserve"> REF _Ref181013808 \r \h  \* MERGEFORMAT </w:instrText>
      </w:r>
      <w:r w:rsidRPr="00D44CF2">
        <w:rPr>
          <w:b/>
          <w:bCs/>
        </w:rPr>
      </w:r>
      <w:r w:rsidRPr="00D44CF2">
        <w:rPr>
          <w:b/>
          <w:bCs/>
        </w:rPr>
        <w:fldChar w:fldCharType="separate"/>
      </w:r>
      <w:r w:rsidR="004973D2">
        <w:rPr>
          <w:b/>
          <w:bCs/>
        </w:rPr>
        <w:t>Figure 11</w:t>
      </w:r>
      <w:r w:rsidRPr="00D44CF2">
        <w:rPr>
          <w:b/>
          <w:bCs/>
        </w:rPr>
        <w:fldChar w:fldCharType="end"/>
      </w:r>
      <w:r w:rsidR="0083326E" w:rsidRPr="00D44CF2">
        <w:rPr>
          <w:b/>
          <w:bCs/>
        </w:rPr>
        <w:t xml:space="preserve"> </w:t>
      </w:r>
      <w:r w:rsidRPr="00D44CF2">
        <w:t>illustrates the key factors driving the changes in Victorian consumption projections for 2029-30:</w:t>
      </w:r>
    </w:p>
    <w:p w14:paraId="6B2BC092" w14:textId="77777777" w:rsidR="0066118A" w:rsidRPr="00D44CF2" w:rsidRDefault="0066118A" w:rsidP="0066118A">
      <w:pPr>
        <w:pStyle w:val="ListBullet"/>
        <w:numPr>
          <w:ilvl w:val="0"/>
          <w:numId w:val="20"/>
        </w:numPr>
      </w:pPr>
      <w:r w:rsidRPr="00D44CF2">
        <w:t xml:space="preserve">Increases in LILs (including data centres in the chart) are primarily due to the growth of data centres in Victoria. AEMO’s 2025 </w:t>
      </w:r>
      <w:r w:rsidRPr="00D44CF2">
        <w:rPr>
          <w:i/>
          <w:iCs/>
        </w:rPr>
        <w:t>Inputs, Assumptions and Scenarios Report</w:t>
      </w:r>
      <w:r w:rsidRPr="00D44CF2">
        <w:t xml:space="preserve"> (IASR) forecast that under the </w:t>
      </w:r>
      <w:r w:rsidRPr="00D44CF2">
        <w:rPr>
          <w:i/>
          <w:iCs/>
        </w:rPr>
        <w:t>Step Change</w:t>
      </w:r>
      <w:r w:rsidRPr="00D44CF2">
        <w:t xml:space="preserve"> scenario, data centre energy consumption will increase by an average of 25% year-on-year, reaching around 12 TWh by 2029-20, an equivalent of 6% of the NEM’s grid-supplied electricity.</w:t>
      </w:r>
    </w:p>
    <w:p w14:paraId="08877EC7" w14:textId="77777777" w:rsidR="0066118A" w:rsidRPr="00D44CF2" w:rsidRDefault="0066118A" w:rsidP="0066118A">
      <w:pPr>
        <w:pStyle w:val="ListBullet"/>
        <w:numPr>
          <w:ilvl w:val="0"/>
          <w:numId w:val="20"/>
        </w:numPr>
      </w:pPr>
      <w:r w:rsidRPr="00D44CF2">
        <w:t>A weaker economic forecast has reduced projected</w:t>
      </w:r>
      <w:r w:rsidRPr="00D44CF2" w:rsidDel="00BE66C1">
        <w:t xml:space="preserve"> </w:t>
      </w:r>
      <w:r w:rsidRPr="00D44CF2">
        <w:t>growth in the BMM sector.</w:t>
      </w:r>
    </w:p>
    <w:p w14:paraId="511754C2" w14:textId="77777777" w:rsidR="0066118A" w:rsidRPr="00D44CF2" w:rsidRDefault="0066118A" w:rsidP="005143C4">
      <w:pPr>
        <w:pStyle w:val="ListBullet"/>
        <w:numPr>
          <w:ilvl w:val="0"/>
          <w:numId w:val="20"/>
        </w:numPr>
        <w:spacing w:after="0"/>
      </w:pPr>
      <w:r w:rsidRPr="00D44CF2">
        <w:t>The Federal Government’s revised NVES provides flexible emission reductions for non-EVs and reduced zero emission targets beyond 2029. This amendment has led to increased EV uptake projections</w:t>
      </w:r>
      <w:r w:rsidRPr="00D44CF2">
        <w:rPr>
          <w:rStyle w:val="FootnoteReference"/>
        </w:rPr>
        <w:footnoteReference w:id="48"/>
      </w:r>
      <w:r w:rsidRPr="00D44CF2">
        <w:rPr>
          <w:vertAlign w:val="superscript"/>
        </w:rPr>
        <w:t>,</w:t>
      </w:r>
      <w:r w:rsidRPr="00D44CF2">
        <w:rPr>
          <w:rStyle w:val="FootnoteReference"/>
        </w:rPr>
        <w:footnoteReference w:id="49"/>
      </w:r>
      <w:r w:rsidRPr="00D44CF2">
        <w:t xml:space="preserve">. </w:t>
      </w:r>
    </w:p>
    <w:p w14:paraId="071B86B9" w14:textId="77777777" w:rsidR="0066118A" w:rsidRPr="00D44CF2" w:rsidRDefault="0066118A" w:rsidP="0066118A">
      <w:pPr>
        <w:pStyle w:val="ListBullet"/>
        <w:numPr>
          <w:ilvl w:val="0"/>
          <w:numId w:val="20"/>
        </w:numPr>
      </w:pPr>
      <w:r w:rsidRPr="00D44CF2">
        <w:t>Updated PV forecasts reflect a trend towards larger rooftop systems for businesses and more efficient PV panels for residences. Schemes such as the $2.3 billion federal Cheaper Home Batteries Program</w:t>
      </w:r>
      <w:r w:rsidRPr="00D44CF2">
        <w:rPr>
          <w:rStyle w:val="FootnoteReference"/>
        </w:rPr>
        <w:footnoteReference w:id="50"/>
      </w:r>
      <w:r w:rsidRPr="00D44CF2">
        <w:t xml:space="preserve"> are likely to increase household uptake of PV and batteries. While PV systems significantly offset both residential and business consumption, the impact on peak demand is only marginally reduced.</w:t>
      </w:r>
    </w:p>
    <w:p w14:paraId="460C1E6E" w14:textId="77777777" w:rsidR="0066118A" w:rsidRPr="00D44CF2" w:rsidRDefault="0066118A" w:rsidP="0066118A">
      <w:pPr>
        <w:pStyle w:val="CaptionFigure"/>
      </w:pPr>
      <w:bookmarkStart w:id="92" w:name="_Toc180159782"/>
      <w:bookmarkStart w:id="93" w:name="_Ref181013808"/>
      <w:bookmarkStart w:id="94" w:name="_Toc212023345"/>
      <w:r w:rsidRPr="00D44CF2">
        <w:t xml:space="preserve">Comparison for 2029-30 between the 2024 and 2025 ESOO Victorian consumption forecasts, Central – </w:t>
      </w:r>
      <w:r w:rsidRPr="00D44CF2">
        <w:rPr>
          <w:i/>
        </w:rPr>
        <w:t>Step Change</w:t>
      </w:r>
      <w:r w:rsidRPr="00D44CF2">
        <w:t xml:space="preserve"> scenario</w:t>
      </w:r>
      <w:bookmarkEnd w:id="92"/>
      <w:bookmarkEnd w:id="93"/>
      <w:bookmarkEnd w:id="94"/>
      <w:r w:rsidRPr="00D44CF2">
        <w:t xml:space="preserve"> </w:t>
      </w:r>
    </w:p>
    <w:p w14:paraId="225A61D0" w14:textId="77777777" w:rsidR="0066118A" w:rsidRPr="00D44CF2" w:rsidRDefault="0066118A" w:rsidP="00C336F3">
      <w:pPr>
        <w:pStyle w:val="BodyText"/>
      </w:pPr>
      <w:r w:rsidRPr="00D44CF2">
        <w:rPr>
          <w:noProof/>
        </w:rPr>
        <w:drawing>
          <wp:inline distT="0" distB="0" distL="0" distR="0" wp14:anchorId="760127C2" wp14:editId="011A9D90">
            <wp:extent cx="6340415" cy="3683000"/>
            <wp:effectExtent l="0" t="0" r="3810" b="0"/>
            <wp:docPr id="778936886" name="Picture 1"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36886" name="Picture 1" descr="A graph with numbers and symbols&#10;&#10;AI-generated content may be incorrect."/>
                    <pic:cNvPicPr/>
                  </pic:nvPicPr>
                  <pic:blipFill rotWithShape="1">
                    <a:blip r:embed="rId50"/>
                    <a:srcRect l="134" t="2002" r="890" b="3011"/>
                    <a:stretch/>
                  </pic:blipFill>
                  <pic:spPr bwMode="auto">
                    <a:xfrm>
                      <a:off x="0" y="0"/>
                      <a:ext cx="6359591" cy="3694139"/>
                    </a:xfrm>
                    <a:prstGeom prst="rect">
                      <a:avLst/>
                    </a:prstGeom>
                    <a:ln>
                      <a:noFill/>
                    </a:ln>
                    <a:extLst>
                      <a:ext uri="{53640926-AAD7-44D8-BBD7-CCE9431645EC}">
                        <a14:shadowObscured xmlns:a14="http://schemas.microsoft.com/office/drawing/2010/main"/>
                      </a:ext>
                    </a:extLst>
                  </pic:spPr>
                </pic:pic>
              </a:graphicData>
            </a:graphic>
          </wp:inline>
        </w:drawing>
      </w:r>
    </w:p>
    <w:p w14:paraId="36A41FFA" w14:textId="77777777" w:rsidR="0083326E" w:rsidRPr="00D44CF2" w:rsidRDefault="0083326E" w:rsidP="0083326E">
      <w:pPr>
        <w:pStyle w:val="TableFigureFootnote"/>
      </w:pPr>
    </w:p>
    <w:p w14:paraId="00672329" w14:textId="7FEE7314" w:rsidR="0066118A" w:rsidRPr="00D44CF2" w:rsidRDefault="0066118A" w:rsidP="0066118A">
      <w:pPr>
        <w:pStyle w:val="BodyText"/>
      </w:pPr>
      <w:r w:rsidRPr="00D44CF2">
        <w:rPr>
          <w:b/>
          <w:bCs/>
        </w:rPr>
        <w:fldChar w:fldCharType="begin"/>
      </w:r>
      <w:r w:rsidRPr="00D44CF2">
        <w:rPr>
          <w:b/>
          <w:bCs/>
        </w:rPr>
        <w:instrText xml:space="preserve"> REF _Ref180390439 \r \h  \* MERGEFORMAT </w:instrText>
      </w:r>
      <w:r w:rsidRPr="00D44CF2">
        <w:rPr>
          <w:b/>
          <w:bCs/>
        </w:rPr>
      </w:r>
      <w:r w:rsidRPr="00D44CF2">
        <w:rPr>
          <w:b/>
          <w:bCs/>
        </w:rPr>
        <w:fldChar w:fldCharType="separate"/>
      </w:r>
      <w:r w:rsidR="004973D2">
        <w:rPr>
          <w:b/>
          <w:bCs/>
        </w:rPr>
        <w:t>Figure 12</w:t>
      </w:r>
      <w:r w:rsidRPr="00D44CF2">
        <w:rPr>
          <w:b/>
          <w:bCs/>
        </w:rPr>
        <w:fldChar w:fldCharType="end"/>
      </w:r>
      <w:r w:rsidRPr="00D44CF2">
        <w:rPr>
          <w:b/>
          <w:bCs/>
        </w:rPr>
        <w:t xml:space="preserve"> </w:t>
      </w:r>
      <w:r w:rsidRPr="00D44CF2">
        <w:rPr>
          <w:b/>
          <w:bCs/>
        </w:rPr>
        <w:fldChar w:fldCharType="begin"/>
      </w:r>
      <w:r w:rsidRPr="00D44CF2">
        <w:rPr>
          <w:b/>
          <w:bCs/>
        </w:rPr>
        <w:fldChar w:fldCharType="separate"/>
      </w:r>
      <w:r w:rsidRPr="00D44CF2">
        <w:rPr>
          <w:b/>
          <w:bCs/>
        </w:rPr>
        <w:fldChar w:fldCharType="end"/>
      </w:r>
      <w:r w:rsidRPr="00D44CF2">
        <w:t xml:space="preserve">illustrates the factors influencing the revised ESOO consumption forecasts under the ESOO Central scenario for 2034-35 for Victoria, which are significantly lower than the 2024 ESOO forecasts, primarily due to: </w:t>
      </w:r>
    </w:p>
    <w:p w14:paraId="50143E57" w14:textId="77777777" w:rsidR="0066118A" w:rsidRPr="00D44CF2" w:rsidRDefault="0066118A" w:rsidP="0066118A">
      <w:pPr>
        <w:pStyle w:val="ListBullet"/>
        <w:numPr>
          <w:ilvl w:val="0"/>
          <w:numId w:val="40"/>
        </w:numPr>
      </w:pPr>
      <w:r w:rsidRPr="00D44CF2">
        <w:t>BMM growth plateauing due to slow economic growth,</w:t>
      </w:r>
    </w:p>
    <w:p w14:paraId="33A8696D" w14:textId="77777777" w:rsidR="0066118A" w:rsidRPr="00D44CF2" w:rsidRDefault="0066118A" w:rsidP="0066118A">
      <w:pPr>
        <w:pStyle w:val="ListBullet"/>
        <w:numPr>
          <w:ilvl w:val="0"/>
          <w:numId w:val="40"/>
        </w:numPr>
      </w:pPr>
      <w:r w:rsidRPr="00D44CF2">
        <w:t>the continued adoption of larger PV systems, which is projected to partly offset consumption growth in the 2030s,</w:t>
      </w:r>
    </w:p>
    <w:p w14:paraId="5EE15423" w14:textId="77777777" w:rsidR="0066118A" w:rsidRPr="00D44CF2" w:rsidRDefault="0066118A" w:rsidP="0066118A">
      <w:pPr>
        <w:pStyle w:val="ListBullet"/>
        <w:numPr>
          <w:ilvl w:val="0"/>
          <w:numId w:val="40"/>
        </w:numPr>
      </w:pPr>
      <w:r w:rsidRPr="00D44CF2">
        <w:t>accelerated growth of data centres, and</w:t>
      </w:r>
    </w:p>
    <w:p w14:paraId="05659EE1" w14:textId="77777777" w:rsidR="0066118A" w:rsidRPr="00D44CF2" w:rsidRDefault="0066118A" w:rsidP="0066118A">
      <w:pPr>
        <w:pStyle w:val="ListBullet"/>
        <w:numPr>
          <w:ilvl w:val="0"/>
          <w:numId w:val="40"/>
        </w:numPr>
      </w:pPr>
      <w:r w:rsidRPr="00D44CF2">
        <w:t xml:space="preserve">electrification of homes and businesses also showing a slow but gradual increase from year 10 onwards.  </w:t>
      </w:r>
    </w:p>
    <w:p w14:paraId="268CE140" w14:textId="57D4E4CD" w:rsidR="0066118A" w:rsidRPr="00D44CF2" w:rsidRDefault="0066118A" w:rsidP="006D0A44">
      <w:pPr>
        <w:pStyle w:val="BodyText"/>
      </w:pPr>
      <w:r w:rsidRPr="00D44CF2">
        <w:t xml:space="preserve">EV adoption is still set to increase electricity consumption, despite a lower forecast due to slower car sales and </w:t>
      </w:r>
      <w:r w:rsidR="00C336F3" w:rsidRPr="00D44CF2">
        <w:t xml:space="preserve">the </w:t>
      </w:r>
      <w:r w:rsidRPr="00D44CF2">
        <w:t>Federal Government’s NVES</w:t>
      </w:r>
      <w:r w:rsidR="006D0A44" w:rsidRPr="00D44CF2">
        <w:rPr>
          <w:rStyle w:val="FootnoteReference"/>
        </w:rPr>
        <w:footnoteReference w:id="51"/>
      </w:r>
      <w:r w:rsidRPr="00D44CF2">
        <w:t>.</w:t>
      </w:r>
    </w:p>
    <w:p w14:paraId="05AA20FB" w14:textId="77777777" w:rsidR="0066118A" w:rsidRPr="00D44CF2" w:rsidRDefault="0066118A" w:rsidP="0066118A">
      <w:pPr>
        <w:pStyle w:val="CaptionFigure"/>
      </w:pPr>
      <w:bookmarkStart w:id="95" w:name="_Toc180159783"/>
      <w:bookmarkStart w:id="96" w:name="_Ref180390439"/>
      <w:bookmarkStart w:id="97" w:name="_Toc212023346"/>
      <w:r w:rsidRPr="00D44CF2">
        <w:t xml:space="preserve">Comparison for 2034-35 between the 2024 and 2025 ESOO Victorian consumption forecasts, Central – </w:t>
      </w:r>
      <w:r w:rsidRPr="00D44CF2">
        <w:rPr>
          <w:i/>
        </w:rPr>
        <w:t>Step Change</w:t>
      </w:r>
      <w:r w:rsidRPr="00D44CF2">
        <w:t xml:space="preserve"> scenario</w:t>
      </w:r>
      <w:bookmarkEnd w:id="95"/>
      <w:bookmarkEnd w:id="96"/>
      <w:bookmarkEnd w:id="97"/>
    </w:p>
    <w:p w14:paraId="60805511" w14:textId="77777777" w:rsidR="0066118A" w:rsidRPr="00D44CF2" w:rsidRDefault="0066118A" w:rsidP="0066118A">
      <w:pPr>
        <w:pStyle w:val="BodyText"/>
      </w:pPr>
      <w:r w:rsidRPr="00D44CF2">
        <w:rPr>
          <w:noProof/>
        </w:rPr>
        <w:drawing>
          <wp:inline distT="0" distB="0" distL="0" distR="0" wp14:anchorId="5215EAA6" wp14:editId="010654D4">
            <wp:extent cx="6408000" cy="3824392"/>
            <wp:effectExtent l="0" t="0" r="0" b="5080"/>
            <wp:docPr id="539152622" name="drawing" descr="A graph of energy consump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52622" name="drawing" descr="A graph of energy consumption&#10;&#10;AI-generated content may be incorrect."/>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408000" cy="3824392"/>
                    </a:xfrm>
                    <a:prstGeom prst="rect">
                      <a:avLst/>
                    </a:prstGeom>
                    <a:ln>
                      <a:noFill/>
                    </a:ln>
                    <a:extLst>
                      <a:ext uri="{53640926-AAD7-44D8-BBD7-CCE9431645EC}">
                        <a14:shadowObscured xmlns:a14="http://schemas.microsoft.com/office/drawing/2010/main"/>
                      </a:ext>
                    </a:extLst>
                  </pic:spPr>
                </pic:pic>
              </a:graphicData>
            </a:graphic>
          </wp:inline>
        </w:drawing>
      </w:r>
    </w:p>
    <w:p w14:paraId="273BF6E7" w14:textId="77777777" w:rsidR="0066118A" w:rsidRPr="00D44CF2" w:rsidRDefault="0066118A" w:rsidP="0066118A">
      <w:pPr>
        <w:pStyle w:val="Heading3"/>
      </w:pPr>
      <w:r w:rsidRPr="00D44CF2">
        <w:t>Operational demand forecasts</w:t>
      </w:r>
    </w:p>
    <w:p w14:paraId="427BC7AC" w14:textId="77777777" w:rsidR="0066118A" w:rsidRPr="00D44CF2" w:rsidRDefault="0066118A" w:rsidP="0066118A">
      <w:pPr>
        <w:pStyle w:val="BodyText"/>
      </w:pPr>
      <w:r w:rsidRPr="00D44CF2">
        <w:t>Maximum and minimum operational demand means the highest and lowest level of electricity sent out from the transmission system, measured, and averaged in half-hour intervals in either summer (November to March) or winter (June to August).</w:t>
      </w:r>
    </w:p>
    <w:p w14:paraId="21A7DD77" w14:textId="77777777" w:rsidR="0066118A" w:rsidRPr="00D44CF2" w:rsidRDefault="0066118A" w:rsidP="0066118A">
      <w:pPr>
        <w:pStyle w:val="BodyText"/>
      </w:pPr>
      <w:r w:rsidRPr="00D44CF2">
        <w:t>Maximum and minimum operational demand forecasts can be presented with:</w:t>
      </w:r>
    </w:p>
    <w:p w14:paraId="3FE7D8C0" w14:textId="77777777" w:rsidR="0066118A" w:rsidRPr="00D44CF2" w:rsidRDefault="0066118A" w:rsidP="0066118A">
      <w:pPr>
        <w:pStyle w:val="ListBullet"/>
        <w:numPr>
          <w:ilvl w:val="0"/>
          <w:numId w:val="41"/>
        </w:numPr>
      </w:pPr>
      <w:r w:rsidRPr="00D44CF2">
        <w:lastRenderedPageBreak/>
        <w:t xml:space="preserve">a 50% POE, meaning they are expected statistically to be met or exceeded one year in two, and are based on average weather conditions (also called one-in-two-year), or </w:t>
      </w:r>
    </w:p>
    <w:p w14:paraId="3C731245" w14:textId="77777777" w:rsidR="0066118A" w:rsidRPr="00D44CF2" w:rsidRDefault="0066118A" w:rsidP="0066118A">
      <w:pPr>
        <w:pStyle w:val="ListBullet"/>
        <w:numPr>
          <w:ilvl w:val="0"/>
          <w:numId w:val="41"/>
        </w:numPr>
      </w:pPr>
      <w:r w:rsidRPr="00D44CF2">
        <w:t>a 10% POE (for maximum demand) or 90% POE (for minimum demand), based on more extreme conditions that are expected to be exceeded on average one year in 10 (also called one-in-10-year).</w:t>
      </w:r>
    </w:p>
    <w:p w14:paraId="2590B6B6" w14:textId="77777777" w:rsidR="0066118A" w:rsidRPr="00D44CF2" w:rsidRDefault="0066118A" w:rsidP="0066118A">
      <w:pPr>
        <w:pStyle w:val="Heading4"/>
      </w:pPr>
      <w:r w:rsidRPr="00D44CF2">
        <w:t xml:space="preserve">Maximum demand forecast is steadily increasing, but at a lower rate than projected last year </w:t>
      </w:r>
    </w:p>
    <w:p w14:paraId="3BBE2F32" w14:textId="7DEAF9F1" w:rsidR="0066118A" w:rsidRPr="00D44CF2" w:rsidRDefault="0066118A" w:rsidP="0066118A">
      <w:pPr>
        <w:pStyle w:val="BodyText"/>
      </w:pPr>
      <w:r w:rsidRPr="00D44CF2">
        <w:t xml:space="preserve">The latest (2025 ESOO) 10% POE and 50% POE maximum demand forecasts for Victoria are shown in </w:t>
      </w:r>
      <w:r w:rsidRPr="00D44CF2">
        <w:rPr>
          <w:b/>
          <w:bCs/>
        </w:rPr>
        <w:fldChar w:fldCharType="begin"/>
      </w:r>
      <w:r w:rsidRPr="00D44CF2">
        <w:rPr>
          <w:b/>
          <w:bCs/>
        </w:rPr>
        <w:instrText xml:space="preserve"> REF _Ref209463807 \r \h </w:instrText>
      </w:r>
      <w:r w:rsidR="00D44CF2">
        <w:rPr>
          <w:b/>
          <w:bCs/>
        </w:rPr>
        <w:instrText xml:space="preserve"> \* MERGEFORMAT </w:instrText>
      </w:r>
      <w:r w:rsidRPr="00D44CF2">
        <w:rPr>
          <w:b/>
          <w:bCs/>
        </w:rPr>
      </w:r>
      <w:r w:rsidRPr="00D44CF2">
        <w:rPr>
          <w:b/>
          <w:bCs/>
        </w:rPr>
        <w:fldChar w:fldCharType="separate"/>
      </w:r>
      <w:r w:rsidR="004973D2">
        <w:rPr>
          <w:b/>
          <w:bCs/>
        </w:rPr>
        <w:t>Figure 13</w:t>
      </w:r>
      <w:r w:rsidRPr="00D44CF2">
        <w:rPr>
          <w:b/>
          <w:bCs/>
        </w:rPr>
        <w:fldChar w:fldCharType="end"/>
      </w:r>
      <w:r w:rsidR="0083326E" w:rsidRPr="00D44CF2">
        <w:rPr>
          <w:b/>
          <w:bCs/>
        </w:rPr>
        <w:t xml:space="preserve"> </w:t>
      </w:r>
      <w:r w:rsidRPr="00D44CF2">
        <w:t xml:space="preserve">and </w:t>
      </w:r>
      <w:r w:rsidRPr="00D44CF2">
        <w:br/>
      </w:r>
      <w:r w:rsidRPr="00D44CF2">
        <w:rPr>
          <w:b/>
          <w:bCs/>
        </w:rPr>
        <w:fldChar w:fldCharType="begin"/>
      </w:r>
      <w:r w:rsidRPr="00D44CF2">
        <w:rPr>
          <w:b/>
          <w:bCs/>
        </w:rPr>
        <w:instrText xml:space="preserve"> REF _Ref207883448 \r \h  \* MERGEFORMAT </w:instrText>
      </w:r>
      <w:r w:rsidRPr="00D44CF2">
        <w:rPr>
          <w:b/>
          <w:bCs/>
        </w:rPr>
      </w:r>
      <w:r w:rsidRPr="00D44CF2">
        <w:rPr>
          <w:b/>
          <w:bCs/>
        </w:rPr>
        <w:fldChar w:fldCharType="separate"/>
      </w:r>
      <w:r w:rsidR="004973D2">
        <w:rPr>
          <w:b/>
          <w:bCs/>
        </w:rPr>
        <w:t>Figure 14</w:t>
      </w:r>
      <w:r w:rsidRPr="00D44CF2">
        <w:rPr>
          <w:b/>
          <w:bCs/>
        </w:rPr>
        <w:fldChar w:fldCharType="end"/>
      </w:r>
      <w:r w:rsidRPr="00D44CF2">
        <w:t xml:space="preserve"> respectively, and compared to equivalent forecasts in the 2024 ESOO. The primary influences on maximum operational demand forecast trends are residential and business drivers. In comparison with the 2024 ESOO, the 2025 ESOO forecast a steeper growth trajectory, particularly in the medium- to long</w:t>
      </w:r>
      <w:r w:rsidRPr="00D44CF2">
        <w:noBreakHyphen/>
        <w:t xml:space="preserve">term horizon. Stronger projected growth in electrification in the business sector contributed a key uplift in the maximum operational demand forecast for Victoria. </w:t>
      </w:r>
    </w:p>
    <w:p w14:paraId="0A256B28" w14:textId="77777777" w:rsidR="0066118A" w:rsidRPr="00D44CF2" w:rsidRDefault="0066118A" w:rsidP="0066118A">
      <w:pPr>
        <w:pStyle w:val="BodyText"/>
      </w:pPr>
      <w:r w:rsidRPr="00D44CF2">
        <w:t>Key insights are:</w:t>
      </w:r>
    </w:p>
    <w:p w14:paraId="588C96C6" w14:textId="77777777" w:rsidR="0066118A" w:rsidRPr="00D44CF2" w:rsidRDefault="0066118A" w:rsidP="0066118A">
      <w:pPr>
        <w:pStyle w:val="ListBullet"/>
        <w:numPr>
          <w:ilvl w:val="0"/>
          <w:numId w:val="125"/>
        </w:numPr>
      </w:pPr>
      <w:r w:rsidRPr="00D44CF2">
        <w:t>For the next decade, both 10% and 50% POE demand forecasts are summer peaking.</w:t>
      </w:r>
    </w:p>
    <w:p w14:paraId="24812171" w14:textId="77777777" w:rsidR="0066118A" w:rsidRPr="00D44CF2" w:rsidRDefault="0066118A" w:rsidP="0066118A">
      <w:pPr>
        <w:pStyle w:val="ListBullet"/>
        <w:numPr>
          <w:ilvl w:val="0"/>
          <w:numId w:val="125"/>
        </w:numPr>
      </w:pPr>
      <w:r w:rsidRPr="00D44CF2">
        <w:t>For the first five years, maximum demand forecasts increase steadily in alignment with the 2024 ESOO forecast.</w:t>
      </w:r>
    </w:p>
    <w:p w14:paraId="08ECBB07" w14:textId="77777777" w:rsidR="0066118A" w:rsidRPr="00D44CF2" w:rsidRDefault="0066118A" w:rsidP="0066118A">
      <w:pPr>
        <w:pStyle w:val="ListBullet"/>
        <w:numPr>
          <w:ilvl w:val="0"/>
          <w:numId w:val="125"/>
        </w:numPr>
      </w:pPr>
      <w:r w:rsidRPr="00D44CF2">
        <w:t>During the second five years, demand growth accelerates, primarily driven by a substantial uplift in projected data centre demand compared to the 2024 ESOO forecast.</w:t>
      </w:r>
    </w:p>
    <w:p w14:paraId="7CCFC040" w14:textId="17558C03" w:rsidR="0066118A" w:rsidRPr="00D44CF2" w:rsidRDefault="0066118A" w:rsidP="0066118A">
      <w:pPr>
        <w:pStyle w:val="CaptionFigure"/>
      </w:pPr>
      <w:bookmarkStart w:id="98" w:name="_Toc180159746"/>
      <w:bookmarkStart w:id="99" w:name="_Toc180159784"/>
      <w:bookmarkStart w:id="100" w:name="_Ref177563773"/>
      <w:bookmarkStart w:id="101" w:name="_Toc180159788"/>
      <w:bookmarkStart w:id="102" w:name="_Ref180390468"/>
      <w:bookmarkStart w:id="103" w:name="_Ref207883437"/>
      <w:bookmarkStart w:id="104" w:name="_Ref207883526"/>
      <w:bookmarkStart w:id="105" w:name="_Ref209463807"/>
      <w:bookmarkStart w:id="106" w:name="_Toc212023347"/>
      <w:bookmarkEnd w:id="98"/>
      <w:bookmarkEnd w:id="99"/>
      <w:r w:rsidRPr="00D44CF2">
        <w:t>Actual and 10% POE forecast maximum demand for Victoria in 2024 and 2025 ESOO Central (</w:t>
      </w:r>
      <w:r w:rsidRPr="00D44CF2">
        <w:rPr>
          <w:i/>
          <w:iCs w:val="0"/>
        </w:rPr>
        <w:t>Step Change</w:t>
      </w:r>
      <w:r w:rsidRPr="00D44CF2">
        <w:t xml:space="preserve">) scenario, operational sent out), </w:t>
      </w:r>
      <w:bookmarkEnd w:id="100"/>
      <w:r w:rsidRPr="00D44CF2">
        <w:t>2021</w:t>
      </w:r>
      <w:r w:rsidR="00C336F3" w:rsidRPr="00D44CF2">
        <w:t>-22</w:t>
      </w:r>
      <w:r w:rsidRPr="00D44CF2">
        <w:t xml:space="preserve"> to </w:t>
      </w:r>
      <w:bookmarkEnd w:id="101"/>
      <w:bookmarkEnd w:id="102"/>
      <w:bookmarkEnd w:id="103"/>
      <w:bookmarkEnd w:id="104"/>
      <w:r w:rsidRPr="00D44CF2">
        <w:t>2035</w:t>
      </w:r>
      <w:r w:rsidR="00C336F3" w:rsidRPr="00D44CF2">
        <w:t>-36</w:t>
      </w:r>
      <w:r w:rsidRPr="00D44CF2">
        <w:t xml:space="preserve"> (MW)</w:t>
      </w:r>
      <w:bookmarkEnd w:id="105"/>
      <w:bookmarkEnd w:id="106"/>
    </w:p>
    <w:p w14:paraId="6A19CBA6" w14:textId="77777777" w:rsidR="0066118A" w:rsidRPr="00D44CF2" w:rsidRDefault="0066118A" w:rsidP="00774B16">
      <w:pPr>
        <w:pStyle w:val="BodyText"/>
      </w:pPr>
      <w:r w:rsidRPr="00D44CF2">
        <w:rPr>
          <w:noProof/>
        </w:rPr>
        <w:drawing>
          <wp:inline distT="0" distB="0" distL="0" distR="0" wp14:anchorId="14145FC1" wp14:editId="15949AE1">
            <wp:extent cx="6374878" cy="3423285"/>
            <wp:effectExtent l="0" t="0" r="6985" b="5715"/>
            <wp:docPr id="1607488292" name="drawing" descr="A graph of a number of people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88292" name="drawing" descr="A graph of a number of people with different colored lines&#10;&#10;AI-generated content may be incorrect."/>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6375815" cy="3423788"/>
                    </a:xfrm>
                    <a:prstGeom prst="rect">
                      <a:avLst/>
                    </a:prstGeom>
                    <a:ln>
                      <a:noFill/>
                    </a:ln>
                    <a:extLst>
                      <a:ext uri="{53640926-AAD7-44D8-BBD7-CCE9431645EC}">
                        <a14:shadowObscured xmlns:a14="http://schemas.microsoft.com/office/drawing/2010/main"/>
                      </a:ext>
                    </a:extLst>
                  </pic:spPr>
                </pic:pic>
              </a:graphicData>
            </a:graphic>
          </wp:inline>
        </w:drawing>
      </w:r>
    </w:p>
    <w:p w14:paraId="7AA69D55" w14:textId="1363362A" w:rsidR="0066118A" w:rsidRPr="00D44CF2" w:rsidRDefault="0066118A" w:rsidP="0066118A">
      <w:pPr>
        <w:pStyle w:val="CaptionFigure"/>
      </w:pPr>
      <w:bookmarkStart w:id="107" w:name="_Ref177563787"/>
      <w:bookmarkStart w:id="108" w:name="_Toc180159789"/>
      <w:bookmarkStart w:id="109" w:name="_Ref180390481"/>
      <w:bookmarkStart w:id="110" w:name="_Ref207883448"/>
      <w:bookmarkStart w:id="111" w:name="_Ref209463818"/>
      <w:bookmarkStart w:id="112" w:name="_Toc212023348"/>
      <w:r w:rsidRPr="00D44CF2">
        <w:lastRenderedPageBreak/>
        <w:t>Actual and 50% POE forecast maximum demand for Victoria in 2024 and 2025 ESOO Central (</w:t>
      </w:r>
      <w:r w:rsidRPr="00D44CF2">
        <w:rPr>
          <w:i/>
          <w:iCs w:val="0"/>
        </w:rPr>
        <w:t>Step Change</w:t>
      </w:r>
      <w:r w:rsidRPr="00D44CF2">
        <w:t xml:space="preserve">) scenario, operational sent </w:t>
      </w:r>
      <w:bookmarkEnd w:id="107"/>
      <w:r w:rsidRPr="00D44CF2">
        <w:t>out, 2021</w:t>
      </w:r>
      <w:r w:rsidR="00C336F3" w:rsidRPr="00D44CF2">
        <w:t>-22</w:t>
      </w:r>
      <w:r w:rsidRPr="00D44CF2">
        <w:t xml:space="preserve"> to</w:t>
      </w:r>
      <w:bookmarkEnd w:id="108"/>
      <w:bookmarkEnd w:id="109"/>
      <w:bookmarkEnd w:id="110"/>
      <w:r w:rsidRPr="00D44CF2">
        <w:t xml:space="preserve"> 2035</w:t>
      </w:r>
      <w:r w:rsidR="00C336F3" w:rsidRPr="00D44CF2">
        <w:t>-36</w:t>
      </w:r>
      <w:r w:rsidRPr="00D44CF2">
        <w:t xml:space="preserve"> (MW)</w:t>
      </w:r>
      <w:bookmarkEnd w:id="111"/>
      <w:bookmarkEnd w:id="112"/>
    </w:p>
    <w:p w14:paraId="346EC531" w14:textId="77777777" w:rsidR="0066118A" w:rsidRPr="00D44CF2" w:rsidRDefault="0066118A" w:rsidP="0066118A">
      <w:pPr>
        <w:pStyle w:val="BodyText"/>
      </w:pPr>
      <w:r w:rsidRPr="00D44CF2">
        <w:rPr>
          <w:noProof/>
        </w:rPr>
        <w:drawing>
          <wp:inline distT="0" distB="0" distL="0" distR="0" wp14:anchorId="2501CA78" wp14:editId="7CD1BEE0">
            <wp:extent cx="6408000" cy="3137742"/>
            <wp:effectExtent l="0" t="0" r="0" b="5715"/>
            <wp:docPr id="792161960" name="drawing" descr="A graph with green and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61960" name="drawing" descr="A graph with green and purple lines&#10;&#10;AI-generated content may be incorrect."/>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6408000" cy="3137742"/>
                    </a:xfrm>
                    <a:prstGeom prst="rect">
                      <a:avLst/>
                    </a:prstGeom>
                    <a:ln>
                      <a:noFill/>
                    </a:ln>
                    <a:extLst>
                      <a:ext uri="{53640926-AAD7-44D8-BBD7-CCE9431645EC}">
                        <a14:shadowObscured xmlns:a14="http://schemas.microsoft.com/office/drawing/2010/main"/>
                      </a:ext>
                    </a:extLst>
                  </pic:spPr>
                </pic:pic>
              </a:graphicData>
            </a:graphic>
          </wp:inline>
        </w:drawing>
      </w:r>
    </w:p>
    <w:p w14:paraId="5BD7DA05" w14:textId="77777777" w:rsidR="0066118A" w:rsidRPr="00D44CF2" w:rsidRDefault="0066118A" w:rsidP="0066118A">
      <w:pPr>
        <w:pStyle w:val="Heading4"/>
      </w:pPr>
      <w:r w:rsidRPr="00D44CF2">
        <w:t xml:space="preserve">Minimum demand forecast is declining, and is projected to be lower than forecast last year </w:t>
      </w:r>
    </w:p>
    <w:p w14:paraId="02D3D447" w14:textId="77777777" w:rsidR="0066118A" w:rsidRPr="00D44CF2" w:rsidRDefault="0066118A" w:rsidP="0066118A">
      <w:pPr>
        <w:pStyle w:val="BodyText"/>
        <w:spacing w:before="0" w:after="0"/>
      </w:pPr>
      <w:r w:rsidRPr="00D44CF2">
        <w:t xml:space="preserve">Minimum operational demand is strongly correlated to PV capacity, with minimums often occurring during daytime </w:t>
      </w:r>
    </w:p>
    <w:p w14:paraId="13834ED5" w14:textId="77777777" w:rsidR="0066118A" w:rsidRPr="00D44CF2" w:rsidRDefault="0066118A" w:rsidP="0066118A">
      <w:pPr>
        <w:pStyle w:val="BodyText"/>
        <w:spacing w:before="0" w:after="0"/>
      </w:pPr>
      <w:r w:rsidRPr="00D44CF2">
        <w:t>hours. The 2025 ESOO demand forecasts have been revised to account for the upward trend in population, electrification, appliance uptake and economic activity which has resulted in increased minimum demand compared to the 2024 ESOO forecast.</w:t>
      </w:r>
      <w:r w:rsidRPr="00D44CF2" w:rsidDel="004C05C4">
        <w:t xml:space="preserve"> </w:t>
      </w:r>
    </w:p>
    <w:p w14:paraId="2F740D36" w14:textId="63D2D12B" w:rsidR="0066118A" w:rsidRPr="00D44CF2" w:rsidRDefault="0066118A" w:rsidP="0066118A">
      <w:pPr>
        <w:pStyle w:val="BodyText"/>
      </w:pPr>
      <w:r w:rsidRPr="00D44CF2">
        <w:rPr>
          <w:b/>
          <w:bCs/>
        </w:rPr>
        <w:fldChar w:fldCharType="begin"/>
      </w:r>
      <w:r w:rsidRPr="00D44CF2">
        <w:rPr>
          <w:b/>
          <w:bCs/>
        </w:rPr>
        <w:instrText xml:space="preserve"> REF _Ref209464733 \r \h  \* MERGEFORMAT </w:instrText>
      </w:r>
      <w:r w:rsidRPr="00D44CF2">
        <w:rPr>
          <w:b/>
          <w:bCs/>
        </w:rPr>
      </w:r>
      <w:r w:rsidRPr="00D44CF2">
        <w:rPr>
          <w:b/>
          <w:bCs/>
        </w:rPr>
        <w:fldChar w:fldCharType="separate"/>
      </w:r>
      <w:r w:rsidR="004973D2">
        <w:rPr>
          <w:b/>
          <w:bCs/>
        </w:rPr>
        <w:t>Figure 15</w:t>
      </w:r>
      <w:r w:rsidRPr="00D44CF2">
        <w:rPr>
          <w:b/>
          <w:bCs/>
        </w:rPr>
        <w:fldChar w:fldCharType="end"/>
      </w:r>
      <w:r w:rsidRPr="00D44CF2">
        <w:t xml:space="preserve"> shows the 90% POE minimum demand forecasts</w:t>
      </w:r>
      <w:r w:rsidR="00717D12" w:rsidRPr="00D44CF2">
        <w:t>,</w:t>
      </w:r>
      <w:r w:rsidRPr="00D44CF2">
        <w:t xml:space="preserve"> which continue in a downward trend that is projected at a slower rate compared to 2024 due to stronger economic conditions and increases in data centre load</w:t>
      </w:r>
      <w:r w:rsidRPr="00D44CF2">
        <w:rPr>
          <w:rStyle w:val="FootnoteReference"/>
        </w:rPr>
        <w:footnoteReference w:id="52"/>
      </w:r>
      <w:r w:rsidRPr="00D44CF2">
        <w:t>.</w:t>
      </w:r>
    </w:p>
    <w:p w14:paraId="122B9435" w14:textId="77777777" w:rsidR="0066118A" w:rsidRPr="00D44CF2" w:rsidRDefault="0066118A" w:rsidP="0066118A">
      <w:pPr>
        <w:pStyle w:val="BodyText"/>
      </w:pPr>
      <w:r w:rsidRPr="00D44CF2">
        <w:t>Under the ESOO Central scenario at the 90% POE forecast, key insights for Victoria are:</w:t>
      </w:r>
    </w:p>
    <w:p w14:paraId="2CE16296" w14:textId="77777777" w:rsidR="0066118A" w:rsidRPr="00D44CF2" w:rsidRDefault="0066118A" w:rsidP="0066118A">
      <w:pPr>
        <w:pStyle w:val="ListBullet"/>
        <w:numPr>
          <w:ilvl w:val="0"/>
          <w:numId w:val="126"/>
        </w:numPr>
      </w:pPr>
      <w:r w:rsidRPr="00D44CF2">
        <w:t>Minimum demand is anticipated to fall below zero by 2029-30.</w:t>
      </w:r>
    </w:p>
    <w:p w14:paraId="5D8FEA35" w14:textId="77777777" w:rsidR="0066118A" w:rsidRPr="00D44CF2" w:rsidRDefault="0066118A" w:rsidP="0066118A">
      <w:pPr>
        <w:pStyle w:val="ListBullet"/>
        <w:numPr>
          <w:ilvl w:val="0"/>
          <w:numId w:val="126"/>
        </w:numPr>
      </w:pPr>
      <w:r w:rsidRPr="00D44CF2">
        <w:t>Between 2025-26 and 2035-36, minimum demand will drop an average of 292 MW at 90% POE, year</w:t>
      </w:r>
      <w:r w:rsidRPr="00D44CF2">
        <w:noBreakHyphen/>
        <w:t>on</w:t>
      </w:r>
      <w:r w:rsidRPr="00D44CF2">
        <w:noBreakHyphen/>
        <w:t>year.</w:t>
      </w:r>
    </w:p>
    <w:p w14:paraId="7518EBA9" w14:textId="77777777" w:rsidR="0066118A" w:rsidRPr="00D44CF2" w:rsidRDefault="0066118A" w:rsidP="0066118A">
      <w:pPr>
        <w:pStyle w:val="ListBullet"/>
        <w:numPr>
          <w:ilvl w:val="0"/>
          <w:numId w:val="126"/>
        </w:numPr>
      </w:pPr>
      <w:r w:rsidRPr="00D44CF2">
        <w:t>By 2035-36, minimum demand is anticipated to fall below -2.1 GW.</w:t>
      </w:r>
    </w:p>
    <w:p w14:paraId="5815AEA0" w14:textId="0A6A65F6" w:rsidR="0066118A" w:rsidRPr="00D44CF2" w:rsidRDefault="0066118A" w:rsidP="0066118A">
      <w:pPr>
        <w:pStyle w:val="CaptionFigure"/>
      </w:pPr>
      <w:bookmarkStart w:id="113" w:name="_Ref177564149"/>
      <w:bookmarkStart w:id="114" w:name="_Toc180159790"/>
      <w:bookmarkStart w:id="115" w:name="_Ref180390547"/>
      <w:bookmarkStart w:id="116" w:name="_Ref207883455"/>
      <w:bookmarkStart w:id="117" w:name="_Ref209464733"/>
      <w:bookmarkStart w:id="118" w:name="_Toc212023349"/>
      <w:r w:rsidRPr="00D44CF2">
        <w:lastRenderedPageBreak/>
        <w:t>Actual and 90% POE forecast minimum demand for Victoria in 2024 and 2025 ESOO Central (</w:t>
      </w:r>
      <w:r w:rsidRPr="00D44CF2">
        <w:rPr>
          <w:i/>
          <w:iCs w:val="0"/>
        </w:rPr>
        <w:t>Step Change</w:t>
      </w:r>
      <w:r w:rsidRPr="00D44CF2">
        <w:t xml:space="preserve">) scenario, operational sent out, 2020-21 to </w:t>
      </w:r>
      <w:bookmarkEnd w:id="113"/>
      <w:bookmarkEnd w:id="114"/>
      <w:bookmarkEnd w:id="115"/>
      <w:bookmarkEnd w:id="116"/>
      <w:r w:rsidRPr="00D44CF2">
        <w:t>2035-36 (MW)</w:t>
      </w:r>
      <w:bookmarkEnd w:id="117"/>
      <w:bookmarkEnd w:id="118"/>
    </w:p>
    <w:p w14:paraId="52D91042" w14:textId="673D2F1F" w:rsidR="0066118A" w:rsidRPr="00D44CF2" w:rsidRDefault="0066118A" w:rsidP="0066118A">
      <w:pPr>
        <w:pStyle w:val="BodyText"/>
      </w:pPr>
      <w:r w:rsidRPr="00D44CF2">
        <w:rPr>
          <w:noProof/>
        </w:rPr>
        <w:drawing>
          <wp:inline distT="0" distB="0" distL="0" distR="0" wp14:anchorId="4C9AA29C" wp14:editId="77D9E276">
            <wp:extent cx="6408000" cy="2556431"/>
            <wp:effectExtent l="0" t="0" r="0" b="0"/>
            <wp:docPr id="899619386" name="drawing" descr="A graph with purpl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19386" name="drawing" descr="A graph with purple and white lines&#10;&#10;AI-generated content may be incorrect."/>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6408000" cy="2556431"/>
                    </a:xfrm>
                    <a:prstGeom prst="rect">
                      <a:avLst/>
                    </a:prstGeom>
                    <a:ln>
                      <a:noFill/>
                    </a:ln>
                    <a:extLst>
                      <a:ext uri="{53640926-AAD7-44D8-BBD7-CCE9431645EC}">
                        <a14:shadowObscured xmlns:a14="http://schemas.microsoft.com/office/drawing/2010/main"/>
                      </a:ext>
                    </a:extLst>
                  </pic:spPr>
                </pic:pic>
              </a:graphicData>
            </a:graphic>
          </wp:inline>
        </w:drawing>
      </w:r>
    </w:p>
    <w:p w14:paraId="6C518F89" w14:textId="77777777" w:rsidR="0066118A" w:rsidRPr="00D44CF2" w:rsidRDefault="0066118A" w:rsidP="0066118A">
      <w:pPr>
        <w:pStyle w:val="BodyText"/>
        <w:spacing w:after="0"/>
      </w:pPr>
      <w:bookmarkStart w:id="119" w:name="_Toc177574291"/>
      <w:bookmarkStart w:id="120" w:name="_Toc177574295"/>
      <w:bookmarkStart w:id="121" w:name="_Toc177574306"/>
      <w:bookmarkEnd w:id="119"/>
      <w:bookmarkEnd w:id="120"/>
      <w:bookmarkEnd w:id="121"/>
    </w:p>
    <w:p w14:paraId="2E75F211" w14:textId="77777777" w:rsidR="0066118A" w:rsidRPr="00D44CF2" w:rsidRDefault="0066118A" w:rsidP="00C70B3F">
      <w:pPr>
        <w:pStyle w:val="BodyText"/>
        <w:sectPr w:rsidR="0066118A" w:rsidRPr="00D44CF2" w:rsidSect="00AE5141">
          <w:headerReference w:type="default" r:id="rId55"/>
          <w:footerReference w:type="default" r:id="rId56"/>
          <w:pgSz w:w="11907" w:h="16840" w:code="9"/>
          <w:pgMar w:top="1985" w:right="907" w:bottom="1418" w:left="907" w:header="788" w:footer="471" w:gutter="0"/>
          <w:cols w:space="708"/>
          <w:docGrid w:linePitch="360"/>
        </w:sectPr>
      </w:pPr>
    </w:p>
    <w:p w14:paraId="2649C21E" w14:textId="77777777" w:rsidR="00A9731B" w:rsidRPr="00D44CF2" w:rsidRDefault="00A9731B" w:rsidP="00A9731B">
      <w:pPr>
        <w:pStyle w:val="Heading1"/>
      </w:pPr>
      <w:bookmarkStart w:id="122" w:name="_Ref177639457"/>
      <w:bookmarkStart w:id="123" w:name="_Toc180159689"/>
      <w:bookmarkStart w:id="124" w:name="_Toc212023280"/>
      <w:r w:rsidRPr="00D44CF2">
        <w:rPr>
          <w:lang w:val="en-GB"/>
        </w:rPr>
        <w:lastRenderedPageBreak/>
        <w:t>Transmission Development Plan for Victoria</w:t>
      </w:r>
      <w:bookmarkEnd w:id="122"/>
      <w:bookmarkEnd w:id="123"/>
      <w:bookmarkEnd w:id="124"/>
      <w:r w:rsidRPr="00D44CF2">
        <w:t xml:space="preserve"> </w:t>
      </w:r>
    </w:p>
    <w:p w14:paraId="76A8CD57" w14:textId="77777777" w:rsidR="00A9731B" w:rsidRPr="00D44CF2" w:rsidRDefault="00A9731B" w:rsidP="00A9731B">
      <w:pPr>
        <w:pStyle w:val="HeadlineStatement"/>
      </w:pPr>
      <w:r w:rsidRPr="00D44CF2">
        <w:t>This section outlines AVP’s updated 10-year Transmission Development Plan to support reliable, secure, and affordable electricity for Victoria, provides information about key network developments underway and planned for the Victorian DSN as part of the Transmission Development Plan, and discusses plan changes since the 2024 VAPR.</w:t>
      </w:r>
    </w:p>
    <w:tbl>
      <w:tblPr>
        <w:tblStyle w:val="TableGrid"/>
        <w:tblW w:w="0" w:type="auto"/>
        <w:tblLayout w:type="fixed"/>
        <w:tblLook w:val="04A0" w:firstRow="1" w:lastRow="0" w:firstColumn="1" w:lastColumn="0" w:noHBand="0" w:noVBand="1"/>
      </w:tblPr>
      <w:tblGrid>
        <w:gridCol w:w="10091"/>
      </w:tblGrid>
      <w:tr w:rsidR="00A9731B" w:rsidRPr="00D44CF2" w14:paraId="25C2DA2F" w14:textId="77777777" w:rsidTr="001A3F5B">
        <w:tc>
          <w:tcPr>
            <w:tcW w:w="10091" w:type="dxa"/>
            <w:tcBorders>
              <w:top w:val="nil"/>
              <w:left w:val="nil"/>
              <w:bottom w:val="nil"/>
              <w:right w:val="nil"/>
            </w:tcBorders>
            <w:shd w:val="clear" w:color="auto" w:fill="E6CEEB" w:themeFill="accent1" w:themeFillTint="33"/>
          </w:tcPr>
          <w:p w14:paraId="44DA77A5" w14:textId="77777777" w:rsidR="00A9731B" w:rsidRPr="00D44CF2" w:rsidRDefault="00A9731B" w:rsidP="001A3F5B">
            <w:pPr>
              <w:pStyle w:val="BreakoutBoxHeading"/>
            </w:pPr>
            <w:r w:rsidRPr="00D44CF2">
              <w:t xml:space="preserve">Key insights </w:t>
            </w:r>
          </w:p>
          <w:p w14:paraId="0C2CC44B" w14:textId="661AA767" w:rsidR="00A9731B" w:rsidRPr="00D44CF2" w:rsidRDefault="00A9731B" w:rsidP="001A3F5B">
            <w:pPr>
              <w:pStyle w:val="ListBullet"/>
            </w:pPr>
            <w:r w:rsidRPr="00D44CF2">
              <w:t>The Transmission Development Plan for Victoria is designed to deliver security and reliability objectives in the context of Victorian Government policy and regulatory settings. The investment projects presented</w:t>
            </w:r>
            <w:r w:rsidRPr="00D44CF2" w:rsidDel="002B6BB0">
              <w:t xml:space="preserve"> </w:t>
            </w:r>
            <w:r w:rsidRPr="00D44CF2">
              <w:t>in the plan</w:t>
            </w:r>
            <w:r w:rsidR="00D63494" w:rsidRPr="00D44CF2">
              <w:t xml:space="preserve"> </w:t>
            </w:r>
            <w:r w:rsidR="001E4910" w:rsidRPr="00D44CF2">
              <w:t xml:space="preserve">have been identified as efficient </w:t>
            </w:r>
            <w:r w:rsidR="00C205B6" w:rsidRPr="00D44CF2">
              <w:t xml:space="preserve">investment solutions that consider </w:t>
            </w:r>
            <w:r w:rsidR="002821EF" w:rsidRPr="00D44CF2">
              <w:t>the benefits from</w:t>
            </w:r>
            <w:r w:rsidR="00D176A8" w:rsidRPr="00D44CF2">
              <w:t xml:space="preserve"> </w:t>
            </w:r>
            <w:r w:rsidRPr="00D44CF2">
              <w:t>unlocking lower-cost generation supplies, maintain the reliability of the electricity supply to the Victorian consumers while ensuring power system resilience, and improve the efficiency of resource sharing between neighbouring regions. As such, timely deliver</w:t>
            </w:r>
            <w:r w:rsidR="007B4AB9" w:rsidRPr="00D44CF2">
              <w:t>y</w:t>
            </w:r>
            <w:r w:rsidR="00C15CE2" w:rsidRPr="00D44CF2">
              <w:t xml:space="preserve"> of</w:t>
            </w:r>
            <w:r w:rsidRPr="00D44CF2">
              <w:t xml:space="preserve"> these investments is critically important to meet Victoria’s energy reliability and security requirements. </w:t>
            </w:r>
          </w:p>
          <w:p w14:paraId="2C73326F" w14:textId="5316DBB9" w:rsidR="00A9731B" w:rsidRPr="00D44CF2" w:rsidRDefault="00A9731B" w:rsidP="001A3F5B">
            <w:pPr>
              <w:pStyle w:val="ListBullet"/>
              <w:numPr>
                <w:ilvl w:val="0"/>
                <w:numId w:val="44"/>
              </w:numPr>
            </w:pPr>
            <w:r w:rsidRPr="00D44CF2">
              <w:t>The majority of the network and non-network developments currently being progressed in Victoria through its Transmission Development Plan – such as RDP Stage 1 projects, WRL and VNI West – serve to reduce congestion and improve DSN system strength to harness renewable generation developments for consumers.</w:t>
            </w:r>
          </w:p>
          <w:p w14:paraId="5A62A736" w14:textId="77777777" w:rsidR="00A9731B" w:rsidRPr="00D44CF2" w:rsidRDefault="00A9731B" w:rsidP="001A3F5B">
            <w:pPr>
              <w:pStyle w:val="ListBullet"/>
              <w:numPr>
                <w:ilvl w:val="0"/>
                <w:numId w:val="44"/>
              </w:numPr>
            </w:pPr>
            <w:r w:rsidRPr="00D44CF2">
              <w:t>Regulatory tests and feasibility studies recently completed or currently underway include the following:</w:t>
            </w:r>
          </w:p>
          <w:p w14:paraId="15B5A91F" w14:textId="12689EB9" w:rsidR="00A9731B" w:rsidRPr="00D44CF2" w:rsidRDefault="00A9731B" w:rsidP="001A3F5B">
            <w:pPr>
              <w:pStyle w:val="ListBullet2"/>
              <w:numPr>
                <w:ilvl w:val="1"/>
                <w:numId w:val="44"/>
              </w:numPr>
            </w:pPr>
            <w:r w:rsidRPr="00D44CF2">
              <w:t xml:space="preserve">To manage the voltages in metropolitan Melbourne during high and low demand conditions, AVP published the PACR of the Melbourne Metropolitan Voltage Management Regulatory Investment Test in December 2024. </w:t>
            </w:r>
          </w:p>
          <w:p w14:paraId="7525D051" w14:textId="77777777" w:rsidR="00A9731B" w:rsidRPr="00D44CF2" w:rsidRDefault="00A9731B" w:rsidP="001A3F5B">
            <w:pPr>
              <w:pStyle w:val="ListBullet2"/>
              <w:numPr>
                <w:ilvl w:val="1"/>
                <w:numId w:val="44"/>
              </w:numPr>
            </w:pPr>
            <w:r w:rsidRPr="00D44CF2">
              <w:t xml:space="preserve">To maintain required system strength services across the DSN under the revised system strength rules, AVP published the PACR in August 2025. </w:t>
            </w:r>
          </w:p>
          <w:p w14:paraId="46B5AD42" w14:textId="2E195C02" w:rsidR="00A9731B" w:rsidRPr="00D44CF2" w:rsidRDefault="00A9731B" w:rsidP="001A3F5B">
            <w:pPr>
              <w:pStyle w:val="ListBullet2"/>
              <w:numPr>
                <w:ilvl w:val="1"/>
                <w:numId w:val="44"/>
              </w:numPr>
            </w:pPr>
            <w:r w:rsidRPr="00D44CF2">
              <w:t xml:space="preserve">To reinforce the 220 kV ring in eastern and western metropolitan Melbourne DSN, AVP published the PSCR for the Eastern Victoria Reinforcement RIT-T in November 2024 and </w:t>
            </w:r>
            <w:r w:rsidR="002609D1" w:rsidRPr="00D44CF2">
              <w:t xml:space="preserve">the </w:t>
            </w:r>
            <w:r w:rsidRPr="00D44CF2">
              <w:t>Western Metropolitan Melbourne Reinforcement RIT-T in March 2025.</w:t>
            </w:r>
          </w:p>
          <w:p w14:paraId="42C4A44E" w14:textId="77777777" w:rsidR="00A9731B" w:rsidRPr="00D44CF2" w:rsidRDefault="00A9731B" w:rsidP="001A3F5B">
            <w:pPr>
              <w:pStyle w:val="ListBullet2"/>
              <w:numPr>
                <w:ilvl w:val="1"/>
                <w:numId w:val="44"/>
              </w:numPr>
            </w:pPr>
            <w:r w:rsidRPr="00D44CF2">
              <w:t xml:space="preserve">To increase the transfer capacity of the 220 kV Red Cliffs – Wemen – Kerang transmission line, AVP has commenced feasibility studies to investigate credible network and non-network options that will determine the need for, and may form input to, a future RIT-T. </w:t>
            </w:r>
          </w:p>
          <w:p w14:paraId="0CE00A53" w14:textId="77777777" w:rsidR="00A9731B" w:rsidRPr="00D44CF2" w:rsidRDefault="00A9731B" w:rsidP="001A3F5B">
            <w:pPr>
              <w:pStyle w:val="ListBullet"/>
              <w:numPr>
                <w:ilvl w:val="0"/>
                <w:numId w:val="44"/>
              </w:numPr>
            </w:pPr>
            <w:r w:rsidRPr="00D44CF2">
              <w:t>Together these projects target key thermal, stability, voltage control, system strength, and REZ expansion limits across the state and interconnector transfer limits with neighbouring states.</w:t>
            </w:r>
          </w:p>
          <w:p w14:paraId="09F8B84B" w14:textId="4748BCA9" w:rsidR="00A9731B" w:rsidRPr="00D44CF2" w:rsidRDefault="00A9731B" w:rsidP="001A3F5B">
            <w:pPr>
              <w:pStyle w:val="ListBullet"/>
              <w:numPr>
                <w:ilvl w:val="0"/>
                <w:numId w:val="44"/>
              </w:numPr>
            </w:pPr>
            <w:r w:rsidRPr="00D44CF2">
              <w:t xml:space="preserve">The Transmission Development Plan is updated annually after undertaking the Annual Planning Review presented in Section </w:t>
            </w:r>
            <w:r w:rsidRPr="00D44CF2">
              <w:fldChar w:fldCharType="begin"/>
            </w:r>
            <w:r w:rsidRPr="00D44CF2">
              <w:instrText xml:space="preserve"> REF _Ref178951230 \n \h  \* MERGEFORMAT </w:instrText>
            </w:r>
            <w:r w:rsidRPr="00D44CF2">
              <w:fldChar w:fldCharType="separate"/>
            </w:r>
            <w:r w:rsidR="004973D2">
              <w:t>4</w:t>
            </w:r>
            <w:r w:rsidRPr="00D44CF2">
              <w:fldChar w:fldCharType="end"/>
            </w:r>
            <w:r w:rsidRPr="00D44CF2">
              <w:t>.</w:t>
            </w:r>
            <w:r w:rsidRPr="00D44CF2">
              <w:rPr>
                <w:rFonts w:ascii="Times New Roman" w:eastAsia="Times New Roman" w:hAnsi="Times New Roman" w:cs="Times New Roman"/>
                <w:color w:val="auto"/>
                <w:sz w:val="24"/>
                <w:szCs w:val="24"/>
                <w:lang w:eastAsia="en-AU"/>
              </w:rPr>
              <w:t xml:space="preserve"> </w:t>
            </w:r>
          </w:p>
        </w:tc>
      </w:tr>
    </w:tbl>
    <w:p w14:paraId="3F38F4BF" w14:textId="77777777" w:rsidR="00A9731B" w:rsidRPr="00D44CF2" w:rsidRDefault="00A9731B" w:rsidP="00A9731B">
      <w:pPr>
        <w:pStyle w:val="BodyText"/>
        <w:rPr>
          <w:lang w:val="en-US"/>
        </w:rPr>
      </w:pPr>
      <w:r w:rsidRPr="00D44CF2">
        <w:rPr>
          <w:lang w:val="en-US"/>
        </w:rPr>
        <w:lastRenderedPageBreak/>
        <w:t>AVP’s annual 10-year Transmission Development Plan consists of network augmentation projects identified as part of annual transmission planning process and additional augmentations and operational arrangements initiated by the government via NEVA orders and market investors as part of large generator/storage or load connections.</w:t>
      </w:r>
    </w:p>
    <w:p w14:paraId="07121BA8" w14:textId="2F679B62" w:rsidR="00A9731B" w:rsidRPr="00D44CF2" w:rsidRDefault="00A9731B" w:rsidP="00A9731B">
      <w:pPr>
        <w:pStyle w:val="BodyText"/>
        <w:rPr>
          <w:lang w:val="en-GB"/>
        </w:rPr>
      </w:pPr>
      <w:r w:rsidRPr="00D44CF2">
        <w:t xml:space="preserve">This plan is reviewed and updated each year as part of the VAPR. </w:t>
      </w:r>
      <w:r w:rsidRPr="00D44CF2">
        <w:rPr>
          <w:lang w:val="en-GB"/>
        </w:rPr>
        <w:t xml:space="preserve">Over the 10-year outlook, these projects will facilitate the connection of new generation, increase network capacity to transfer power between new supply centres and demand, and manage emerging operational challenges. Combined, these projects help efficiently deliver network performance as outlined in the NER, maintain supply reliability, and </w:t>
      </w:r>
      <w:r w:rsidR="005A5F03" w:rsidRPr="00D44CF2">
        <w:rPr>
          <w:lang w:val="en-GB"/>
        </w:rPr>
        <w:t>put downward pressure on</w:t>
      </w:r>
      <w:r w:rsidRPr="00D44CF2">
        <w:rPr>
          <w:lang w:val="en-GB"/>
        </w:rPr>
        <w:t xml:space="preserve"> costs to consumers </w:t>
      </w:r>
      <w:r w:rsidRPr="00D44CF2">
        <w:t>in the context of Victorian Government policy and regulatory settings</w:t>
      </w:r>
      <w:r w:rsidRPr="00D44CF2">
        <w:rPr>
          <w:lang w:val="en-GB"/>
        </w:rPr>
        <w:t xml:space="preserve">. </w:t>
      </w:r>
    </w:p>
    <w:p w14:paraId="5CBBAE75" w14:textId="77777777" w:rsidR="00A9731B" w:rsidRPr="00D44CF2" w:rsidRDefault="00A9731B" w:rsidP="00A9731B">
      <w:pPr>
        <w:pStyle w:val="BodyText"/>
        <w:rPr>
          <w:lang w:val="en-US"/>
        </w:rPr>
      </w:pPr>
      <w:r w:rsidRPr="00D44CF2">
        <w:rPr>
          <w:lang w:val="en-US"/>
        </w:rPr>
        <w:t>As the jurisdictional planner for the DSN in Victoria, AVP is committed to reviewing and improving the development plan for the DSN to deliver reliable, secure and affordable energy to consumers while enabling the energy transition.</w:t>
      </w:r>
    </w:p>
    <w:p w14:paraId="2720A1B6" w14:textId="77777777" w:rsidR="00A9731B" w:rsidRPr="00D44CF2" w:rsidRDefault="00A9731B" w:rsidP="00A9731B">
      <w:pPr>
        <w:pStyle w:val="BodyText"/>
        <w:rPr>
          <w:lang w:val="en-GB"/>
        </w:rPr>
      </w:pPr>
      <w:r w:rsidRPr="00D44CF2">
        <w:t>To address</w:t>
      </w:r>
      <w:r w:rsidRPr="00D44CF2" w:rsidDel="00820E3C">
        <w:t xml:space="preserve"> </w:t>
      </w:r>
      <w:r w:rsidRPr="00D44CF2">
        <w:t xml:space="preserve">emerging operational challenges and deliver a system capable of facilitating the supply and demand changes highlighted in Section 2, AVP has been progressing a suite of transmission development projects.  </w:t>
      </w:r>
    </w:p>
    <w:p w14:paraId="29E8897A" w14:textId="3A18D85B" w:rsidR="00A9731B" w:rsidRPr="00D44CF2" w:rsidRDefault="00A9731B" w:rsidP="00A9731B">
      <w:pPr>
        <w:pStyle w:val="BodyText"/>
        <w:rPr>
          <w:lang w:val="en-GB"/>
        </w:rPr>
      </w:pPr>
      <w:r w:rsidRPr="00D44CF2">
        <w:rPr>
          <w:b/>
          <w:lang w:val="en-GB"/>
        </w:rPr>
        <w:fldChar w:fldCharType="begin"/>
      </w:r>
      <w:r w:rsidRPr="00D44CF2">
        <w:rPr>
          <w:b/>
          <w:lang w:val="en-GB"/>
        </w:rPr>
        <w:instrText xml:space="preserve"> REF _Ref177543406 \r \h  \* MERGEFORMAT </w:instrText>
      </w:r>
      <w:r w:rsidRPr="00D44CF2">
        <w:rPr>
          <w:b/>
          <w:lang w:val="en-GB"/>
        </w:rPr>
      </w:r>
      <w:r w:rsidRPr="00D44CF2">
        <w:rPr>
          <w:b/>
          <w:lang w:val="en-GB"/>
        </w:rPr>
        <w:fldChar w:fldCharType="separate"/>
      </w:r>
      <w:r w:rsidR="004973D2">
        <w:rPr>
          <w:b/>
          <w:lang w:val="en-GB"/>
        </w:rPr>
        <w:t>Figure 16</w:t>
      </w:r>
      <w:r w:rsidRPr="00D44CF2">
        <w:rPr>
          <w:b/>
          <w:lang w:val="en-GB"/>
        </w:rPr>
        <w:fldChar w:fldCharType="end"/>
      </w:r>
      <w:r w:rsidRPr="00D44CF2">
        <w:t xml:space="preserve"> and </w:t>
      </w:r>
      <w:r w:rsidRPr="00D44CF2">
        <w:rPr>
          <w:b/>
        </w:rPr>
        <w:fldChar w:fldCharType="begin"/>
      </w:r>
      <w:r w:rsidRPr="00D44CF2">
        <w:rPr>
          <w:b/>
        </w:rPr>
        <w:instrText xml:space="preserve"> REF _Ref180149436 \n \h  \* MERGEFORMAT </w:instrText>
      </w:r>
      <w:r w:rsidRPr="00D44CF2">
        <w:rPr>
          <w:b/>
        </w:rPr>
      </w:r>
      <w:r w:rsidRPr="00D44CF2">
        <w:rPr>
          <w:b/>
        </w:rPr>
        <w:fldChar w:fldCharType="separate"/>
      </w:r>
      <w:r w:rsidR="004973D2">
        <w:rPr>
          <w:b/>
        </w:rPr>
        <w:t>Figure 17</w:t>
      </w:r>
      <w:r w:rsidRPr="00D44CF2">
        <w:rPr>
          <w:b/>
        </w:rPr>
        <w:fldChar w:fldCharType="end"/>
      </w:r>
      <w:r w:rsidRPr="00D44CF2">
        <w:rPr>
          <w:lang w:val="en-GB"/>
        </w:rPr>
        <w:t xml:space="preserve"> show the projects included in the updated Transmission Development Plan for Victoria. </w:t>
      </w:r>
      <w:r w:rsidRPr="00D44CF2">
        <w:rPr>
          <w:b/>
          <w:bCs/>
          <w:lang w:val="en-GB"/>
        </w:rPr>
        <w:fldChar w:fldCharType="begin"/>
      </w:r>
      <w:r w:rsidRPr="00D44CF2">
        <w:rPr>
          <w:b/>
          <w:bCs/>
          <w:lang w:val="en-GB"/>
        </w:rPr>
        <w:instrText xml:space="preserve"> REF _Ref208323942 \r \h  \* MERGEFORMAT </w:instrText>
      </w:r>
      <w:r w:rsidRPr="00D44CF2">
        <w:rPr>
          <w:b/>
          <w:bCs/>
          <w:lang w:val="en-GB"/>
        </w:rPr>
      </w:r>
      <w:r w:rsidRPr="00D44CF2">
        <w:rPr>
          <w:b/>
          <w:bCs/>
          <w:lang w:val="en-GB"/>
        </w:rPr>
        <w:fldChar w:fldCharType="separate"/>
      </w:r>
      <w:r w:rsidR="004973D2">
        <w:rPr>
          <w:b/>
          <w:bCs/>
          <w:lang w:val="en-GB"/>
        </w:rPr>
        <w:t>Figure 18</w:t>
      </w:r>
      <w:r w:rsidRPr="00D44CF2">
        <w:rPr>
          <w:b/>
          <w:bCs/>
          <w:lang w:val="en-GB"/>
        </w:rPr>
        <w:fldChar w:fldCharType="end"/>
      </w:r>
      <w:r w:rsidRPr="00D44CF2">
        <w:rPr>
          <w:lang w:val="en-GB"/>
        </w:rPr>
        <w:t xml:space="preserve"> illustrates the in-progress projects in the Transmission Development Plan in a timeline. </w:t>
      </w:r>
    </w:p>
    <w:p w14:paraId="58EED64D" w14:textId="77777777" w:rsidR="00A9731B" w:rsidRPr="00D44CF2" w:rsidRDefault="00A9731B" w:rsidP="00A9731B">
      <w:pPr>
        <w:pStyle w:val="BodyText"/>
        <w:rPr>
          <w:lang w:val="en-GB"/>
        </w:rPr>
      </w:pPr>
      <w:r w:rsidRPr="00D44CF2">
        <w:rPr>
          <w:lang w:val="en-GB"/>
        </w:rPr>
        <w:t>These projects are either:</w:t>
      </w:r>
    </w:p>
    <w:p w14:paraId="5DA01EAA" w14:textId="77777777" w:rsidR="00A9731B" w:rsidRPr="00D44CF2" w:rsidRDefault="00A9731B" w:rsidP="00A9731B">
      <w:pPr>
        <w:pStyle w:val="BodyText"/>
        <w:numPr>
          <w:ilvl w:val="0"/>
          <w:numId w:val="5"/>
        </w:numPr>
      </w:pPr>
      <w:r w:rsidRPr="00D44CF2">
        <w:rPr>
          <w:b/>
        </w:rPr>
        <w:t>completed projects</w:t>
      </w:r>
      <w:r w:rsidRPr="00D44CF2">
        <w:t xml:space="preserve"> – projects that have completed the delivery stage since the publication of 2024 VAPR,</w:t>
      </w:r>
    </w:p>
    <w:p w14:paraId="62C53FAA" w14:textId="77777777" w:rsidR="00A9731B" w:rsidRPr="00D44CF2" w:rsidRDefault="00A9731B" w:rsidP="00A9731B">
      <w:pPr>
        <w:pStyle w:val="BodyText"/>
        <w:numPr>
          <w:ilvl w:val="0"/>
          <w:numId w:val="5"/>
        </w:numPr>
      </w:pPr>
      <w:r w:rsidRPr="00D44CF2">
        <w:rPr>
          <w:b/>
        </w:rPr>
        <w:t>projects in delivery stage</w:t>
      </w:r>
      <w:r w:rsidRPr="00D44CF2">
        <w:t xml:space="preserve"> – projects that have completed regulatory tests or other planning approvals</w:t>
      </w:r>
      <w:r w:rsidRPr="00D44CF2">
        <w:rPr>
          <w:rStyle w:val="FootnoteReference"/>
        </w:rPr>
        <w:footnoteReference w:id="53"/>
      </w:r>
      <w:r w:rsidRPr="00D44CF2">
        <w:t xml:space="preserve"> and have progressed to detailed scoping and design stage, or</w:t>
      </w:r>
    </w:p>
    <w:p w14:paraId="442849C7" w14:textId="77777777" w:rsidR="00A9731B" w:rsidRPr="00D44CF2" w:rsidRDefault="00A9731B" w:rsidP="00A9731B">
      <w:pPr>
        <w:pStyle w:val="BodyText"/>
        <w:numPr>
          <w:ilvl w:val="0"/>
          <w:numId w:val="5"/>
        </w:numPr>
      </w:pPr>
      <w:r w:rsidRPr="00D44CF2">
        <w:rPr>
          <w:b/>
        </w:rPr>
        <w:t xml:space="preserve">other planned projects </w:t>
      </w:r>
      <w:r w:rsidRPr="00D44CF2">
        <w:t xml:space="preserve">– all committed and anticipated projects according to the ISP commitment criteria in the </w:t>
      </w:r>
      <w:r w:rsidRPr="00D44CF2">
        <w:rPr>
          <w:i/>
          <w:iCs/>
        </w:rPr>
        <w:t>ISP Methodology</w:t>
      </w:r>
      <w:r w:rsidRPr="00D44CF2">
        <w:rPr>
          <w:vertAlign w:val="superscript"/>
        </w:rPr>
        <w:footnoteReference w:id="54"/>
      </w:r>
      <w:r w:rsidRPr="00D44CF2">
        <w:t xml:space="preserve">, as well as transmission projects initiated by VicGrid as part of the VTP. </w:t>
      </w:r>
    </w:p>
    <w:p w14:paraId="58A33C25" w14:textId="77777777" w:rsidR="00A9731B" w:rsidRPr="00D44CF2" w:rsidRDefault="00A9731B" w:rsidP="00A9731B">
      <w:pPr>
        <w:pStyle w:val="BodyText"/>
      </w:pPr>
      <w:r w:rsidRPr="00D44CF2">
        <w:t>AVP’s Transmission Development Plan for Victoria assesses limitations identified in the Annual Planning Review and is designed to meet security and reliability objectives in an efficient way over the coming decade. This means it is not necessarily designed to remove all network limitations, particularly where generation investments occur in weaker parts of the grid, resulting in generation curtailment, or where the costs of augmentation outweigh the benefits to consumers.</w:t>
      </w:r>
    </w:p>
    <w:p w14:paraId="09474404" w14:textId="77777777" w:rsidR="00A9731B" w:rsidRPr="00D44CF2" w:rsidRDefault="00A9731B" w:rsidP="00A9731B">
      <w:pPr>
        <w:pStyle w:val="BodyText"/>
      </w:pPr>
      <w:r w:rsidRPr="00D44CF2">
        <w:t>In parallel to AVP’s Transmission Development Plan for Victoria, VicGrid develops the VTP, which is a long-term strategic plan for REZs and transmission infrastructure required to enable an orderly energy transition.</w:t>
      </w:r>
    </w:p>
    <w:p w14:paraId="0E090880" w14:textId="77777777" w:rsidR="00A9731B" w:rsidRPr="00D44CF2" w:rsidRDefault="00A9731B" w:rsidP="00A9731B">
      <w:pPr>
        <w:pStyle w:val="BodyText"/>
      </w:pPr>
      <w:r w:rsidRPr="00D44CF2">
        <w:t xml:space="preserve">AVP proactively identifies and monitors future limitations through its planning and connection functions as well as interfaces with AEMO and DTSO operational teams, which could trigger further investigations under specific system changes or generator investment patterns.  </w:t>
      </w:r>
    </w:p>
    <w:p w14:paraId="0B97CF13" w14:textId="77777777" w:rsidR="00A9731B" w:rsidRPr="00D44CF2" w:rsidRDefault="00A9731B" w:rsidP="00A9731B">
      <w:pPr>
        <w:pStyle w:val="BodyText"/>
      </w:pPr>
      <w:r w:rsidRPr="00D44CF2">
        <w:t xml:space="preserve">The VAPR uses detailed analysis to capture the nature, timing, impact, and triggers associated with potential limitations, which identify the need for network investment and inform the subsequent ISP. The focus of this work </w:t>
      </w:r>
      <w:r w:rsidRPr="00D44CF2">
        <w:lastRenderedPageBreak/>
        <w:t>is on identifying projects that are likely to deliver net positive economic benefits under the current regulatory framework, or where corrective action is required to keep the DSN reliable and secure.</w:t>
      </w:r>
    </w:p>
    <w:p w14:paraId="59EFC4B2" w14:textId="7B98169C" w:rsidR="00A9731B" w:rsidRPr="00D44CF2" w:rsidRDefault="00A9731B" w:rsidP="00A9731B">
      <w:pPr>
        <w:pStyle w:val="BodyText"/>
        <w:rPr>
          <w:lang w:val="en-GB"/>
        </w:rPr>
      </w:pPr>
      <w:r w:rsidRPr="00D44CF2">
        <w:rPr>
          <w:lang w:val="en-GB"/>
        </w:rPr>
        <w:t xml:space="preserve">Section </w:t>
      </w:r>
      <w:r w:rsidRPr="00D44CF2">
        <w:rPr>
          <w:lang w:val="en-GB"/>
        </w:rPr>
        <w:fldChar w:fldCharType="begin"/>
      </w:r>
      <w:r w:rsidRPr="00D44CF2">
        <w:rPr>
          <w:lang w:val="en-GB"/>
        </w:rPr>
        <w:instrText xml:space="preserve"> REF _Ref180405716 \n \h  \* MERGEFORMAT </w:instrText>
      </w:r>
      <w:r w:rsidRPr="00D44CF2">
        <w:rPr>
          <w:lang w:val="en-GB"/>
        </w:rPr>
      </w:r>
      <w:r w:rsidRPr="00D44CF2">
        <w:rPr>
          <w:lang w:val="en-GB"/>
        </w:rPr>
        <w:fldChar w:fldCharType="separate"/>
      </w:r>
      <w:r w:rsidR="004973D2">
        <w:rPr>
          <w:lang w:val="en-GB"/>
        </w:rPr>
        <w:t>3.1</w:t>
      </w:r>
      <w:r w:rsidRPr="00D44CF2">
        <w:rPr>
          <w:lang w:val="en-GB"/>
        </w:rPr>
        <w:fldChar w:fldCharType="end"/>
      </w:r>
      <w:r w:rsidRPr="00D44CF2">
        <w:rPr>
          <w:lang w:val="en-GB"/>
        </w:rPr>
        <w:t xml:space="preserve"> of the VAPR provides more detail about projects, including high-level scope and progress since the 2024 VAPR. </w:t>
      </w:r>
    </w:p>
    <w:p w14:paraId="5E59D4BA" w14:textId="77777777" w:rsidR="00A9731B" w:rsidRPr="00D44CF2" w:rsidRDefault="00A9731B" w:rsidP="00A9731B">
      <w:pPr>
        <w:pStyle w:val="CaptionFigure"/>
      </w:pPr>
      <w:bookmarkStart w:id="125" w:name="_Ref180150501"/>
      <w:bookmarkStart w:id="126" w:name="_Toc180159791"/>
      <w:bookmarkStart w:id="127" w:name="_Toc212023350"/>
      <w:bookmarkStart w:id="128" w:name="_Ref177543406"/>
      <w:r w:rsidRPr="00D44CF2">
        <w:t>Newly completed/approaching completion Transmission Development Plan projects for Victoria</w:t>
      </w:r>
      <w:bookmarkEnd w:id="125"/>
      <w:bookmarkEnd w:id="126"/>
      <w:bookmarkEnd w:id="127"/>
    </w:p>
    <w:bookmarkEnd w:id="128"/>
    <w:p w14:paraId="3742CB46" w14:textId="7FA86425" w:rsidR="00A9731B" w:rsidRPr="00D44CF2" w:rsidRDefault="008D125D" w:rsidP="00A9731B">
      <w:pPr>
        <w:pStyle w:val="BodyText"/>
      </w:pPr>
      <w:r w:rsidRPr="00D44CF2">
        <w:rPr>
          <w:noProof/>
        </w:rPr>
        <w:drawing>
          <wp:inline distT="0" distB="0" distL="0" distR="0" wp14:anchorId="7A16E928" wp14:editId="5BFB9E56">
            <wp:extent cx="6408000" cy="4492625"/>
            <wp:effectExtent l="0" t="0" r="0" b="3175"/>
            <wp:docPr id="113150341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5884269" name=""/>
                    <pic:cNvPicPr/>
                  </pic:nvPicPr>
                  <pic:blipFill rotWithShape="1">
                    <a:blip r:embed="rId18"/>
                    <a:srcRect l="1117"/>
                    <a:stretch/>
                  </pic:blipFill>
                  <pic:spPr bwMode="auto">
                    <a:xfrm>
                      <a:off x="0" y="0"/>
                      <a:ext cx="6408000" cy="4492625"/>
                    </a:xfrm>
                    <a:prstGeom prst="rect">
                      <a:avLst/>
                    </a:prstGeom>
                    <a:ln>
                      <a:noFill/>
                    </a:ln>
                    <a:extLst>
                      <a:ext uri="{53640926-AAD7-44D8-BBD7-CCE9431645EC}">
                        <a14:shadowObscured xmlns:a14="http://schemas.microsoft.com/office/drawing/2010/main"/>
                      </a:ext>
                    </a:extLst>
                  </pic:spPr>
                </pic:pic>
              </a:graphicData>
            </a:graphic>
          </wp:inline>
        </w:drawing>
      </w:r>
    </w:p>
    <w:p w14:paraId="187CFEE5" w14:textId="77777777" w:rsidR="00A9731B" w:rsidRPr="00D44CF2" w:rsidRDefault="00A9731B" w:rsidP="00A9731B">
      <w:pPr>
        <w:pStyle w:val="CaptionFigure"/>
      </w:pPr>
      <w:bookmarkStart w:id="129" w:name="_Ref180149436"/>
      <w:bookmarkStart w:id="130" w:name="_Toc180159792"/>
      <w:bookmarkStart w:id="131" w:name="_Toc212023351"/>
      <w:r w:rsidRPr="00D44CF2">
        <w:lastRenderedPageBreak/>
        <w:t>In progress Transmission Development Plan projects for Victoria</w:t>
      </w:r>
      <w:bookmarkEnd w:id="129"/>
      <w:bookmarkEnd w:id="130"/>
      <w:bookmarkEnd w:id="131"/>
    </w:p>
    <w:p w14:paraId="0E4B4F17" w14:textId="0517CE04" w:rsidR="00754972" w:rsidRPr="00D44CF2" w:rsidRDefault="001C0B33" w:rsidP="00A9731B">
      <w:pPr>
        <w:pStyle w:val="BodyText"/>
        <w:sectPr w:rsidR="00754972" w:rsidRPr="00D44CF2" w:rsidSect="00A9731B">
          <w:headerReference w:type="default" r:id="rId57"/>
          <w:footerReference w:type="default" r:id="rId58"/>
          <w:pgSz w:w="11907" w:h="16840" w:code="9"/>
          <w:pgMar w:top="1985" w:right="907" w:bottom="1418" w:left="907" w:header="788" w:footer="471" w:gutter="0"/>
          <w:cols w:space="708"/>
          <w:docGrid w:linePitch="360"/>
        </w:sectPr>
      </w:pPr>
      <w:bookmarkStart w:id="132" w:name="_Ref180150858"/>
      <w:bookmarkStart w:id="133" w:name="_Toc180159793"/>
      <w:r w:rsidRPr="00D44CF2">
        <w:rPr>
          <w:noProof/>
        </w:rPr>
        <w:drawing>
          <wp:inline distT="0" distB="0" distL="0" distR="0" wp14:anchorId="7D470FF8" wp14:editId="2A3C96DB">
            <wp:extent cx="6408000" cy="5652000"/>
            <wp:effectExtent l="0" t="0" r="0" b="6350"/>
            <wp:docPr id="1233396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201574" name=""/>
                    <pic:cNvPicPr/>
                  </pic:nvPicPr>
                  <pic:blipFill>
                    <a:blip r:embed="rId21"/>
                    <a:stretch>
                      <a:fillRect/>
                    </a:stretch>
                  </pic:blipFill>
                  <pic:spPr>
                    <a:xfrm>
                      <a:off x="0" y="0"/>
                      <a:ext cx="6408000" cy="5652000"/>
                    </a:xfrm>
                    <a:prstGeom prst="rect">
                      <a:avLst/>
                    </a:prstGeom>
                  </pic:spPr>
                </pic:pic>
              </a:graphicData>
            </a:graphic>
          </wp:inline>
        </w:drawing>
      </w:r>
    </w:p>
    <w:p w14:paraId="7A25EC29" w14:textId="77777777" w:rsidR="00A9731B" w:rsidRPr="00D44CF2" w:rsidRDefault="00A9731B" w:rsidP="00A9731B">
      <w:pPr>
        <w:pStyle w:val="CaptionFigure"/>
      </w:pPr>
      <w:bookmarkStart w:id="134" w:name="_Ref208323942"/>
      <w:bookmarkStart w:id="135" w:name="_Toc212023352"/>
      <w:r w:rsidRPr="00D44CF2">
        <w:lastRenderedPageBreak/>
        <w:t>Timeline of Transmission Development Plan projects for Victoria</w:t>
      </w:r>
      <w:bookmarkEnd w:id="132"/>
      <w:bookmarkEnd w:id="133"/>
      <w:bookmarkEnd w:id="134"/>
      <w:bookmarkEnd w:id="135"/>
    </w:p>
    <w:p w14:paraId="1BE1D3B0" w14:textId="04179525" w:rsidR="00A9731B" w:rsidRPr="00D44CF2" w:rsidRDefault="0013307A" w:rsidP="00A9731B">
      <w:pPr>
        <w:pStyle w:val="BodyText"/>
        <w:rPr>
          <w:b/>
          <w:bCs/>
        </w:rPr>
      </w:pPr>
      <w:r w:rsidRPr="00D44CF2">
        <w:rPr>
          <w:b/>
          <w:bCs/>
          <w:noProof/>
        </w:rPr>
        <w:drawing>
          <wp:inline distT="0" distB="0" distL="0" distR="0" wp14:anchorId="17C1707B" wp14:editId="51FB1C8F">
            <wp:extent cx="6140766" cy="6521785"/>
            <wp:effectExtent l="0" t="0" r="0" b="0"/>
            <wp:docPr id="3983849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84986" name="Picture 1" descr="A screenshot of a computer&#10;&#10;AI-generated content may be incorrect."/>
                    <pic:cNvPicPr/>
                  </pic:nvPicPr>
                  <pic:blipFill>
                    <a:blip r:embed="rId59"/>
                    <a:stretch>
                      <a:fillRect/>
                    </a:stretch>
                  </pic:blipFill>
                  <pic:spPr>
                    <a:xfrm>
                      <a:off x="0" y="0"/>
                      <a:ext cx="6140766" cy="6521785"/>
                    </a:xfrm>
                    <a:prstGeom prst="rect">
                      <a:avLst/>
                    </a:prstGeom>
                  </pic:spPr>
                </pic:pic>
              </a:graphicData>
            </a:graphic>
          </wp:inline>
        </w:drawing>
      </w:r>
    </w:p>
    <w:p w14:paraId="4182C4E7" w14:textId="4DA3E2BC" w:rsidR="00A9731B" w:rsidRPr="00D44CF2" w:rsidRDefault="00A9731B" w:rsidP="00A9731B">
      <w:pPr>
        <w:pStyle w:val="TableFigureFootnote"/>
        <w:rPr>
          <w:lang w:val="en-US"/>
        </w:rPr>
      </w:pPr>
      <w:r w:rsidRPr="00D44CF2">
        <w:rPr>
          <w:lang w:val="en-US"/>
        </w:rPr>
        <w:t>Note: Projects that appear in both the Transmission Development Plan and VicGrid’s VTP may have different timelines due to different inputs and assumptions. As these projects become committed, the timelines will align in future publications.</w:t>
      </w:r>
    </w:p>
    <w:p w14:paraId="50C8B413" w14:textId="77777777" w:rsidR="00A9731B" w:rsidRPr="00D44CF2" w:rsidRDefault="00A9731B" w:rsidP="00A9731B">
      <w:pPr>
        <w:pStyle w:val="TableFigureFootnote"/>
      </w:pPr>
      <w:r w:rsidRPr="00D44CF2">
        <w:rPr>
          <w:lang w:val="en-US"/>
        </w:rPr>
        <w:t># Provision of system strength services occurs progressively in the planning horizon. Refer to VAPR Section 3.1.2 for specific details of the preferred option portfolio.</w:t>
      </w:r>
    </w:p>
    <w:p w14:paraId="3EB114CB" w14:textId="77777777" w:rsidR="00A9731B" w:rsidRPr="00D44CF2" w:rsidRDefault="00A9731B" w:rsidP="00A9731B">
      <w:pPr>
        <w:pStyle w:val="TableFigureFootnote"/>
        <w:rPr>
          <w:lang w:val="en-US"/>
        </w:rPr>
      </w:pPr>
      <w:r w:rsidRPr="00D44CF2">
        <w:t xml:space="preserve">* </w:t>
      </w:r>
      <w:r w:rsidRPr="00D44CF2">
        <w:rPr>
          <w:lang w:val="en-US"/>
        </w:rPr>
        <w:t>Western Metropolitan Melbourne Reinforcement and Eastern Victoria Grid Reinforcement options and timings are based on published PSCRs and are subject to change as each RIT-T progresses that will confirm preferred options and timing.</w:t>
      </w:r>
    </w:p>
    <w:p w14:paraId="2A778C0F" w14:textId="33F1C09A" w:rsidR="00A9731B" w:rsidRPr="00D44CF2" w:rsidRDefault="00A9731B" w:rsidP="00A9731B">
      <w:pPr>
        <w:pStyle w:val="TableFigureFootnote"/>
        <w:rPr>
          <w:lang w:val="en-US"/>
        </w:rPr>
      </w:pPr>
      <w:r w:rsidRPr="00D44CF2">
        <w:rPr>
          <w:lang w:val="en-US"/>
        </w:rPr>
        <w:t>** WRL was originally anticipated to be completed in mid-2027 as shown in previous VAPR publications, however the anticipated completion date has now shifted to having first energi</w:t>
      </w:r>
      <w:r w:rsidR="00E61C9A" w:rsidRPr="00D44CF2">
        <w:rPr>
          <w:lang w:val="en-US"/>
        </w:rPr>
        <w:t>s</w:t>
      </w:r>
      <w:r w:rsidRPr="00D44CF2">
        <w:rPr>
          <w:lang w:val="en-US"/>
        </w:rPr>
        <w:t>ation in late 2029.</w:t>
      </w:r>
    </w:p>
    <w:p w14:paraId="4744ECE5" w14:textId="77777777" w:rsidR="00A9731B" w:rsidRPr="00D44CF2" w:rsidRDefault="00A9731B" w:rsidP="00A9731B">
      <w:pPr>
        <w:pStyle w:val="Heading2"/>
      </w:pPr>
      <w:bookmarkStart w:id="136" w:name="_Toc179369116"/>
      <w:bookmarkStart w:id="137" w:name="_Toc177548535"/>
      <w:bookmarkStart w:id="138" w:name="_Toc177548613"/>
      <w:bookmarkStart w:id="139" w:name="_Toc177548805"/>
      <w:bookmarkStart w:id="140" w:name="_Toc177574334"/>
      <w:bookmarkStart w:id="141" w:name="_Toc180159690"/>
      <w:bookmarkStart w:id="142" w:name="_Ref180391359"/>
      <w:bookmarkStart w:id="143" w:name="_Ref180405716"/>
      <w:bookmarkStart w:id="144" w:name="_Ref180429203"/>
      <w:bookmarkStart w:id="145" w:name="_Ref180504762"/>
      <w:bookmarkStart w:id="146" w:name="_Ref211280443"/>
      <w:bookmarkStart w:id="147" w:name="_Toc212023281"/>
      <w:bookmarkEnd w:id="136"/>
      <w:bookmarkEnd w:id="137"/>
      <w:bookmarkEnd w:id="138"/>
      <w:bookmarkEnd w:id="139"/>
      <w:bookmarkEnd w:id="140"/>
      <w:r w:rsidRPr="00D44CF2">
        <w:lastRenderedPageBreak/>
        <w:t>Major projects in the Transmission Development Plan</w:t>
      </w:r>
      <w:bookmarkEnd w:id="141"/>
      <w:bookmarkEnd w:id="142"/>
      <w:bookmarkEnd w:id="143"/>
      <w:bookmarkEnd w:id="144"/>
      <w:bookmarkEnd w:id="145"/>
      <w:bookmarkEnd w:id="146"/>
      <w:bookmarkEnd w:id="147"/>
    </w:p>
    <w:p w14:paraId="3A40F80A" w14:textId="77777777" w:rsidR="00A9731B" w:rsidRPr="00D44CF2" w:rsidRDefault="00A9731B" w:rsidP="00A9731B">
      <w:pPr>
        <w:pStyle w:val="Heading3"/>
        <w:spacing w:before="120"/>
      </w:pPr>
      <w:bookmarkStart w:id="148" w:name="_Ref178686047"/>
      <w:r w:rsidRPr="00D44CF2">
        <w:t>Completed projects since 2024 VAPR</w:t>
      </w:r>
      <w:bookmarkEnd w:id="148"/>
    </w:p>
    <w:p w14:paraId="69787238" w14:textId="77777777" w:rsidR="00A9731B" w:rsidRPr="00D44CF2" w:rsidRDefault="00A9731B" w:rsidP="00A9731B">
      <w:pPr>
        <w:pStyle w:val="BodyText"/>
      </w:pPr>
      <w:r w:rsidRPr="00D44CF2">
        <w:t>The following projects have completed construction works and been delivered since the 2024 VAPR.</w:t>
      </w:r>
    </w:p>
    <w:p w14:paraId="4CC2BF56" w14:textId="77777777" w:rsidR="00A9731B" w:rsidRPr="00D44CF2" w:rsidRDefault="00A9731B" w:rsidP="00A9731B">
      <w:pPr>
        <w:pStyle w:val="Heading4"/>
      </w:pPr>
      <w:r w:rsidRPr="00D44CF2">
        <w:t xml:space="preserve">New terminal stations in the DSN </w:t>
      </w:r>
    </w:p>
    <w:p w14:paraId="66331CC8" w14:textId="675DB8DD" w:rsidR="00A9731B" w:rsidRPr="00D44CF2" w:rsidRDefault="00A9731B" w:rsidP="00A9731B">
      <w:pPr>
        <w:pStyle w:val="ListBullet"/>
      </w:pPr>
      <w:r w:rsidRPr="00D44CF2">
        <w:t>New 220 kV GPTS, owned and operated by AusNet Services, includes both new CRTS to GPTS 220 kV transmission lines that were energised in August 2024, which facilitated the Golden Plain Wind Farm transmission connections. GPTS is currently a radial transmission arrangement with a number of connections for the Golden Plain energy precinct to tie back to CRTS.</w:t>
      </w:r>
    </w:p>
    <w:p w14:paraId="51E41CFE" w14:textId="7227D8EC" w:rsidR="00A9731B" w:rsidRPr="00D44CF2" w:rsidRDefault="00A9731B" w:rsidP="00A9731B">
      <w:pPr>
        <w:pStyle w:val="ListBullet"/>
      </w:pPr>
      <w:r w:rsidRPr="00D44CF2">
        <w:t xml:space="preserve">New 220 kV </w:t>
      </w:r>
      <w:r w:rsidR="00ED73C9" w:rsidRPr="00D44CF2">
        <w:t>KOTS</w:t>
      </w:r>
      <w:r w:rsidRPr="00D44CF2">
        <w:t xml:space="preserve">, owned and operated by AusNet Services, was completed between KGTS and WETS. Establishment of this shared terminal station was initiated to facilitate a transmission connection for the </w:t>
      </w:r>
      <w:r w:rsidR="53FBB5A9" w:rsidRPr="00D44CF2">
        <w:t>KESS</w:t>
      </w:r>
      <w:r w:rsidR="79CA99F4" w:rsidRPr="00D44CF2">
        <w:t>.</w:t>
      </w:r>
      <w:r w:rsidRPr="00D44CF2">
        <w:t xml:space="preserve"> The terminal station was energised in November 2024. The existing Kerang – Wemen – Red Cliffs 220 kV line is now known as Kerang – Koorangie 220 kV line and Koorangie – Wemen – Red Cliffs 220 kV lines.</w:t>
      </w:r>
    </w:p>
    <w:p w14:paraId="37390B2C" w14:textId="77777777" w:rsidR="00A9731B" w:rsidRPr="00D44CF2" w:rsidRDefault="00A9731B" w:rsidP="00A9731B">
      <w:pPr>
        <w:pStyle w:val="ListBullet"/>
      </w:pPr>
      <w:r w:rsidRPr="00D44CF2">
        <w:t>New 500 kV Plumpton Terminal Station (PRTS) and 500 kV cable, owned and operated by TransGrid through Lumea, is currently being energised (July 2025) as part of the Melbourne Renewable Energy Hub project. The new 500 kV cable has been installed to connect this terminal station to the existing Sydenham Terminal Station (SYTS). </w:t>
      </w:r>
    </w:p>
    <w:p w14:paraId="226E7B17" w14:textId="77777777" w:rsidR="00A9731B" w:rsidRPr="00D44CF2" w:rsidRDefault="00A9731B" w:rsidP="00A9731B">
      <w:pPr>
        <w:pStyle w:val="Heading4"/>
      </w:pPr>
      <w:r w:rsidRPr="00D44CF2">
        <w:t>REZ Development Plan (RDP) Stage 1 projects</w:t>
      </w:r>
    </w:p>
    <w:p w14:paraId="0374EE9C" w14:textId="16A37349" w:rsidR="00A9731B" w:rsidRPr="00D44CF2" w:rsidRDefault="00A9731B" w:rsidP="000E3DA5">
      <w:pPr>
        <w:pStyle w:val="BodyText"/>
      </w:pPr>
      <w:r w:rsidRPr="00D44CF2">
        <w:t xml:space="preserve">Six of the RDP Stage 1 projects were completed since the 2024 VAPR, as detailed below. Six projects remain in delivery as detailed in Section </w:t>
      </w:r>
      <w:r w:rsidRPr="00D44CF2">
        <w:fldChar w:fldCharType="begin"/>
      </w:r>
      <w:r w:rsidRPr="00D44CF2">
        <w:instrText xml:space="preserve"> REF _Ref177639861 \r \h </w:instrText>
      </w:r>
      <w:r w:rsidR="00D44CF2">
        <w:instrText xml:space="preserve"> \* MERGEFORMAT </w:instrText>
      </w:r>
      <w:r w:rsidRPr="00D44CF2">
        <w:fldChar w:fldCharType="separate"/>
      </w:r>
      <w:r w:rsidR="004973D2">
        <w:t>3.1.2</w:t>
      </w:r>
      <w:r w:rsidRPr="00D44CF2">
        <w:fldChar w:fldCharType="end"/>
      </w:r>
      <w:r w:rsidR="000E3DA5" w:rsidRPr="00D44CF2">
        <w:t>.</w:t>
      </w:r>
    </w:p>
    <w:p w14:paraId="37F29490" w14:textId="77777777" w:rsidR="00A9731B" w:rsidRPr="00D44CF2" w:rsidRDefault="00A9731B" w:rsidP="00A9731B">
      <w:pPr>
        <w:pStyle w:val="ListBullet"/>
      </w:pPr>
      <w:r w:rsidRPr="00D44CF2">
        <w:t>The Mortlake turn-in project was completed in July 2025, connecting the existing Haunted Gully to Tarrone 500 kV circuit, of the Moorabool to Heywood 500 kV double-circuit line, into Mortlake Power Station to establish a Haunted Gully to Mortlake 500 kV circuit and a Mortlake to Tarrone 500 kV circuit. This project improves voltage stability in the South West REZ</w:t>
      </w:r>
      <w:r w:rsidRPr="00D44CF2">
        <w:rPr>
          <w:rStyle w:val="FootnoteReference"/>
        </w:rPr>
        <w:footnoteReference w:id="55"/>
      </w:r>
      <w:r w:rsidRPr="00D44CF2">
        <w:t xml:space="preserve"> to increase the potential for connection of up to 1,500 MW</w:t>
      </w:r>
      <w:r w:rsidRPr="00D44CF2">
        <w:rPr>
          <w:rStyle w:val="FootnoteReference"/>
        </w:rPr>
        <w:footnoteReference w:id="56"/>
      </w:r>
      <w:r w:rsidRPr="00D44CF2">
        <w:t xml:space="preserve"> of additional renewable generation on optimal conditions and 1,100 MW on a peak summer demand periods.</w:t>
      </w:r>
      <w:r w:rsidRPr="00D44CF2">
        <w:rPr>
          <w:rFonts w:ascii="Times New Roman" w:eastAsia="Times New Roman" w:hAnsi="Times New Roman" w:cs="Times New Roman"/>
          <w:color w:val="auto"/>
          <w:sz w:val="24"/>
          <w:szCs w:val="24"/>
          <w:lang w:eastAsia="en-AU"/>
        </w:rPr>
        <w:t xml:space="preserve"> </w:t>
      </w:r>
      <w:r w:rsidRPr="00D44CF2">
        <w:t>As part of this project, updates were also made to existing control schemes across the South West Victoria corridor to support the new network configuration. Further details on these control scheme updates are provided in the Control Schemes section below.</w:t>
      </w:r>
    </w:p>
    <w:p w14:paraId="703A337F" w14:textId="3CEAA58F" w:rsidR="00A9731B" w:rsidRPr="00D44CF2" w:rsidRDefault="00A9731B" w:rsidP="00A9731B">
      <w:pPr>
        <w:pStyle w:val="ListBullet"/>
      </w:pPr>
      <w:r w:rsidRPr="00D44CF2">
        <w:t>The KESS was completed in June 2025, establishing a new:</w:t>
      </w:r>
    </w:p>
    <w:p w14:paraId="03D69184" w14:textId="77777777" w:rsidR="00A9731B" w:rsidRPr="00D44CF2" w:rsidRDefault="00A9731B" w:rsidP="00A9731B">
      <w:pPr>
        <w:pStyle w:val="ListBullet2"/>
      </w:pPr>
      <w:r w:rsidRPr="00D44CF2">
        <w:t>Koorangie 220 kV Terminal Station connecting into the existing, Kerang – Wemen 220 kV line as mentioned in the previous section, and</w:t>
      </w:r>
    </w:p>
    <w:p w14:paraId="59992A87" w14:textId="193D27F3" w:rsidR="00A9731B" w:rsidRPr="00D44CF2" w:rsidRDefault="00A9731B" w:rsidP="00A9731B">
      <w:pPr>
        <w:pStyle w:val="ListBullet2"/>
      </w:pPr>
      <w:r w:rsidRPr="00D44CF2">
        <w:t>a 185 MW/370 MWh BESS with GFM inverters.</w:t>
      </w:r>
    </w:p>
    <w:p w14:paraId="64015203" w14:textId="6FBCBFA1" w:rsidR="00A9731B" w:rsidRPr="00D44CF2" w:rsidRDefault="00A9731B" w:rsidP="000A7CE5">
      <w:pPr>
        <w:pStyle w:val="ListBullet"/>
        <w:numPr>
          <w:ilvl w:val="0"/>
          <w:numId w:val="0"/>
        </w:numPr>
        <w:ind w:left="284"/>
      </w:pPr>
      <w:r w:rsidRPr="00D44CF2">
        <w:lastRenderedPageBreak/>
        <w:t>A portion of the KESS, with the support of its GFM technology, will provide system strength services for 20 years as part of the service agreement with AEMO in Murray River REZ to increase the potential for connection of up to 300 MW of renewable generation.</w:t>
      </w:r>
    </w:p>
    <w:p w14:paraId="21B4162F" w14:textId="77777777" w:rsidR="00A9731B" w:rsidRPr="00D44CF2" w:rsidRDefault="00A9731B" w:rsidP="00A9731B">
      <w:pPr>
        <w:pStyle w:val="ListBullet"/>
      </w:pPr>
      <w:r w:rsidRPr="00D44CF2">
        <w:t xml:space="preserve">Three projects were delivered in the South West REZ with the aim to relieve thermal constraints: </w:t>
      </w:r>
    </w:p>
    <w:p w14:paraId="14C3BB6E" w14:textId="4F022F03" w:rsidR="00A9731B" w:rsidRPr="00D44CF2" w:rsidRDefault="00A9731B" w:rsidP="00A9731B">
      <w:pPr>
        <w:pStyle w:val="ListBullet2"/>
      </w:pPr>
      <w:r w:rsidRPr="00D44CF2">
        <w:t xml:space="preserve">the Ballarat Terminal Station </w:t>
      </w:r>
      <w:r w:rsidR="000B4531" w:rsidRPr="00D44CF2">
        <w:t>(BATS)</w:t>
      </w:r>
      <w:r w:rsidRPr="00D44CF2">
        <w:t xml:space="preserve"> – Terang Terminal Station – Moorabool Terminal Station thermal loading control scheme, </w:t>
      </w:r>
      <w:r w:rsidRPr="00D44CF2">
        <w:rPr>
          <w:lang w:val="en-GB"/>
        </w:rPr>
        <w:t>as detailed in the control schemes section below,</w:t>
      </w:r>
    </w:p>
    <w:p w14:paraId="33FA20D6" w14:textId="77777777" w:rsidR="00A9731B" w:rsidRPr="00D44CF2" w:rsidRDefault="00A9731B" w:rsidP="00A9731B">
      <w:pPr>
        <w:pStyle w:val="ListBullet2"/>
      </w:pPr>
      <w:r w:rsidRPr="00D44CF2">
        <w:t>Sydenham to Keilor line uprating (station upgrade), and</w:t>
      </w:r>
    </w:p>
    <w:p w14:paraId="1DCA7C39" w14:textId="77777777" w:rsidR="00A9731B" w:rsidRPr="00D44CF2" w:rsidRDefault="00A9731B" w:rsidP="00A9731B">
      <w:pPr>
        <w:pStyle w:val="ListBullet2"/>
      </w:pPr>
      <w:r w:rsidRPr="00D44CF2">
        <w:t>Moorabool 220 kV transformer (MLTS) station upgrade.</w:t>
      </w:r>
    </w:p>
    <w:p w14:paraId="7C0C5F4F" w14:textId="77777777" w:rsidR="00A9731B" w:rsidRPr="00D44CF2" w:rsidRDefault="00A9731B" w:rsidP="00A9731B">
      <w:pPr>
        <w:pStyle w:val="ListBullet"/>
        <w:rPr>
          <w:lang w:val="en-GB"/>
        </w:rPr>
      </w:pPr>
      <w:r w:rsidRPr="00D44CF2">
        <w:t xml:space="preserve">The </w:t>
      </w:r>
      <w:r w:rsidRPr="00D44CF2">
        <w:rPr>
          <w:lang w:val="en-GB"/>
        </w:rPr>
        <w:t xml:space="preserve">Central North REZ augmentation project – Dederang Terminal Station 330/220 kV transformer (secondary cooling system), as detailed in the control schemes section below. </w:t>
      </w:r>
    </w:p>
    <w:p w14:paraId="01B15A48" w14:textId="77777777" w:rsidR="00A9731B" w:rsidRPr="00D44CF2" w:rsidRDefault="00A9731B" w:rsidP="00A9731B">
      <w:pPr>
        <w:pStyle w:val="Heading4"/>
      </w:pPr>
      <w:r w:rsidRPr="00D44CF2">
        <w:t xml:space="preserve">Control schemes </w:t>
      </w:r>
    </w:p>
    <w:p w14:paraId="0BE123F2" w14:textId="77777777" w:rsidR="00A9731B" w:rsidRPr="00D44CF2" w:rsidRDefault="00A9731B" w:rsidP="00A9731B">
      <w:pPr>
        <w:pStyle w:val="ListBullet"/>
        <w:numPr>
          <w:ilvl w:val="0"/>
          <w:numId w:val="45"/>
        </w:numPr>
      </w:pPr>
      <w:r w:rsidRPr="00D44CF2">
        <w:t>Mortlake Turn-In project – delivered as part of RDP1, AVP upgraded existing control schemes in South Western Victoria due to the changed topological conditions in the South West 500 kV corridor. These updates included enhancements to wind farm Generator Fast Trips (GFTs) in the South West corridor, Emergency Alcoa Potline Trip (EAPT), Anti Resonance Protection Scheme (ARPS) and a number of Overvoltage Protection Schemes (OVPS).</w:t>
      </w:r>
    </w:p>
    <w:p w14:paraId="572CBFB3" w14:textId="3EC96900" w:rsidR="00A9731B" w:rsidRPr="00D44CF2" w:rsidRDefault="00A9731B" w:rsidP="00A9731B">
      <w:pPr>
        <w:pStyle w:val="ListBullet"/>
        <w:numPr>
          <w:ilvl w:val="0"/>
          <w:numId w:val="45"/>
        </w:numPr>
      </w:pPr>
      <w:r w:rsidRPr="00D44CF2">
        <w:t xml:space="preserve">Keilor Overvoltage Protection Scheme (KOVPS) – with a continuous drop in both historical minimum demand and Victorian regional minimum demand forecast, high voltages in areas around Keilor have become a system security concern, as the voltage at </w:t>
      </w:r>
      <w:r w:rsidR="00182082" w:rsidRPr="00D44CF2">
        <w:t>Keilor Terminal Station (</w:t>
      </w:r>
      <w:r w:rsidRPr="00D44CF2">
        <w:t>KTS</w:t>
      </w:r>
      <w:r w:rsidR="00182082" w:rsidRPr="00D44CF2">
        <w:t>)</w:t>
      </w:r>
      <w:r w:rsidRPr="00D44CF2">
        <w:t xml:space="preserve"> 500 kV could exceed the short-term rating of the 500/220 kV transformers post contingency. The updated control scheme will increase the short-term high voltage rating at KTS 500</w:t>
      </w:r>
      <w:r w:rsidRPr="00D44CF2">
        <w:rPr>
          <w:rFonts w:hint="eastAsia"/>
        </w:rPr>
        <w:t> </w:t>
      </w:r>
      <w:r w:rsidRPr="00D44CF2">
        <w:t xml:space="preserve">kV bus from 525 kV to 535 kV to address this potential violation, and was commissioned in January 2025. </w:t>
      </w:r>
      <w:r w:rsidRPr="00D44CF2">
        <w:tab/>
      </w:r>
    </w:p>
    <w:p w14:paraId="6AC31D1E" w14:textId="77777777" w:rsidR="00A9731B" w:rsidRPr="00D44CF2" w:rsidRDefault="00A9731B" w:rsidP="00A9731B">
      <w:pPr>
        <w:pStyle w:val="ListBullet"/>
        <w:numPr>
          <w:ilvl w:val="0"/>
          <w:numId w:val="45"/>
        </w:numPr>
      </w:pPr>
      <w:r w:rsidRPr="00D44CF2">
        <w:t xml:space="preserve">Interconnector Emergency Control Scheme (IECS) – a review found insufficient load available for the scheme’s load shedding sequences as a result of reduced net loads, primarily due to increased distributed PV. The updated scheme includes additional loads and was commissioned in December 2024. </w:t>
      </w:r>
    </w:p>
    <w:p w14:paraId="5A40F66B" w14:textId="26254055" w:rsidR="00A9731B" w:rsidRPr="00D44CF2" w:rsidRDefault="00A9731B" w:rsidP="00A9731B">
      <w:pPr>
        <w:pStyle w:val="ListBullet"/>
        <w:numPr>
          <w:ilvl w:val="0"/>
          <w:numId w:val="45"/>
        </w:numPr>
      </w:pPr>
      <w:r w:rsidRPr="00D44CF2">
        <w:t xml:space="preserve"> Murraylink </w:t>
      </w:r>
      <w:r w:rsidR="005004FC" w:rsidRPr="00D44CF2">
        <w:t>Very Fast Runback (</w:t>
      </w:r>
      <w:r w:rsidRPr="00D44CF2">
        <w:t>VFRB</w:t>
      </w:r>
      <w:r w:rsidR="005004FC" w:rsidRPr="00D44CF2">
        <w:t>)</w:t>
      </w:r>
      <w:r w:rsidRPr="00D44CF2">
        <w:t xml:space="preserve"> Scheme – the existing Murraylink VFRB scheme was modified to include monitoring of the newly commissioned Red Cliffs – Wemen – Koorangie and Koorangie – Kerang 220 kV lines, supporting the Koorangie Energy Storage Project. The updated scheme was commissioned in November 2024.</w:t>
      </w:r>
    </w:p>
    <w:p w14:paraId="093A3DA4" w14:textId="77777777" w:rsidR="00A9731B" w:rsidRPr="00D44CF2" w:rsidRDefault="00A9731B" w:rsidP="00A9731B">
      <w:pPr>
        <w:pStyle w:val="ListBullet"/>
        <w:numPr>
          <w:ilvl w:val="0"/>
          <w:numId w:val="45"/>
        </w:numPr>
      </w:pPr>
      <w:r w:rsidRPr="00D44CF2">
        <w:t>AVP developed a new thermal loading control scheme for the Ballarat Terminal Station – Terang Terminal Station – Moorabool Terminal Station corridor as part of South West REZ augmentation and RDP1 project. The scheme was designed to manage thermal overloading on the Moorabool – Terang 220 kV line following a contingency on the Ballarat – Berrybank 220 kV line. The scheme was commissioned in November 2024.</w:t>
      </w:r>
    </w:p>
    <w:p w14:paraId="1A5B7D18" w14:textId="41A693E4" w:rsidR="00A9731B" w:rsidRPr="00D44CF2" w:rsidRDefault="00A9731B" w:rsidP="00A9731B">
      <w:pPr>
        <w:pStyle w:val="ListBullet"/>
        <w:numPr>
          <w:ilvl w:val="0"/>
          <w:numId w:val="45"/>
        </w:numPr>
      </w:pPr>
      <w:r w:rsidRPr="00D44CF2">
        <w:t xml:space="preserve">AVP completed the </w:t>
      </w:r>
      <w:r w:rsidRPr="00D44CF2">
        <w:rPr>
          <w:lang w:val="en-GB"/>
        </w:rPr>
        <w:t xml:space="preserve">Dederang Terminal Station 330/220 kV transformer (secondary cooling system) project </w:t>
      </w:r>
      <w:r w:rsidRPr="00D44CF2">
        <w:t>as part of the Central North REZ augmentation and RDP1 project</w:t>
      </w:r>
      <w:r w:rsidRPr="00D44CF2">
        <w:rPr>
          <w:lang w:val="en-GB"/>
        </w:rPr>
        <w:t xml:space="preserve">. This initiative automated the cooling control system for the </w:t>
      </w:r>
      <w:r w:rsidRPr="00D44CF2">
        <w:t>H3 330/220 kV transformer at Dederang Terminal Station</w:t>
      </w:r>
      <w:r w:rsidRPr="00D44CF2">
        <w:rPr>
          <w:lang w:val="en-GB"/>
        </w:rPr>
        <w:t>, enabling an increased short-term rating. T</w:t>
      </w:r>
      <w:r w:rsidRPr="00D44CF2">
        <w:t>o support the upgraded rating, settings within the Dederang Bus Split Scheme (DBUSS</w:t>
      </w:r>
      <w:r w:rsidR="003F18A5" w:rsidRPr="00D44CF2">
        <w:t>)</w:t>
      </w:r>
      <w:r w:rsidRPr="00D44CF2">
        <w:t xml:space="preserve"> Transformer control scheme were updated in August</w:t>
      </w:r>
      <w:r w:rsidRPr="00D44CF2">
        <w:rPr>
          <w:rFonts w:ascii="Arial" w:hAnsi="Arial" w:cs="Arial"/>
        </w:rPr>
        <w:t> </w:t>
      </w:r>
      <w:r w:rsidRPr="00D44CF2">
        <w:t>2025.</w:t>
      </w:r>
    </w:p>
    <w:p w14:paraId="42DAC441" w14:textId="77777777" w:rsidR="00A9731B" w:rsidRPr="00D44CF2" w:rsidRDefault="00A9731B" w:rsidP="00A9731B">
      <w:pPr>
        <w:pStyle w:val="Heading3"/>
      </w:pPr>
      <w:bookmarkStart w:id="149" w:name="_Ref177639861"/>
      <w:bookmarkStart w:id="150" w:name="_Ref178944966"/>
      <w:r w:rsidRPr="00D44CF2">
        <w:lastRenderedPageBreak/>
        <w:t>Transmission augmentation projects already underway</w:t>
      </w:r>
      <w:bookmarkEnd w:id="149"/>
      <w:bookmarkEnd w:id="150"/>
    </w:p>
    <w:p w14:paraId="5DA7D6D7" w14:textId="77777777" w:rsidR="00A9731B" w:rsidRPr="00D44CF2" w:rsidRDefault="00A9731B" w:rsidP="00A9731B">
      <w:pPr>
        <w:pStyle w:val="Heading4"/>
      </w:pPr>
      <w:r w:rsidRPr="00D44CF2">
        <w:t xml:space="preserve">Projects in delivery stage </w:t>
      </w:r>
      <w:r w:rsidRPr="00D44CF2">
        <w:rPr>
          <w:rFonts w:ascii="Arial" w:hAnsi="Arial" w:cs="Arial"/>
        </w:rPr>
        <w:t>​</w:t>
      </w:r>
    </w:p>
    <w:p w14:paraId="0AE9DF29" w14:textId="77777777" w:rsidR="00A9731B" w:rsidRPr="00D44CF2" w:rsidRDefault="00A9731B" w:rsidP="00A9731B">
      <w:pPr>
        <w:pStyle w:val="BodyText"/>
      </w:pPr>
      <w:r w:rsidRPr="00D44CF2">
        <w:t xml:space="preserve">The following sections describe transmission augmentation projects already in delivery stage to alleviate the previously identified network constraints in the DSN. </w:t>
      </w:r>
    </w:p>
    <w:p w14:paraId="4922CE55" w14:textId="77777777" w:rsidR="00A9731B" w:rsidRPr="00D44CF2" w:rsidRDefault="00A9731B" w:rsidP="00A9731B">
      <w:pPr>
        <w:pStyle w:val="Heading5"/>
      </w:pPr>
      <w:r w:rsidRPr="00D44CF2">
        <w:t>REZ Development Plan (RDP) Stage 1 projects</w:t>
      </w:r>
    </w:p>
    <w:p w14:paraId="575273AF" w14:textId="77777777" w:rsidR="00A9731B" w:rsidRPr="00D44CF2" w:rsidRDefault="00A9731B" w:rsidP="00A9731B">
      <w:pPr>
        <w:pStyle w:val="BodyText"/>
      </w:pPr>
      <w:r w:rsidRPr="00D44CF2">
        <w:t>The Victorian Government’s RDP Directions Paper</w:t>
      </w:r>
      <w:r w:rsidRPr="00D44CF2" w:rsidDel="00151129">
        <w:rPr>
          <w:vertAlign w:val="superscript"/>
        </w:rPr>
        <w:footnoteReference w:id="57"/>
      </w:r>
      <w:r w:rsidRPr="00D44CF2">
        <w:t xml:space="preserve"> published in February 2021 identified potential network augmentations that would relieve existing constraints on the Victorian DSN and facilitate the connection of future generators. </w:t>
      </w:r>
    </w:p>
    <w:p w14:paraId="112CF47E" w14:textId="77777777" w:rsidR="00A9731B" w:rsidRPr="00D44CF2" w:rsidRDefault="00A9731B" w:rsidP="00A9731B">
      <w:pPr>
        <w:pStyle w:val="BodyText"/>
      </w:pPr>
      <w:r w:rsidRPr="00D44CF2">
        <w:t>In late 2021, the Victorian Government directed AVP to progress procurement activities for three contestable projects for services to strengthen the system, as well as three sets (totalling nine projects) of non-contestable minor network augmentations</w:t>
      </w:r>
    </w:p>
    <w:p w14:paraId="04AC392E" w14:textId="77777777" w:rsidR="00A9731B" w:rsidRPr="00D44CF2" w:rsidRDefault="00A9731B" w:rsidP="00A9731B">
      <w:pPr>
        <w:pStyle w:val="BodyText"/>
        <w:rPr>
          <w:lang w:val="en-GB"/>
        </w:rPr>
      </w:pPr>
      <w:r w:rsidRPr="00D44CF2">
        <w:t>In 2022, the Victorian Government also directed AVP via REZ Stage 1 NEVA Orders to progress procurement activities and enter into contracts with the declared transmission system operator. This directive was for the network augmentations identified during the procurement process</w:t>
      </w:r>
      <w:r w:rsidRPr="00D44CF2">
        <w:rPr>
          <w:vertAlign w:val="superscript"/>
        </w:rPr>
        <w:footnoteReference w:id="58"/>
      </w:r>
      <w:r w:rsidRPr="00D44CF2">
        <w:t xml:space="preserve"> for t</w:t>
      </w:r>
      <w:r w:rsidRPr="00D44CF2">
        <w:rPr>
          <w:lang w:val="en-GB"/>
        </w:rPr>
        <w:t xml:space="preserve">urn-in of the Haunted Gully to Tarrone 500 kV line at Mortlake. </w:t>
      </w:r>
    </w:p>
    <w:p w14:paraId="5E1A3E0D" w14:textId="354E5DC4" w:rsidR="00A9731B" w:rsidRPr="00D44CF2" w:rsidRDefault="00A9731B" w:rsidP="00A9731B">
      <w:pPr>
        <w:pStyle w:val="BodyText"/>
        <w:rPr>
          <w:b/>
          <w:bCs/>
        </w:rPr>
      </w:pPr>
      <w:r w:rsidRPr="00D44CF2">
        <w:rPr>
          <w:b/>
          <w:bCs/>
        </w:rPr>
        <w:fldChar w:fldCharType="begin"/>
      </w:r>
      <w:r w:rsidRPr="00D44CF2">
        <w:rPr>
          <w:b/>
          <w:bCs/>
        </w:rPr>
        <w:instrText xml:space="preserve"> REF _Ref204154652 \r \h  \* MERGEFORMAT </w:instrText>
      </w:r>
      <w:r w:rsidRPr="00D44CF2">
        <w:rPr>
          <w:b/>
          <w:bCs/>
        </w:rPr>
      </w:r>
      <w:r w:rsidRPr="00D44CF2">
        <w:rPr>
          <w:b/>
          <w:bCs/>
        </w:rPr>
        <w:fldChar w:fldCharType="separate"/>
      </w:r>
      <w:r w:rsidR="004973D2">
        <w:rPr>
          <w:b/>
          <w:bCs/>
        </w:rPr>
        <w:t>Table 6</w:t>
      </w:r>
      <w:r w:rsidRPr="00D44CF2">
        <w:rPr>
          <w:b/>
          <w:bCs/>
        </w:rPr>
        <w:fldChar w:fldCharType="end"/>
      </w:r>
      <w:r w:rsidRPr="00D44CF2">
        <w:t xml:space="preserve"> summarises major projects currently being delivered</w:t>
      </w:r>
      <w:r w:rsidRPr="00D44CF2" w:rsidDel="006517D8">
        <w:t xml:space="preserve"> </w:t>
      </w:r>
      <w:r w:rsidRPr="00D44CF2">
        <w:t>under the RDP Stage 1 to provide system strength to the existing DSN to enable additional renewable generation connections.</w:t>
      </w:r>
    </w:p>
    <w:p w14:paraId="2FCB563C" w14:textId="77777777" w:rsidR="00A9731B" w:rsidRPr="00D44CF2" w:rsidRDefault="00A9731B" w:rsidP="00A9731B">
      <w:pPr>
        <w:pStyle w:val="CaptionTable"/>
      </w:pPr>
      <w:bookmarkStart w:id="151" w:name="_Toc149638126"/>
      <w:bookmarkStart w:id="152" w:name="_Ref177548922"/>
      <w:bookmarkStart w:id="153" w:name="_Ref177640991"/>
      <w:bookmarkStart w:id="154" w:name="_Ref180390729"/>
      <w:bookmarkStart w:id="155" w:name="_Ref180490646"/>
      <w:bookmarkStart w:id="156" w:name="_Toc180655831"/>
      <w:bookmarkStart w:id="157" w:name="_Ref204154652"/>
      <w:bookmarkStart w:id="158" w:name="_Ref211364582"/>
      <w:bookmarkStart w:id="159" w:name="_Toc212023310"/>
      <w:r w:rsidRPr="00D44CF2">
        <w:t>RDP Stage 1 system strengthening projects</w:t>
      </w:r>
      <w:bookmarkEnd w:id="151"/>
      <w:bookmarkEnd w:id="152"/>
      <w:bookmarkEnd w:id="153"/>
      <w:bookmarkEnd w:id="154"/>
      <w:bookmarkEnd w:id="155"/>
      <w:bookmarkEnd w:id="156"/>
      <w:bookmarkEnd w:id="157"/>
      <w:r w:rsidRPr="00D44CF2">
        <w:t xml:space="preserve"> underway</w:t>
      </w:r>
      <w:bookmarkEnd w:id="158"/>
      <w:bookmarkEnd w:id="159"/>
      <w:r w:rsidRPr="00D44CF2">
        <w:t xml:space="preserve"> </w:t>
      </w:r>
    </w:p>
    <w:tbl>
      <w:tblPr>
        <w:tblStyle w:val="AEMO-Table4"/>
        <w:tblW w:w="5000" w:type="pct"/>
        <w:tblLook w:val="06A0" w:firstRow="1" w:lastRow="0" w:firstColumn="1" w:lastColumn="0" w:noHBand="1" w:noVBand="1"/>
      </w:tblPr>
      <w:tblGrid>
        <w:gridCol w:w="2694"/>
        <w:gridCol w:w="2173"/>
        <w:gridCol w:w="2429"/>
        <w:gridCol w:w="2797"/>
      </w:tblGrid>
      <w:tr w:rsidR="00AD7F6E" w:rsidRPr="00D44CF2" w14:paraId="76AED29A" w14:textId="77777777" w:rsidTr="3AD74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6B809A6" w14:textId="77777777" w:rsidR="00A9731B" w:rsidRPr="00D44CF2" w:rsidRDefault="00A9731B" w:rsidP="001A3F5B">
            <w:pPr>
              <w:pStyle w:val="TableText"/>
            </w:pPr>
            <w:r w:rsidRPr="00D44CF2">
              <w:t>Project</w:t>
            </w:r>
          </w:p>
        </w:tc>
        <w:tc>
          <w:tcPr>
            <w:tcW w:w="2173" w:type="dxa"/>
          </w:tcPr>
          <w:p w14:paraId="7D56F493"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REZ</w:t>
            </w:r>
          </w:p>
        </w:tc>
        <w:tc>
          <w:tcPr>
            <w:tcW w:w="2429" w:type="dxa"/>
          </w:tcPr>
          <w:p w14:paraId="0BF1B25A"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 xml:space="preserve">Purpose </w:t>
            </w:r>
          </w:p>
        </w:tc>
        <w:tc>
          <w:tcPr>
            <w:tcW w:w="2797" w:type="dxa"/>
          </w:tcPr>
          <w:p w14:paraId="5253DF6A"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Description and scope</w:t>
            </w:r>
          </w:p>
        </w:tc>
      </w:tr>
      <w:tr w:rsidR="00A9731B" w:rsidRPr="00D44CF2" w14:paraId="40AF8577" w14:textId="77777777" w:rsidTr="3AD74A67">
        <w:tc>
          <w:tcPr>
            <w:cnfStyle w:val="001000000000" w:firstRow="0" w:lastRow="0" w:firstColumn="1" w:lastColumn="0" w:oddVBand="0" w:evenVBand="0" w:oddHBand="0" w:evenHBand="0" w:firstRowFirstColumn="0" w:firstRowLastColumn="0" w:lastRowFirstColumn="0" w:lastRowLastColumn="0"/>
            <w:tcW w:w="2694" w:type="dxa"/>
          </w:tcPr>
          <w:p w14:paraId="2BD249C5" w14:textId="77777777" w:rsidR="00A9731B" w:rsidRPr="00D44CF2" w:rsidRDefault="00A9731B" w:rsidP="001A3F5B">
            <w:pPr>
              <w:pStyle w:val="TableText"/>
            </w:pPr>
            <w:r w:rsidRPr="00D44CF2">
              <w:t>Ararat synchronous condenser</w:t>
            </w:r>
          </w:p>
          <w:p w14:paraId="3D64CCBB" w14:textId="77777777" w:rsidR="00A9731B" w:rsidRPr="00D44CF2" w:rsidRDefault="00A9731B" w:rsidP="001A3F5B">
            <w:pPr>
              <w:pStyle w:val="TableText"/>
            </w:pPr>
            <w:r w:rsidRPr="00D44CF2">
              <w:rPr>
                <w:noProof/>
              </w:rPr>
              <w:drawing>
                <wp:inline distT="0" distB="0" distL="0" distR="0" wp14:anchorId="46AFADFF" wp14:editId="6CB506FC">
                  <wp:extent cx="774287" cy="413082"/>
                  <wp:effectExtent l="0" t="0" r="6985" b="6350"/>
                  <wp:docPr id="803525164" name="Picture 6" descr="A purple and black line art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25164" name="Picture 6" descr="A purple and black line art of a wheel&#10;&#10;Description automatically generated"/>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783167" cy="417820"/>
                          </a:xfrm>
                          <a:prstGeom prst="rect">
                            <a:avLst/>
                          </a:prstGeom>
                          <a:ln>
                            <a:noFill/>
                          </a:ln>
                          <a:extLst>
                            <a:ext uri="{53640926-AAD7-44D8-BBD7-CCE9431645EC}">
                              <a14:shadowObscured xmlns:a14="http://schemas.microsoft.com/office/drawing/2010/main"/>
                            </a:ext>
                          </a:extLst>
                        </pic:spPr>
                      </pic:pic>
                    </a:graphicData>
                  </a:graphic>
                </wp:inline>
              </w:drawing>
            </w:r>
          </w:p>
        </w:tc>
        <w:tc>
          <w:tcPr>
            <w:tcW w:w="2173" w:type="dxa"/>
          </w:tcPr>
          <w:p w14:paraId="5F0EE452"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rPr>
                <w:lang w:val="en-GB"/>
              </w:rPr>
              <w:t>V3 – Western Victoria</w:t>
            </w:r>
          </w:p>
        </w:tc>
        <w:tc>
          <w:tcPr>
            <w:tcW w:w="2429" w:type="dxa"/>
          </w:tcPr>
          <w:p w14:paraId="5959F514"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Improving the system strength in Western REZ and providing dynamic voltage and reactive power control capability. </w:t>
            </w:r>
          </w:p>
          <w:p w14:paraId="6B1BF18E"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Ararat synchronous condenser is expected to allow the stable connection of up to 600 MW of additional renewable generation. </w:t>
            </w:r>
          </w:p>
        </w:tc>
        <w:tc>
          <w:tcPr>
            <w:tcW w:w="2797" w:type="dxa"/>
          </w:tcPr>
          <w:p w14:paraId="2A0EC701" w14:textId="77777777" w:rsidR="00A9731B" w:rsidRPr="00D44CF2" w:rsidRDefault="00A9731B"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Installation of a 250 megavolt amperes (MVA) (+250/-172 megavolt amperes reactive [MVAr]) synchronous condenser and the associated primary and secondary equipment at existing Ararat Terminal Station.</w:t>
            </w:r>
          </w:p>
          <w:p w14:paraId="13F532EE" w14:textId="10A0128D" w:rsidR="00A9731B" w:rsidRPr="00D44CF2" w:rsidRDefault="53397B36" w:rsidP="00ED64AB">
            <w:pPr>
              <w:pStyle w:val="TableBullet"/>
              <w:cnfStyle w:val="000000000000" w:firstRow="0" w:lastRow="0" w:firstColumn="0" w:lastColumn="0" w:oddVBand="0" w:evenVBand="0" w:oddHBand="0" w:evenHBand="0" w:firstRowFirstColumn="0" w:firstRowLastColumn="0" w:lastRowFirstColumn="0" w:lastRowLastColumn="0"/>
            </w:pPr>
            <w:r w:rsidRPr="00D44CF2">
              <w:t>Planned</w:t>
            </w:r>
            <w:r w:rsidR="00A9731B" w:rsidRPr="00D44CF2">
              <w:t xml:space="preserve"> completion date of the project is early 2026 with a 20-year service agreement</w:t>
            </w:r>
            <w:r w:rsidR="00A9731B" w:rsidRPr="00D44CF2">
              <w:rPr>
                <w:vertAlign w:val="superscript"/>
              </w:rPr>
              <w:t>A</w:t>
            </w:r>
            <w:r w:rsidR="00A9731B" w:rsidRPr="00D44CF2">
              <w:t>.</w:t>
            </w:r>
          </w:p>
        </w:tc>
      </w:tr>
    </w:tbl>
    <w:p w14:paraId="289FF821" w14:textId="5495DB45" w:rsidR="00A9731B" w:rsidRPr="00D44CF2" w:rsidRDefault="00A9731B" w:rsidP="00A9731B">
      <w:pPr>
        <w:pStyle w:val="TableFigureFootnote"/>
      </w:pPr>
      <w:r w:rsidRPr="00D44CF2">
        <w:t xml:space="preserve">A. See </w:t>
      </w:r>
      <w:hyperlink r:id="rId61" w:history="1">
        <w:r w:rsidRPr="00D44CF2">
          <w:rPr>
            <w:rStyle w:val="Hyperlink"/>
          </w:rPr>
          <w:t>https://aemo.com.au/en/newsroom/media-release/aemo-awards-contract-to-improve-system-security-in-western-victoria-rez</w:t>
        </w:r>
      </w:hyperlink>
    </w:p>
    <w:p w14:paraId="1BFED1EC" w14:textId="538FEE40" w:rsidR="00A9731B" w:rsidRPr="00D44CF2" w:rsidRDefault="00A9731B" w:rsidP="00A9731B">
      <w:pPr>
        <w:pStyle w:val="BodyText"/>
        <w:rPr>
          <w:lang w:val="en-GB"/>
        </w:rPr>
      </w:pPr>
      <w:r w:rsidRPr="00D44CF2">
        <w:rPr>
          <w:b/>
          <w:bCs/>
          <w:lang w:val="en-GB"/>
        </w:rPr>
        <w:fldChar w:fldCharType="begin"/>
      </w:r>
      <w:r w:rsidRPr="00D44CF2">
        <w:rPr>
          <w:b/>
          <w:bCs/>
          <w:lang w:val="en-GB"/>
        </w:rPr>
        <w:instrText xml:space="preserve"> REF _Ref206059031 \r \h  \* MERGEFORMAT </w:instrText>
      </w:r>
      <w:r w:rsidRPr="00D44CF2">
        <w:rPr>
          <w:b/>
          <w:bCs/>
          <w:lang w:val="en-GB"/>
        </w:rPr>
      </w:r>
      <w:r w:rsidRPr="00D44CF2">
        <w:rPr>
          <w:b/>
          <w:bCs/>
          <w:lang w:val="en-GB"/>
        </w:rPr>
        <w:fldChar w:fldCharType="separate"/>
      </w:r>
      <w:r w:rsidR="004973D2">
        <w:rPr>
          <w:b/>
          <w:bCs/>
          <w:lang w:val="en-GB"/>
        </w:rPr>
        <w:t>Table 7</w:t>
      </w:r>
      <w:r w:rsidRPr="00D44CF2">
        <w:rPr>
          <w:b/>
          <w:bCs/>
          <w:lang w:val="en-GB"/>
        </w:rPr>
        <w:fldChar w:fldCharType="end"/>
      </w:r>
      <w:r w:rsidRPr="00D44CF2">
        <w:rPr>
          <w:lang w:val="en-GB"/>
        </w:rPr>
        <w:t xml:space="preserve"> below provides a summary of the minor augmentations to be carried out in West Murray, South West and Central North REZs in Victoria as part of RDP Stage 1. The purpose of these minor augmentations is to alleviate the existing thermal constraints to allow additional low-cost renewable generation in regional Victoria to connect to the NEM. </w:t>
      </w:r>
    </w:p>
    <w:p w14:paraId="19C80C99" w14:textId="77777777" w:rsidR="00A9731B" w:rsidRPr="00D44CF2" w:rsidRDefault="00A9731B" w:rsidP="00A9731B">
      <w:pPr>
        <w:pStyle w:val="CaptionTable"/>
      </w:pPr>
      <w:bookmarkStart w:id="160" w:name="_Ref147331947"/>
      <w:bookmarkStart w:id="161" w:name="_Toc149638127"/>
      <w:bookmarkStart w:id="162" w:name="_Toc180655832"/>
      <w:bookmarkStart w:id="163" w:name="_Toc212023311"/>
      <w:bookmarkStart w:id="164" w:name="_Ref206059031"/>
      <w:r w:rsidRPr="00D44CF2">
        <w:lastRenderedPageBreak/>
        <w:t>Summary of RDP Stage 1 minor augmentation projects still in progress – all projects aimed at relieving thermal constraints</w:t>
      </w:r>
      <w:bookmarkEnd w:id="160"/>
      <w:bookmarkEnd w:id="161"/>
      <w:bookmarkEnd w:id="162"/>
      <w:bookmarkEnd w:id="163"/>
      <w:r w:rsidRPr="00D44CF2">
        <w:t xml:space="preserve"> </w:t>
      </w:r>
      <w:bookmarkEnd w:id="164"/>
    </w:p>
    <w:tbl>
      <w:tblPr>
        <w:tblStyle w:val="AEMO-Table4"/>
        <w:tblW w:w="5000" w:type="pct"/>
        <w:tblLook w:val="04A0" w:firstRow="1" w:lastRow="0" w:firstColumn="1" w:lastColumn="0" w:noHBand="0" w:noVBand="1"/>
      </w:tblPr>
      <w:tblGrid>
        <w:gridCol w:w="2409"/>
        <w:gridCol w:w="1319"/>
        <w:gridCol w:w="4647"/>
        <w:gridCol w:w="1718"/>
      </w:tblGrid>
      <w:tr w:rsidR="00AD7F6E" w:rsidRPr="00D44CF2" w14:paraId="65982308" w14:textId="77777777" w:rsidTr="3AD74A6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3" w:type="pct"/>
          </w:tcPr>
          <w:p w14:paraId="2A981676" w14:textId="77777777" w:rsidR="00A9731B" w:rsidRPr="00D44CF2" w:rsidRDefault="00A9731B" w:rsidP="001A3F5B">
            <w:pPr>
              <w:pStyle w:val="TableText"/>
              <w:keepNext/>
              <w:rPr>
                <w:lang w:val="en-GB"/>
              </w:rPr>
            </w:pPr>
            <w:r w:rsidRPr="00D44CF2">
              <w:rPr>
                <w:lang w:val="en-GB"/>
              </w:rPr>
              <w:t>Project</w:t>
            </w:r>
          </w:p>
        </w:tc>
        <w:tc>
          <w:tcPr>
            <w:tcW w:w="653" w:type="pct"/>
          </w:tcPr>
          <w:p w14:paraId="27A26E48" w14:textId="77777777" w:rsidR="00A9731B" w:rsidRPr="00D44CF2" w:rsidRDefault="00A9731B" w:rsidP="001A3F5B">
            <w:pPr>
              <w:pStyle w:val="TableText"/>
              <w:keepNext/>
              <w:cnfStyle w:val="100000000000" w:firstRow="1" w:lastRow="0" w:firstColumn="0" w:lastColumn="0" w:oddVBand="0" w:evenVBand="0" w:oddHBand="0" w:evenHBand="0" w:firstRowFirstColumn="0" w:firstRowLastColumn="0" w:lastRowFirstColumn="0" w:lastRowLastColumn="0"/>
              <w:rPr>
                <w:lang w:val="en-GB"/>
              </w:rPr>
            </w:pPr>
            <w:r w:rsidRPr="00D44CF2">
              <w:rPr>
                <w:lang w:val="en-GB"/>
              </w:rPr>
              <w:t xml:space="preserve">ISP REZ </w:t>
            </w:r>
          </w:p>
        </w:tc>
        <w:tc>
          <w:tcPr>
            <w:tcW w:w="2302" w:type="pct"/>
          </w:tcPr>
          <w:p w14:paraId="1D6D8997" w14:textId="77777777" w:rsidR="00A9731B" w:rsidRPr="00D44CF2" w:rsidRDefault="00A9731B" w:rsidP="001A3F5B">
            <w:pPr>
              <w:pStyle w:val="TableText"/>
              <w:keepNext/>
              <w:cnfStyle w:val="100000000000" w:firstRow="1" w:lastRow="0" w:firstColumn="0" w:lastColumn="0" w:oddVBand="0" w:evenVBand="0" w:oddHBand="0" w:evenHBand="0" w:firstRowFirstColumn="0" w:firstRowLastColumn="0" w:lastRowFirstColumn="0" w:lastRowLastColumn="0"/>
              <w:rPr>
                <w:lang w:val="en-GB"/>
              </w:rPr>
            </w:pPr>
            <w:r w:rsidRPr="00D44CF2">
              <w:rPr>
                <w:lang w:val="en-GB"/>
              </w:rPr>
              <w:t>Description and scope of work</w:t>
            </w:r>
          </w:p>
        </w:tc>
        <w:tc>
          <w:tcPr>
            <w:tcW w:w="851" w:type="pct"/>
          </w:tcPr>
          <w:p w14:paraId="0E4419A2" w14:textId="77777777" w:rsidR="00A9731B" w:rsidRPr="00D44CF2" w:rsidRDefault="00A9731B" w:rsidP="001A3F5B">
            <w:pPr>
              <w:pStyle w:val="TableText"/>
              <w:keepNext/>
              <w:cnfStyle w:val="100000000000" w:firstRow="1" w:lastRow="0" w:firstColumn="0" w:lastColumn="0" w:oddVBand="0" w:evenVBand="0" w:oddHBand="0" w:evenHBand="0" w:firstRowFirstColumn="0" w:firstRowLastColumn="0" w:lastRowFirstColumn="0" w:lastRowLastColumn="0"/>
              <w:rPr>
                <w:lang w:val="en-GB"/>
              </w:rPr>
            </w:pPr>
            <w:r w:rsidRPr="00D44CF2">
              <w:rPr>
                <w:lang w:val="en-GB"/>
              </w:rPr>
              <w:t>Status</w:t>
            </w:r>
          </w:p>
        </w:tc>
      </w:tr>
      <w:tr w:rsidR="00A9731B" w:rsidRPr="00D44CF2" w14:paraId="7D163011"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1193" w:type="pct"/>
          </w:tcPr>
          <w:p w14:paraId="1884D92D" w14:textId="77777777" w:rsidR="00A9731B" w:rsidRPr="00D44CF2" w:rsidRDefault="00A9731B" w:rsidP="001A3F5B">
            <w:pPr>
              <w:pStyle w:val="TableText"/>
              <w:keepNext/>
              <w:rPr>
                <w:lang w:val="en-GB"/>
              </w:rPr>
            </w:pPr>
            <w:r w:rsidRPr="00D44CF2">
              <w:rPr>
                <w:lang w:val="en-GB"/>
              </w:rPr>
              <w:t>Heywood to Moorabool 500 kV line uprating (substation/ auxiliary upgrade and dynamic line rating)</w:t>
            </w:r>
          </w:p>
        </w:tc>
        <w:tc>
          <w:tcPr>
            <w:tcW w:w="653" w:type="pct"/>
          </w:tcPr>
          <w:p w14:paraId="3B8C6312" w14:textId="77777777" w:rsidR="00A9731B" w:rsidRPr="00D44CF2" w:rsidRDefault="00A9731B" w:rsidP="001A3F5B">
            <w:pPr>
              <w:pStyle w:val="TableText"/>
              <w:keepNex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V3 – Western Victoria</w:t>
            </w:r>
          </w:p>
        </w:tc>
        <w:tc>
          <w:tcPr>
            <w:tcW w:w="2302" w:type="pct"/>
          </w:tcPr>
          <w:p w14:paraId="13C18D92" w14:textId="77777777" w:rsidR="00A9731B" w:rsidRPr="00D44CF2" w:rsidRDefault="00A9731B" w:rsidP="00ED64AB">
            <w:pPr>
              <w:pStyle w:val="TableBulle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Upgrade interplant limitations (such as switch to circuit breaker conductor sections) within the Moorabool and/or Heywood terminal station/s to increase the Heywood to Moorabool 500 kV line rating.</w:t>
            </w:r>
          </w:p>
        </w:tc>
        <w:tc>
          <w:tcPr>
            <w:tcW w:w="851" w:type="pct"/>
          </w:tcPr>
          <w:p w14:paraId="0360E053" w14:textId="77777777" w:rsidR="00A9731B" w:rsidRPr="00D44CF2" w:rsidRDefault="00A9731B" w:rsidP="001A3F5B">
            <w:pPr>
              <w:pStyle w:val="TableText"/>
              <w:keepNext/>
              <w:cnfStyle w:val="000000000000" w:firstRow="0" w:lastRow="0" w:firstColumn="0" w:lastColumn="0" w:oddVBand="0" w:evenVBand="0" w:oddHBand="0" w:evenHBand="0" w:firstRowFirstColumn="0" w:firstRowLastColumn="0" w:lastRowFirstColumn="0" w:lastRowLastColumn="0"/>
            </w:pPr>
            <w:r w:rsidRPr="00D44CF2">
              <w:t>Works complete.</w:t>
            </w:r>
          </w:p>
          <w:p w14:paraId="368A922A" w14:textId="77777777" w:rsidR="00A9731B" w:rsidRPr="00D44CF2" w:rsidRDefault="00A9731B" w:rsidP="001A3F5B">
            <w:pPr>
              <w:pStyle w:val="TableText"/>
              <w:keepNext/>
              <w:cnfStyle w:val="000000000000" w:firstRow="0" w:lastRow="0" w:firstColumn="0" w:lastColumn="0" w:oddVBand="0" w:evenVBand="0" w:oddHBand="0" w:evenHBand="0" w:firstRowFirstColumn="0" w:firstRowLastColumn="0" w:lastRowFirstColumn="0" w:lastRowLastColumn="0"/>
            </w:pPr>
            <w:r w:rsidRPr="00D44CF2">
              <w:t>Expect full implementation and practical completion November 2025.</w:t>
            </w:r>
          </w:p>
        </w:tc>
      </w:tr>
      <w:tr w:rsidR="00A9731B" w:rsidRPr="00D44CF2" w14:paraId="6F38FDAC"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1193" w:type="pct"/>
          </w:tcPr>
          <w:p w14:paraId="573F0212" w14:textId="77777777" w:rsidR="00A9731B" w:rsidRPr="00D44CF2" w:rsidRDefault="00A9731B" w:rsidP="001A3F5B">
            <w:pPr>
              <w:pStyle w:val="TableText"/>
              <w:rPr>
                <w:lang w:val="en-GB"/>
              </w:rPr>
            </w:pPr>
            <w:r w:rsidRPr="00D44CF2">
              <w:rPr>
                <w:lang w:val="en-GB"/>
              </w:rPr>
              <w:t>Red Cliffs – Kiamal – Murra Warra – Horsham– Bulgana thermal loading control scheme</w:t>
            </w:r>
          </w:p>
        </w:tc>
        <w:tc>
          <w:tcPr>
            <w:tcW w:w="653" w:type="pct"/>
          </w:tcPr>
          <w:p w14:paraId="273F5D2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 xml:space="preserve">V2 – Murray River </w:t>
            </w:r>
          </w:p>
          <w:p w14:paraId="44E5A19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V3 – Western Victoria</w:t>
            </w:r>
          </w:p>
          <w:p w14:paraId="38752ACC" w14:textId="77777777" w:rsidR="00A9731B" w:rsidRPr="00D44CF2" w:rsidRDefault="00A9731B" w:rsidP="00ED64AB">
            <w:pPr>
              <w:pStyle w:val="TableBullet"/>
              <w:numPr>
                <w:ilvl w:val="0"/>
                <w:numId w:val="0"/>
              </w:numPr>
              <w:ind w:left="170"/>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br/>
            </w:r>
          </w:p>
        </w:tc>
        <w:tc>
          <w:tcPr>
            <w:tcW w:w="2302" w:type="pct"/>
          </w:tcPr>
          <w:p w14:paraId="01F7A124" w14:textId="77777777" w:rsidR="00A9731B" w:rsidRPr="00D44CF2" w:rsidRDefault="00A9731B" w:rsidP="00ED64AB">
            <w:pPr>
              <w:pStyle w:val="TableBulle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Install a generator runback/tripping scheme to quickly reduce the output of local generators to avoid overload of the Red Cliffs – Kiamal– Murra Warra – Horsham– Bulgana 220 kV lines.</w:t>
            </w:r>
          </w:p>
          <w:p w14:paraId="13ED8B11" w14:textId="67F45495" w:rsidR="00A9731B" w:rsidRPr="00D44CF2" w:rsidRDefault="00A9731B" w:rsidP="00ED64AB">
            <w:pPr>
              <w:pStyle w:val="TableBulle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 xml:space="preserve">This scheme is </w:t>
            </w:r>
            <w:r w:rsidR="60AC0E74" w:rsidRPr="00D44CF2">
              <w:rPr>
                <w:lang w:val="en-GB"/>
              </w:rPr>
              <w:t>planned</w:t>
            </w:r>
            <w:r w:rsidRPr="00D44CF2">
              <w:rPr>
                <w:lang w:val="en-GB"/>
              </w:rPr>
              <w:t xml:space="preserve"> to operate to prevent overload following trip of either Bendigo – Kerang 220 kV line or Red Cliffs – Wemen– Kerang 220 kV line.</w:t>
            </w:r>
          </w:p>
        </w:tc>
        <w:tc>
          <w:tcPr>
            <w:tcW w:w="851" w:type="pct"/>
          </w:tcPr>
          <w:p w14:paraId="1AFCCC5E"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Undergoing project benefits review.</w:t>
            </w:r>
          </w:p>
        </w:tc>
      </w:tr>
      <w:tr w:rsidR="00A9731B" w:rsidRPr="00D44CF2" w14:paraId="67295649"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1193" w:type="pct"/>
          </w:tcPr>
          <w:p w14:paraId="7868B348" w14:textId="77777777" w:rsidR="00A9731B" w:rsidRPr="00D44CF2" w:rsidRDefault="00A9731B" w:rsidP="001A3F5B">
            <w:pPr>
              <w:pStyle w:val="TableText"/>
              <w:rPr>
                <w:lang w:val="en-GB"/>
              </w:rPr>
            </w:pPr>
            <w:r w:rsidRPr="00D44CF2">
              <w:t>Red Cliffs – Kiamal – Murra Warra – Horsham – Bulgana thermal overloading control scheme with Murraylink VFRB for Murraylink import conditions</w:t>
            </w:r>
          </w:p>
        </w:tc>
        <w:tc>
          <w:tcPr>
            <w:tcW w:w="653" w:type="pct"/>
          </w:tcPr>
          <w:p w14:paraId="63B2BE7A"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 xml:space="preserve">V2 – Murray River </w:t>
            </w:r>
          </w:p>
          <w:p w14:paraId="5B4228C2"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2302" w:type="pct"/>
          </w:tcPr>
          <w:p w14:paraId="14227D89" w14:textId="77777777" w:rsidR="00A9731B" w:rsidRPr="00D44CF2" w:rsidRDefault="00A9731B" w:rsidP="00ED64AB">
            <w:pPr>
              <w:pStyle w:val="TableBullet"/>
              <w:cnfStyle w:val="000000000000" w:firstRow="0" w:lastRow="0" w:firstColumn="0" w:lastColumn="0" w:oddVBand="0" w:evenVBand="0" w:oddHBand="0" w:evenHBand="0" w:firstRowFirstColumn="0" w:firstRowLastColumn="0" w:lastRowFirstColumn="0" w:lastRowLastColumn="0"/>
              <w:rPr>
                <w:lang w:val="en-GB"/>
              </w:rPr>
            </w:pPr>
            <w:r w:rsidRPr="00D44CF2">
              <w:t xml:space="preserve">Implementation of a new control scheme to manage thermal overloading on the 220 kV network between Red Cliffs, Kiamal, Murra Warra, Horsham, and Bulgana. </w:t>
            </w:r>
          </w:p>
          <w:p w14:paraId="0A36A932" w14:textId="77777777" w:rsidR="00A9731B" w:rsidRPr="00D44CF2" w:rsidRDefault="00A9731B" w:rsidP="00ED64AB">
            <w:pPr>
              <w:pStyle w:val="TableBullet"/>
              <w:cnfStyle w:val="000000000000" w:firstRow="0" w:lastRow="0" w:firstColumn="0" w:lastColumn="0" w:oddVBand="0" w:evenVBand="0" w:oddHBand="0" w:evenHBand="0" w:firstRowFirstColumn="0" w:firstRowLastColumn="0" w:lastRowFirstColumn="0" w:lastRowLastColumn="0"/>
              <w:rPr>
                <w:lang w:val="en-GB"/>
              </w:rPr>
            </w:pPr>
            <w:r w:rsidRPr="00D44CF2">
              <w:t>This will enable Murraylink to run back during import conditions into Victoria and was commissioned in August 2025.</w:t>
            </w:r>
          </w:p>
        </w:tc>
        <w:tc>
          <w:tcPr>
            <w:tcW w:w="851" w:type="pct"/>
          </w:tcPr>
          <w:p w14:paraId="6E058E0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Works complete.</w:t>
            </w:r>
          </w:p>
          <w:p w14:paraId="6626521F"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Expect full implementation and practical completion November 2025.</w:t>
            </w:r>
          </w:p>
        </w:tc>
      </w:tr>
      <w:tr w:rsidR="00A9731B" w:rsidRPr="00D44CF2" w14:paraId="4DB325BB"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1193" w:type="pct"/>
          </w:tcPr>
          <w:p w14:paraId="37E0255B" w14:textId="77777777" w:rsidR="00A9731B" w:rsidRPr="00D44CF2" w:rsidRDefault="00A9731B" w:rsidP="001A3F5B">
            <w:pPr>
              <w:pStyle w:val="TableText"/>
              <w:rPr>
                <w:lang w:val="en-GB"/>
              </w:rPr>
            </w:pPr>
            <w:r w:rsidRPr="00D44CF2">
              <w:rPr>
                <w:lang w:val="en-GB"/>
              </w:rPr>
              <w:t>Ararat, Waubra, Ballarat, Bulgana and Kiamal terminal station interplant upgrades</w:t>
            </w:r>
          </w:p>
        </w:tc>
        <w:tc>
          <w:tcPr>
            <w:tcW w:w="653" w:type="pct"/>
          </w:tcPr>
          <w:p w14:paraId="2D05F10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 xml:space="preserve">V2 – Murray River </w:t>
            </w:r>
          </w:p>
          <w:p w14:paraId="57FD1CCB"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V3 – Western Victoria</w:t>
            </w:r>
          </w:p>
          <w:p w14:paraId="244683DF" w14:textId="77777777" w:rsidR="00A9731B" w:rsidRPr="00D44CF2" w:rsidRDefault="00A9731B" w:rsidP="00ED64AB">
            <w:pPr>
              <w:pStyle w:val="TableBullet"/>
              <w:numPr>
                <w:ilvl w:val="0"/>
                <w:numId w:val="0"/>
              </w:numPr>
              <w:ind w:left="170"/>
              <w:cnfStyle w:val="000000000000" w:firstRow="0" w:lastRow="0" w:firstColumn="0" w:lastColumn="0" w:oddVBand="0" w:evenVBand="0" w:oddHBand="0" w:evenHBand="0" w:firstRowFirstColumn="0" w:firstRowLastColumn="0" w:lastRowFirstColumn="0" w:lastRowLastColumn="0"/>
              <w:rPr>
                <w:lang w:val="en-GB"/>
              </w:rPr>
            </w:pPr>
          </w:p>
        </w:tc>
        <w:tc>
          <w:tcPr>
            <w:tcW w:w="2302" w:type="pct"/>
          </w:tcPr>
          <w:p w14:paraId="403DB99C" w14:textId="77777777" w:rsidR="00A9731B" w:rsidRPr="00D44CF2" w:rsidRDefault="00A9731B" w:rsidP="00ED64AB">
            <w:pPr>
              <w:pStyle w:val="TableBulle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Upgrade interplant limitations at Ararat, Waubra, Ballarat, Bulgana, Crowlands, Horsham and Kiamal to allow full utilisation of the 220 kV line ratings.</w:t>
            </w:r>
          </w:p>
        </w:tc>
        <w:tc>
          <w:tcPr>
            <w:tcW w:w="851" w:type="pct"/>
          </w:tcPr>
          <w:p w14:paraId="1B0666F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Works in progress.</w:t>
            </w:r>
          </w:p>
          <w:p w14:paraId="5FA91501"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Expect practical completion December 2025.</w:t>
            </w:r>
          </w:p>
          <w:p w14:paraId="7497AA31"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p>
          <w:p w14:paraId="79690A0A"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p>
        </w:tc>
      </w:tr>
      <w:tr w:rsidR="00A9731B" w:rsidRPr="00D44CF2" w14:paraId="79988CDA"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1193" w:type="pct"/>
          </w:tcPr>
          <w:p w14:paraId="6CBB59C3" w14:textId="77777777" w:rsidR="00A9731B" w:rsidRPr="00D44CF2" w:rsidRDefault="00A9731B" w:rsidP="001A3F5B">
            <w:pPr>
              <w:pStyle w:val="TableText"/>
              <w:rPr>
                <w:lang w:val="en-GB"/>
              </w:rPr>
            </w:pPr>
            <w:r w:rsidRPr="00D44CF2">
              <w:rPr>
                <w:lang w:val="en-GB"/>
              </w:rPr>
              <w:t>Dederang – Glenrowan– Shepparton – Bendigo circuit thermal loading control scheme</w:t>
            </w:r>
          </w:p>
        </w:tc>
        <w:tc>
          <w:tcPr>
            <w:tcW w:w="653" w:type="pct"/>
          </w:tcPr>
          <w:p w14:paraId="6A6F7E1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rPr>
                <w:lang w:val="en-GB"/>
              </w:rPr>
              <w:t>V1 and V6</w:t>
            </w:r>
          </w:p>
          <w:p w14:paraId="5244C95D" w14:textId="77777777" w:rsidR="00A9731B" w:rsidRPr="00D44CF2" w:rsidRDefault="00A9731B" w:rsidP="00ED64AB">
            <w:pPr>
              <w:pStyle w:val="TableBullet"/>
              <w:numPr>
                <w:ilvl w:val="0"/>
                <w:numId w:val="0"/>
              </w:numPr>
              <w:ind w:left="170"/>
              <w:cnfStyle w:val="000000000000" w:firstRow="0" w:lastRow="0" w:firstColumn="0" w:lastColumn="0" w:oddVBand="0" w:evenVBand="0" w:oddHBand="0" w:evenHBand="0" w:firstRowFirstColumn="0" w:firstRowLastColumn="0" w:lastRowFirstColumn="0" w:lastRowLastColumn="0"/>
              <w:rPr>
                <w:lang w:val="en-GB"/>
              </w:rPr>
            </w:pPr>
          </w:p>
        </w:tc>
        <w:tc>
          <w:tcPr>
            <w:tcW w:w="2302" w:type="pct"/>
          </w:tcPr>
          <w:p w14:paraId="33EDD78B" w14:textId="77777777" w:rsidR="00A9731B" w:rsidRPr="00D44CF2" w:rsidRDefault="00A9731B" w:rsidP="00ED64AB">
            <w:pPr>
              <w:pStyle w:val="TableBullet"/>
              <w:cnfStyle w:val="000000000000" w:firstRow="0" w:lastRow="0" w:firstColumn="0" w:lastColumn="0" w:oddVBand="0" w:evenVBand="0" w:oddHBand="0" w:evenHBand="0" w:firstRowFirstColumn="0" w:firstRowLastColumn="0" w:lastRowFirstColumn="0" w:lastRowLastColumn="0"/>
              <w:rPr>
                <w:lang w:val="en-GB"/>
              </w:rPr>
            </w:pPr>
            <w:r w:rsidRPr="00D44CF2">
              <w:rPr>
                <w:rFonts w:eastAsiaTheme="minorEastAsia"/>
                <w:szCs w:val="16"/>
                <w:lang w:val="en-GB"/>
              </w:rPr>
              <w:t xml:space="preserve">Development of an automatic generator runback scheme designed to manage thermal loading on Ballarat – Bendigo and future Axedale </w:t>
            </w:r>
            <w:r w:rsidRPr="00D44CF2">
              <w:rPr>
                <w:lang w:val="en-GB"/>
              </w:rPr>
              <w:t xml:space="preserve">– </w:t>
            </w:r>
            <w:r w:rsidRPr="00D44CF2">
              <w:rPr>
                <w:rFonts w:eastAsiaTheme="minorEastAsia"/>
                <w:szCs w:val="16"/>
                <w:lang w:val="en-GB"/>
              </w:rPr>
              <w:t xml:space="preserve">Fosterville </w:t>
            </w:r>
            <w:r w:rsidRPr="00D44CF2">
              <w:rPr>
                <w:lang w:val="en-GB"/>
              </w:rPr>
              <w:t xml:space="preserve">– </w:t>
            </w:r>
            <w:r w:rsidRPr="00D44CF2">
              <w:rPr>
                <w:rFonts w:eastAsiaTheme="minorEastAsia"/>
                <w:szCs w:val="16"/>
                <w:lang w:val="en-GB"/>
              </w:rPr>
              <w:t>Bendigo 220 kV network. This scheme aims to dynamically reduce generator output in response to line loading conditions, helping maintain network reliability and prevent thermal overloads.</w:t>
            </w:r>
          </w:p>
        </w:tc>
        <w:tc>
          <w:tcPr>
            <w:tcW w:w="851" w:type="pct"/>
          </w:tcPr>
          <w:p w14:paraId="4672B26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In progress.</w:t>
            </w:r>
          </w:p>
          <w:p w14:paraId="3933217D" w14:textId="235DBC29"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Delayed by construction of Axedale Terminal Station. </w:t>
            </w:r>
            <w:r w:rsidR="7DB1DC5E" w:rsidRPr="00D44CF2">
              <w:t>Planned</w:t>
            </w:r>
            <w:r w:rsidRPr="00D44CF2">
              <w:t xml:space="preserve"> completion early 2027.</w:t>
            </w:r>
          </w:p>
        </w:tc>
      </w:tr>
    </w:tbl>
    <w:p w14:paraId="6C607C3B" w14:textId="77777777" w:rsidR="00A9731B" w:rsidRPr="00D44CF2" w:rsidRDefault="00A9731B" w:rsidP="00A9731B">
      <w:pPr>
        <w:pStyle w:val="Heading5"/>
      </w:pPr>
      <w:r w:rsidRPr="00D44CF2">
        <w:t>Western Renewables Link (WRL)</w:t>
      </w:r>
    </w:p>
    <w:p w14:paraId="4C8AD925" w14:textId="73AABB49" w:rsidR="00A9731B" w:rsidRPr="00D44CF2" w:rsidRDefault="00A9731B" w:rsidP="00A9731B">
      <w:pPr>
        <w:pStyle w:val="BodyText"/>
      </w:pPr>
      <w:r w:rsidRPr="00D44CF2">
        <w:t>In July 2019, AVP completed the Western Victoria Transmission Network Project RIT-T to unlock renewable energy resources, reduce network congestion, and improve utilisation of existing assets in western Victoria</w:t>
      </w:r>
      <w:r w:rsidRPr="00D44CF2">
        <w:rPr>
          <w:vertAlign w:val="superscript"/>
        </w:rPr>
        <w:footnoteReference w:id="59"/>
      </w:r>
      <w:r w:rsidRPr="00D44CF2">
        <w:t>. AusNet Services was then awarded a contract to develop the project and seek planning approvals in order to build, own, operate and maintain the</w:t>
      </w:r>
      <w:r w:rsidR="00095265" w:rsidRPr="00D44CF2">
        <w:t xml:space="preserve"> contestable parts (primarily 500 kV lines new 500/220kV terminal station near Bulgana) of the</w:t>
      </w:r>
      <w:r w:rsidRPr="00D44CF2">
        <w:t xml:space="preserve"> preferred transmission augmentations identified for WRL by the RIT-T. </w:t>
      </w:r>
    </w:p>
    <w:p w14:paraId="05B94812" w14:textId="77777777" w:rsidR="00A9731B" w:rsidRPr="00D44CF2" w:rsidRDefault="00A9731B" w:rsidP="00A9731B">
      <w:pPr>
        <w:pStyle w:val="BodyText"/>
      </w:pPr>
      <w:r w:rsidRPr="00D44CF2">
        <w:t xml:space="preserve">In May 2023, following investigations in relation to the VNI West transmission project and the provision of the draft VNI West PACR, the Victorian Minister for Energy and Resources Issued order S 267, 27 May 2023 (May NEVA Order) in relation to WRL and VNI West. The effect of the May NEVA Order is to allow the WRL Project to proceed based on a modified scope including the construction of a new 500 kV double-circuit transmission line from Sydenham to Bulgana (referred to as the uprate). The order explains why such a course is justified and directs </w:t>
      </w:r>
      <w:r w:rsidRPr="00D44CF2">
        <w:lastRenderedPageBreak/>
        <w:t>AVP to proceed with an uprated scope for the project. Subject to project assessment and approvals, WRL is planned for ‘first energisation’ in late 2029</w:t>
      </w:r>
      <w:r w:rsidRPr="00D44CF2">
        <w:rPr>
          <w:rStyle w:val="FootnoteReference"/>
        </w:rPr>
        <w:footnoteReference w:id="60"/>
      </w:r>
      <w:r w:rsidRPr="00D44CF2">
        <w:t>.</w:t>
      </w:r>
    </w:p>
    <w:p w14:paraId="300E9609" w14:textId="77777777" w:rsidR="00A9731B" w:rsidRPr="00D44CF2" w:rsidRDefault="00A9731B" w:rsidP="00A9731B">
      <w:pPr>
        <w:pStyle w:val="CaptionFigure"/>
      </w:pPr>
      <w:bookmarkStart w:id="165" w:name="_Toc180159794"/>
      <w:bookmarkStart w:id="166" w:name="_Toc212023353"/>
      <w:r w:rsidRPr="00D44CF2">
        <w:t>Project overview map of WRL</w:t>
      </w:r>
      <w:bookmarkEnd w:id="165"/>
      <w:bookmarkEnd w:id="166"/>
    </w:p>
    <w:p w14:paraId="3A9E934A" w14:textId="77777777" w:rsidR="00A9731B" w:rsidRPr="00D44CF2" w:rsidRDefault="00A9731B" w:rsidP="00A9731B">
      <w:pPr>
        <w:pStyle w:val="BodyText"/>
      </w:pPr>
      <w:r w:rsidRPr="00D44CF2">
        <w:rPr>
          <w:noProof/>
        </w:rPr>
        <w:drawing>
          <wp:inline distT="0" distB="0" distL="0" distR="0" wp14:anchorId="55EA880B" wp14:editId="2171FB52">
            <wp:extent cx="6095589" cy="3586038"/>
            <wp:effectExtent l="0" t="0" r="635" b="0"/>
            <wp:docPr id="1845501331" name="Picture 1" descr="A map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with a rout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1083" cy="3589270"/>
                    </a:xfrm>
                    <a:prstGeom prst="rect">
                      <a:avLst/>
                    </a:prstGeom>
                    <a:noFill/>
                    <a:ln>
                      <a:noFill/>
                    </a:ln>
                  </pic:spPr>
                </pic:pic>
              </a:graphicData>
            </a:graphic>
          </wp:inline>
        </w:drawing>
      </w:r>
    </w:p>
    <w:p w14:paraId="70854450" w14:textId="77777777" w:rsidR="00A9731B" w:rsidRPr="00D44CF2" w:rsidRDefault="00A9731B" w:rsidP="00A9731B">
      <w:pPr>
        <w:pStyle w:val="TableFigureFootnote"/>
      </w:pPr>
    </w:p>
    <w:p w14:paraId="439AA760" w14:textId="77777777" w:rsidR="00A9731B" w:rsidRPr="00D44CF2" w:rsidRDefault="00A9731B" w:rsidP="00A9731B">
      <w:pPr>
        <w:pStyle w:val="BodyText"/>
      </w:pPr>
      <w:r w:rsidRPr="00D44CF2">
        <w:t>The updated scope of WRL consists of:</w:t>
      </w:r>
    </w:p>
    <w:p w14:paraId="1F13E086" w14:textId="0ADC784D" w:rsidR="00A9731B" w:rsidRPr="00D44CF2" w:rsidRDefault="00A9731B" w:rsidP="00A9731B">
      <w:pPr>
        <w:pStyle w:val="ListBullet"/>
      </w:pPr>
      <w:r w:rsidRPr="00D44CF2">
        <w:t>extension of the 500 kV SYTS by two breaker-and-a-half switched bays, including an additional 500</w:t>
      </w:r>
      <w:r w:rsidRPr="00D44CF2">
        <w:rPr>
          <w:rFonts w:hint="eastAsia"/>
        </w:rPr>
        <w:t> </w:t>
      </w:r>
      <w:r w:rsidRPr="00D44CF2">
        <w:t xml:space="preserve">kV switched bus connected reactor sized approximately 100 </w:t>
      </w:r>
      <w:r w:rsidR="002309DD" w:rsidRPr="00D44CF2">
        <w:t>megavolt amperes reactive (</w:t>
      </w:r>
      <w:r w:rsidRPr="00D44CF2">
        <w:t>MVAr</w:t>
      </w:r>
      <w:r w:rsidR="002309DD" w:rsidRPr="00D44CF2">
        <w:t>)</w:t>
      </w:r>
      <w:r w:rsidRPr="00D44CF2">
        <w:t xml:space="preserve">, and two 70 MVAr line reactors, </w:t>
      </w:r>
    </w:p>
    <w:p w14:paraId="58993591" w14:textId="0646A5C4" w:rsidR="00A9731B" w:rsidRPr="00D44CF2" w:rsidRDefault="00A9731B" w:rsidP="00A9731B">
      <w:pPr>
        <w:pStyle w:val="ListBullet"/>
      </w:pPr>
      <w:r w:rsidRPr="00D44CF2">
        <w:t>establishment of a new 500/220 kV Joel Joel Terminal Station (JJTS), formally referred to as ‘near Bulgana’ or ‘BXTS’ located near the existing 220 kV Bulgana Terminal Station (BGTS), including a 500 kV switchyard comprising of four double switched bays (with provision for extension), two 1,000</w:t>
      </w:r>
      <w:r w:rsidR="00AD560A" w:rsidRPr="00D44CF2">
        <w:t xml:space="preserve"> </w:t>
      </w:r>
      <w:r w:rsidR="00EB373E" w:rsidRPr="00D44CF2">
        <w:t xml:space="preserve">megavolt amperes (MVA) </w:t>
      </w:r>
      <w:r w:rsidRPr="00D44CF2">
        <w:t xml:space="preserve">500/220 kV transformers, two 70 MVAr line reactors, and provision for the future development of a 220 kV switchyard, </w:t>
      </w:r>
    </w:p>
    <w:p w14:paraId="08A8E10F" w14:textId="77777777" w:rsidR="00A9731B" w:rsidRPr="00D44CF2" w:rsidRDefault="00A9731B" w:rsidP="00A9731B">
      <w:pPr>
        <w:pStyle w:val="ListBullet"/>
      </w:pPr>
      <w:r w:rsidRPr="00D44CF2">
        <w:t>construction of a new 500 kV double-circuit transmission line from SYTS to JJTS with approximate length of 190 km,</w:t>
      </w:r>
    </w:p>
    <w:p w14:paraId="51CEA6B5" w14:textId="10629F1C" w:rsidR="00A9731B" w:rsidRPr="00D44CF2" w:rsidRDefault="00A9731B" w:rsidP="00A9731B">
      <w:pPr>
        <w:pStyle w:val="ListBullet"/>
      </w:pPr>
      <w:bookmarkStart w:id="167" w:name="_Hlk164168728"/>
      <w:r w:rsidRPr="00D44CF2">
        <w:t>redevelopment of the existing 220 kV BGTS, including the expansion of the existing single busbar 220 kV switchyard to a two busbar breaker-and-a-half (and double switched) switching arrangement, changed bay terminations for the existing BGTS-</w:t>
      </w:r>
      <w:r w:rsidR="00546FCB" w:rsidRPr="00D44CF2">
        <w:t xml:space="preserve"> Horsham Terminal Station </w:t>
      </w:r>
      <w:r w:rsidRPr="00D44CF2">
        <w:t>(</w:t>
      </w:r>
      <w:r w:rsidR="00546FCB" w:rsidRPr="00D44CF2">
        <w:t>HOTS</w:t>
      </w:r>
      <w:r w:rsidRPr="00D44CF2">
        <w:t>), BGTS-CWTS (Crowlands) 220 kV transmission lines</w:t>
      </w:r>
      <w:bookmarkEnd w:id="167"/>
      <w:r w:rsidRPr="00D44CF2">
        <w:t xml:space="preserve"> and the Bulgana Wind Farm transformer connections,</w:t>
      </w:r>
    </w:p>
    <w:p w14:paraId="7FDE58AC" w14:textId="77777777" w:rsidR="00A9731B" w:rsidRPr="00D44CF2" w:rsidRDefault="00A9731B" w:rsidP="00A9731B">
      <w:pPr>
        <w:pStyle w:val="ListBullet"/>
      </w:pPr>
      <w:r w:rsidRPr="00D44CF2">
        <w:lastRenderedPageBreak/>
        <w:t>construction of a new 220 kV double-circuit transmission line from BGTS to JJTS, with approximate length of 2.5 km,</w:t>
      </w:r>
    </w:p>
    <w:p w14:paraId="0FFCC668" w14:textId="77777777" w:rsidR="00A9731B" w:rsidRPr="00D44CF2" w:rsidRDefault="00A9731B" w:rsidP="00A9731B">
      <w:pPr>
        <w:pStyle w:val="ListBullet"/>
      </w:pPr>
      <w:r w:rsidRPr="00D44CF2">
        <w:t>the addition of two physically independent route communication links between BGTS and JJTS, and between JJTS and SYTS,</w:t>
      </w:r>
      <w:r w:rsidRPr="00D44CF2" w:rsidDel="00D32D53">
        <w:t xml:space="preserve"> </w:t>
      </w:r>
    </w:p>
    <w:p w14:paraId="6F544A70" w14:textId="77777777" w:rsidR="00A9731B" w:rsidRPr="00D44CF2" w:rsidRDefault="00A9731B" w:rsidP="00A9731B">
      <w:pPr>
        <w:pStyle w:val="ListBullet"/>
      </w:pPr>
      <w:r w:rsidRPr="00D44CF2">
        <w:t xml:space="preserve">interface activities at various existing terminal stations including, but not limited to: </w:t>
      </w:r>
    </w:p>
    <w:p w14:paraId="0FB88F8B" w14:textId="77777777" w:rsidR="00A9731B" w:rsidRPr="00D44CF2" w:rsidRDefault="00A9731B" w:rsidP="00A9731B">
      <w:pPr>
        <w:pStyle w:val="ListBullet2"/>
      </w:pPr>
      <w:bookmarkStart w:id="168" w:name="_Hlk179559624"/>
      <w:r w:rsidRPr="00D44CF2">
        <w:t>protection and control system updates, new panel installation, direct current (DC) systems, Substation Control and Information System (SCIMS), and</w:t>
      </w:r>
    </w:p>
    <w:bookmarkEnd w:id="168"/>
    <w:p w14:paraId="36678DDB" w14:textId="77777777" w:rsidR="00A9731B" w:rsidRPr="00D44CF2" w:rsidRDefault="00A9731B" w:rsidP="00A9731B">
      <w:pPr>
        <w:pStyle w:val="ListBullet2"/>
      </w:pPr>
      <w:r w:rsidRPr="00D44CF2">
        <w:t xml:space="preserve">minor augmentations at existing terminal stations (unless mentioned above) impacted by the above works, and </w:t>
      </w:r>
    </w:p>
    <w:p w14:paraId="3DB9D38A" w14:textId="77777777" w:rsidR="00A9731B" w:rsidRPr="00D44CF2" w:rsidRDefault="00A9731B" w:rsidP="00A9731B">
      <w:pPr>
        <w:pStyle w:val="ListBullet"/>
      </w:pPr>
      <w:r w:rsidRPr="00D44CF2">
        <w:t xml:space="preserve">works at new and existing terminal stations to implement special control schemes for the WRL project. </w:t>
      </w:r>
    </w:p>
    <w:p w14:paraId="1CF52BD4" w14:textId="77777777" w:rsidR="00A9731B" w:rsidRPr="00D44CF2" w:rsidRDefault="00A9731B" w:rsidP="00A9731B">
      <w:pPr>
        <w:pStyle w:val="BodyText"/>
        <w:rPr>
          <w:lang w:val="en-GB"/>
        </w:rPr>
      </w:pPr>
      <w:r w:rsidRPr="00D44CF2">
        <w:rPr>
          <w:lang w:val="en-GB"/>
        </w:rPr>
        <w:t xml:space="preserve">The VNI West transmission line(s) will connect into the new JJTS near Bulgana. Network augmentation for the WRL project can function independently and is not dependent on the completion of VNI West. </w:t>
      </w:r>
    </w:p>
    <w:p w14:paraId="049F1D91" w14:textId="77777777" w:rsidR="00A9731B" w:rsidRPr="00D44CF2" w:rsidRDefault="00A9731B" w:rsidP="00A9731B">
      <w:pPr>
        <w:pStyle w:val="BodyText"/>
        <w:rPr>
          <w:lang w:val="en-GB"/>
        </w:rPr>
      </w:pPr>
      <w:r w:rsidRPr="00D44CF2">
        <w:t>AusNet Services has</w:t>
      </w:r>
      <w:r w:rsidRPr="00D44CF2">
        <w:rPr>
          <w:lang w:val="en-GB"/>
        </w:rPr>
        <w:t xml:space="preserve"> been engaging with landholders along the transmission route to conduct early works such as geotechnical investigation and field surveys. The location and configuration of the new JJTS at Joel Joel has been confirmed for this project.</w:t>
      </w:r>
    </w:p>
    <w:p w14:paraId="673DE3F8" w14:textId="77777777" w:rsidR="00A9731B" w:rsidRPr="00D44CF2" w:rsidRDefault="00A9731B" w:rsidP="00A9731B">
      <w:pPr>
        <w:pStyle w:val="BodyText"/>
        <w:rPr>
          <w:lang w:val="en-GB"/>
        </w:rPr>
      </w:pPr>
      <w:r w:rsidRPr="00D44CF2">
        <w:rPr>
          <w:lang w:val="en-GB"/>
        </w:rPr>
        <w:t xml:space="preserve">The Environmental Effect Statement (EES) for the project was out for public exhibition from 30 June 2025 to 22 August 2025. The EES panel inquiry, which includes a public hearing, will take place throughout 2025. </w:t>
      </w:r>
    </w:p>
    <w:p w14:paraId="4C5F85F2" w14:textId="77777777" w:rsidR="00A9731B" w:rsidRPr="00D44CF2" w:rsidRDefault="00A9731B" w:rsidP="00A9731B">
      <w:pPr>
        <w:pStyle w:val="BodyText"/>
        <w:rPr>
          <w:lang w:val="en-GB"/>
        </w:rPr>
      </w:pPr>
      <w:r w:rsidRPr="00D44CF2">
        <w:t>The latest project information is available on AusNet Services’ dedicated project website</w:t>
      </w:r>
      <w:r w:rsidRPr="00D44CF2">
        <w:rPr>
          <w:vertAlign w:val="superscript"/>
        </w:rPr>
        <w:footnoteReference w:id="61"/>
      </w:r>
      <w:r w:rsidRPr="00D44CF2">
        <w:t>.</w:t>
      </w:r>
    </w:p>
    <w:p w14:paraId="07A2817D" w14:textId="77777777" w:rsidR="00A9731B" w:rsidRPr="00D44CF2" w:rsidRDefault="00A9731B" w:rsidP="00A9731B">
      <w:pPr>
        <w:pStyle w:val="Heading5"/>
      </w:pPr>
      <w:r w:rsidRPr="00D44CF2">
        <w:t xml:space="preserve">Victoria – New South Wales Interconnector West (VNI West) </w:t>
      </w:r>
    </w:p>
    <w:p w14:paraId="004E5375" w14:textId="77777777" w:rsidR="00A9731B" w:rsidRPr="00D44CF2" w:rsidRDefault="00A9731B" w:rsidP="00A9731B">
      <w:pPr>
        <w:pStyle w:val="BodyText"/>
      </w:pPr>
      <w:r w:rsidRPr="00D44CF2">
        <w:t>VNI West is a proposed new high capacity 500 kV double-circuit overhead transmission line, which will deliver vital new transmission infrastructure to:</w:t>
      </w:r>
    </w:p>
    <w:p w14:paraId="57E46813" w14:textId="77777777" w:rsidR="00A9731B" w:rsidRPr="00D44CF2" w:rsidRDefault="00A9731B" w:rsidP="00A9731B">
      <w:pPr>
        <w:pStyle w:val="ListBullet"/>
        <w:numPr>
          <w:ilvl w:val="0"/>
          <w:numId w:val="47"/>
        </w:numPr>
      </w:pPr>
      <w:r w:rsidRPr="00D44CF2">
        <w:t>harness forecast of 3.4 GW of clean electricity from REZs in New South Wales and Victoria</w:t>
      </w:r>
      <w:r w:rsidRPr="00D44CF2">
        <w:rPr>
          <w:rStyle w:val="FootnoteReference"/>
        </w:rPr>
        <w:footnoteReference w:id="62"/>
      </w:r>
      <w:r w:rsidRPr="00D44CF2">
        <w:t>, in particular the wind and solar-rich regions of the North West REZ and the Grampians Wimmera REZ,</w:t>
      </w:r>
    </w:p>
    <w:p w14:paraId="7079800F" w14:textId="77777777" w:rsidR="00A9731B" w:rsidRPr="00D44CF2" w:rsidRDefault="00A9731B" w:rsidP="00A9731B">
      <w:pPr>
        <w:pStyle w:val="ListBullet"/>
      </w:pPr>
      <w:r w:rsidRPr="00D44CF2">
        <w:t>add forecast 1.93 GW of electricity export capacity from Victoria to New South Wales, and 1.67 GW of electricity import capacity from New South Wales to Victoria</w:t>
      </w:r>
      <w:r w:rsidRPr="00D44CF2">
        <w:rPr>
          <w:rStyle w:val="FootnoteReference"/>
        </w:rPr>
        <w:footnoteReference w:id="63"/>
      </w:r>
      <w:r w:rsidRPr="00D44CF2">
        <w:t>, and</w:t>
      </w:r>
    </w:p>
    <w:p w14:paraId="0032C1E7" w14:textId="77777777" w:rsidR="00A9731B" w:rsidRPr="00D44CF2" w:rsidRDefault="00A9731B" w:rsidP="00A9731B">
      <w:pPr>
        <w:pStyle w:val="ListBullet"/>
        <w:numPr>
          <w:ilvl w:val="0"/>
          <w:numId w:val="47"/>
        </w:numPr>
      </w:pPr>
      <w:r w:rsidRPr="00D44CF2">
        <w:t>maintain security and reliability in the electricity network as coal-fired power stations retire.</w:t>
      </w:r>
    </w:p>
    <w:p w14:paraId="36457789" w14:textId="77777777" w:rsidR="00A9731B" w:rsidRPr="00D44CF2" w:rsidRDefault="00A9731B" w:rsidP="00A9731B">
      <w:pPr>
        <w:pStyle w:val="BodyText"/>
      </w:pPr>
      <w:r w:rsidRPr="00D44CF2">
        <w:t>In May 2023, AVP and Transgrid released the PACR</w:t>
      </w:r>
      <w:r w:rsidRPr="00D44CF2">
        <w:rPr>
          <w:vertAlign w:val="superscript"/>
        </w:rPr>
        <w:footnoteReference w:id="64"/>
      </w:r>
      <w:r w:rsidRPr="00D44CF2">
        <w:t xml:space="preserve"> which identified the preferred network option for VNI West, charting a broad corridor that connects it to WRL at a new terminal station at or near Bulgana, and crosses the Murray River north of Kerang to connect it to EnergyConnect in New South Wales at the new Dinawan substation. The preferred network option in the PACR is known as Option 5A.</w:t>
      </w:r>
    </w:p>
    <w:p w14:paraId="22079A97" w14:textId="5E08372D" w:rsidR="00A9731B" w:rsidRPr="00D44CF2" w:rsidRDefault="00A9731B" w:rsidP="00A9731B">
      <w:pPr>
        <w:pStyle w:val="BodyText"/>
      </w:pPr>
      <w:r w:rsidRPr="00D44CF2">
        <w:lastRenderedPageBreak/>
        <w:t>TCV has been established to undertake early works in Victoria, including community, landholders and Traditional Owner consultations, and ongoing investigations into the corridor and ultimate route. A major component of this was the refinement of the PACR Area of Interest into the Draft Corridor, as documented in the Draft Corridor Report</w:t>
      </w:r>
      <w:r w:rsidRPr="00D44CF2">
        <w:rPr>
          <w:vertAlign w:val="superscript"/>
        </w:rPr>
        <w:footnoteReference w:id="65"/>
      </w:r>
      <w:r w:rsidRPr="00D44CF2">
        <w:t>, published 6 October 2023, which proposed a narrowed draft corridor for Victoria that is roughly 2 km wide on average. The draft corridor was then further refined through desktop and field environmental assessments, and discussion with landholders and communities, to arrive at a preferred easement</w:t>
      </w:r>
      <w:r w:rsidRPr="00D44CF2">
        <w:rPr>
          <w:rStyle w:val="FootnoteReference"/>
        </w:rPr>
        <w:footnoteReference w:id="66"/>
      </w:r>
      <w:r w:rsidRPr="00D44CF2">
        <w:t>, which was published in October 2024. Then, as a result of landholder feedback and Technical Reference Group input, the preferred easement was shaped into a project easement</w:t>
      </w:r>
      <w:r w:rsidRPr="00D44CF2">
        <w:rPr>
          <w:rStyle w:val="FootnoteReference"/>
        </w:rPr>
        <w:footnoteReference w:id="67"/>
      </w:r>
      <w:r w:rsidRPr="00D44CF2">
        <w:t xml:space="preserve">, which is now undergoing planning and environmental assessments. Subject to project assessment and approvals, VNI West is planned for ‘first energisation’ in late 2030 and </w:t>
      </w:r>
      <w:r w:rsidR="7B4A16A6" w:rsidRPr="00D44CF2">
        <w:t>planned</w:t>
      </w:r>
      <w:r w:rsidRPr="00D44CF2">
        <w:t xml:space="preserve"> to be fully operational (with inter-network testing complete, subject to market conditions) in late 2031</w:t>
      </w:r>
      <w:r w:rsidRPr="00D44CF2" w:rsidDel="002178CC">
        <w:t>.</w:t>
      </w:r>
    </w:p>
    <w:p w14:paraId="18C25039" w14:textId="77777777" w:rsidR="00A9731B" w:rsidRPr="00D44CF2" w:rsidRDefault="00A9731B" w:rsidP="00A9731B">
      <w:pPr>
        <w:pStyle w:val="BodyText"/>
      </w:pPr>
      <w:r w:rsidRPr="00D44CF2">
        <w:t xml:space="preserve">The scope of VNI West in Victoria and New South Wales consists of: </w:t>
      </w:r>
    </w:p>
    <w:p w14:paraId="718C6B7A" w14:textId="4BDE53B7" w:rsidR="00A9731B" w:rsidRPr="00D44CF2" w:rsidRDefault="00A9731B" w:rsidP="00A9731B">
      <w:pPr>
        <w:pStyle w:val="ListBullet"/>
        <w:numPr>
          <w:ilvl w:val="0"/>
          <w:numId w:val="48"/>
        </w:numPr>
      </w:pPr>
      <w:r w:rsidRPr="00D44CF2">
        <w:t>establishing new Tragowel T</w:t>
      </w:r>
      <w:r w:rsidR="00C54D84" w:rsidRPr="00D44CF2">
        <w:t>erminal Station</w:t>
      </w:r>
      <w:r w:rsidRPr="00D44CF2">
        <w:t xml:space="preserve"> with two 500/220 kV 1,000 MVA transformers,</w:t>
      </w:r>
    </w:p>
    <w:p w14:paraId="3304202E" w14:textId="77777777" w:rsidR="00A9731B" w:rsidRPr="00D44CF2" w:rsidRDefault="00A9731B" w:rsidP="00A9731B">
      <w:pPr>
        <w:pStyle w:val="ListBullet"/>
        <w:numPr>
          <w:ilvl w:val="0"/>
          <w:numId w:val="48"/>
        </w:numPr>
      </w:pPr>
      <w:r w:rsidRPr="00D44CF2">
        <w:t>220 kV connections from the new Tragowel Terminal Station to the existing 220 kV lines near Kerang,</w:t>
      </w:r>
    </w:p>
    <w:p w14:paraId="40535E1A" w14:textId="77777777" w:rsidR="00A9731B" w:rsidRPr="00D44CF2" w:rsidRDefault="00A9731B" w:rsidP="00A9731B">
      <w:pPr>
        <w:pStyle w:val="ListBullet"/>
      </w:pPr>
      <w:r w:rsidRPr="00D44CF2">
        <w:t>a new 192 km 500 kV double-circuit overhead line from near Bulgana to Tragowel, including 50% series compensation</w:t>
      </w:r>
      <w:r w:rsidRPr="00D44CF2">
        <w:rPr>
          <w:rStyle w:val="FootnoteReference"/>
        </w:rPr>
        <w:footnoteReference w:id="68"/>
      </w:r>
      <w:r w:rsidRPr="00D44CF2">
        <w:t xml:space="preserve"> on the line at Tragowel and 90 MVAr line shunt reactors at each end of each line,</w:t>
      </w:r>
    </w:p>
    <w:p w14:paraId="594DD9AB" w14:textId="77777777" w:rsidR="00A9731B" w:rsidRPr="00D44CF2" w:rsidRDefault="00A9731B" w:rsidP="00A9731B">
      <w:pPr>
        <w:pStyle w:val="ListBullet"/>
        <w:numPr>
          <w:ilvl w:val="0"/>
          <w:numId w:val="48"/>
        </w:numPr>
      </w:pPr>
      <w:r w:rsidRPr="00D44CF2">
        <w:t>a new 500 kV double-circuit overhead line from Tragowel to locality of Dinawan, including 120 MVAr line shunt reactors at each end of each line,</w:t>
      </w:r>
    </w:p>
    <w:p w14:paraId="1AA4673D" w14:textId="77777777" w:rsidR="00A9731B" w:rsidRPr="00D44CF2" w:rsidRDefault="00A9731B" w:rsidP="00A9731B">
      <w:pPr>
        <w:pStyle w:val="ListBullet"/>
      </w:pPr>
      <w:r w:rsidRPr="00D44CF2">
        <w:t>establishing Dinawan 500 kV switchyard with two 500/330 kV 1,500 MVA transformers</w:t>
      </w:r>
      <w:bookmarkStart w:id="169" w:name="_Ref208326930"/>
      <w:r w:rsidRPr="00D44CF2">
        <w:rPr>
          <w:rStyle w:val="FootnoteReference"/>
        </w:rPr>
        <w:footnoteReference w:id="69"/>
      </w:r>
      <w:bookmarkEnd w:id="169"/>
      <w:r w:rsidRPr="00D44CF2">
        <w:t>,</w:t>
      </w:r>
    </w:p>
    <w:p w14:paraId="30195B24" w14:textId="3625A101" w:rsidR="00A9731B" w:rsidRPr="00D44CF2" w:rsidRDefault="00A9731B" w:rsidP="00A9731B">
      <w:pPr>
        <w:pStyle w:val="ListBullet"/>
      </w:pPr>
      <w:r w:rsidRPr="00D44CF2">
        <w:t>upgrading Dinawan – Gugaa double-circuit line from 330 kV to 500 kV operation (lines build at 500 kV as part of EnergyConnect) including the installation of 80 MVAr line shunt reactors at each end of each line</w:t>
      </w:r>
      <w:r w:rsidRPr="00D44CF2">
        <w:rPr>
          <w:rStyle w:val="FootnoteReference"/>
        </w:rPr>
        <w:fldChar w:fldCharType="begin"/>
      </w:r>
      <w:r w:rsidRPr="00D44CF2">
        <w:rPr>
          <w:rStyle w:val="FootnoteReference"/>
        </w:rPr>
        <w:instrText xml:space="preserve"> NOTEREF _Ref208326930 \h  \* MERGEFORMAT </w:instrText>
      </w:r>
      <w:r w:rsidRPr="00D44CF2">
        <w:rPr>
          <w:rStyle w:val="FootnoteReference"/>
        </w:rPr>
      </w:r>
      <w:r w:rsidRPr="00D44CF2">
        <w:rPr>
          <w:rStyle w:val="FootnoteReference"/>
        </w:rPr>
        <w:fldChar w:fldCharType="separate"/>
      </w:r>
      <w:r w:rsidR="004973D2">
        <w:rPr>
          <w:rStyle w:val="FootnoteReference"/>
        </w:rPr>
        <w:t>68</w:t>
      </w:r>
      <w:r w:rsidRPr="00D44CF2">
        <w:rPr>
          <w:rStyle w:val="FootnoteReference"/>
        </w:rPr>
        <w:fldChar w:fldCharType="end"/>
      </w:r>
      <w:r w:rsidRPr="00D44CF2">
        <w:t>,</w:t>
      </w:r>
    </w:p>
    <w:p w14:paraId="57CA2E99" w14:textId="46C02ADD" w:rsidR="00A9731B" w:rsidRPr="00D44CF2" w:rsidRDefault="00A9731B" w:rsidP="00A9731B">
      <w:pPr>
        <w:pStyle w:val="ListBullet"/>
        <w:numPr>
          <w:ilvl w:val="0"/>
          <w:numId w:val="48"/>
        </w:numPr>
      </w:pPr>
      <w:r w:rsidRPr="00D44CF2">
        <w:t>terminating Lower Tumut – Wagga 330 kV single-circuit overhead line (line TL51) at Gugga 330 kV</w:t>
      </w:r>
      <w:r w:rsidRPr="00D44CF2">
        <w:rPr>
          <w:rStyle w:val="FootnoteReference"/>
        </w:rPr>
        <w:fldChar w:fldCharType="begin"/>
      </w:r>
      <w:r w:rsidRPr="00D44CF2">
        <w:rPr>
          <w:rStyle w:val="FootnoteReference"/>
        </w:rPr>
        <w:instrText xml:space="preserve"> NOTEREF _Ref208326930 \h  \* MERGEFORMAT </w:instrText>
      </w:r>
      <w:r w:rsidRPr="00D44CF2">
        <w:rPr>
          <w:rStyle w:val="FootnoteReference"/>
        </w:rPr>
      </w:r>
      <w:r w:rsidRPr="00D44CF2">
        <w:rPr>
          <w:rStyle w:val="FootnoteReference"/>
        </w:rPr>
        <w:fldChar w:fldCharType="separate"/>
      </w:r>
      <w:r w:rsidR="004973D2">
        <w:rPr>
          <w:rStyle w:val="FootnoteReference"/>
        </w:rPr>
        <w:t>68</w:t>
      </w:r>
      <w:r w:rsidRPr="00D44CF2">
        <w:rPr>
          <w:rStyle w:val="FootnoteReference"/>
        </w:rPr>
        <w:fldChar w:fldCharType="end"/>
      </w:r>
      <w:r w:rsidRPr="00D44CF2">
        <w:t>,</w:t>
      </w:r>
    </w:p>
    <w:p w14:paraId="026A781B" w14:textId="11B9754E" w:rsidR="00A9731B" w:rsidRPr="00D44CF2" w:rsidRDefault="00A9731B" w:rsidP="00A9731B">
      <w:pPr>
        <w:pStyle w:val="ListBullet"/>
        <w:numPr>
          <w:ilvl w:val="0"/>
          <w:numId w:val="48"/>
        </w:numPr>
      </w:pPr>
      <w:r w:rsidRPr="00D44CF2">
        <w:t>building 330 kV double-circuit overhead line between Gugga and Wagga, using the Line TL51 easement</w:t>
      </w:r>
      <w:r w:rsidRPr="00D44CF2">
        <w:rPr>
          <w:rStyle w:val="FootnoteReference"/>
        </w:rPr>
        <w:fldChar w:fldCharType="begin"/>
      </w:r>
      <w:r w:rsidRPr="00D44CF2">
        <w:rPr>
          <w:rStyle w:val="FootnoteReference"/>
        </w:rPr>
        <w:instrText xml:space="preserve"> NOTEREF _Ref208326930 \h  \* MERGEFORMAT </w:instrText>
      </w:r>
      <w:r w:rsidRPr="00D44CF2">
        <w:rPr>
          <w:rStyle w:val="FootnoteReference"/>
        </w:rPr>
      </w:r>
      <w:r w:rsidRPr="00D44CF2">
        <w:rPr>
          <w:rStyle w:val="FootnoteReference"/>
        </w:rPr>
        <w:fldChar w:fldCharType="separate"/>
      </w:r>
      <w:r w:rsidR="004973D2">
        <w:rPr>
          <w:rStyle w:val="FootnoteReference"/>
        </w:rPr>
        <w:t>68</w:t>
      </w:r>
      <w:r w:rsidRPr="00D44CF2">
        <w:rPr>
          <w:rStyle w:val="FootnoteReference"/>
        </w:rPr>
        <w:fldChar w:fldCharType="end"/>
      </w:r>
      <w:r w:rsidRPr="00D44CF2">
        <w:t>,</w:t>
      </w:r>
    </w:p>
    <w:p w14:paraId="498E5317" w14:textId="77777777" w:rsidR="00A9731B" w:rsidRPr="00D44CF2" w:rsidRDefault="00A9731B" w:rsidP="00A9731B">
      <w:pPr>
        <w:pStyle w:val="ListBullet"/>
        <w:numPr>
          <w:ilvl w:val="0"/>
          <w:numId w:val="48"/>
        </w:numPr>
      </w:pPr>
      <w:r w:rsidRPr="00D44CF2">
        <w:t>cutting in the Eildon to Thomastown 220 kV circuits at South Morang, in place of previously proposed modular power flow controllers, to prevent overloading on the 220 kV line between Eildon and Thomastown,</w:t>
      </w:r>
    </w:p>
    <w:p w14:paraId="7416646F" w14:textId="77777777" w:rsidR="00A9731B" w:rsidRPr="00D44CF2" w:rsidRDefault="00A9731B" w:rsidP="00A9731B">
      <w:pPr>
        <w:pStyle w:val="ListBullet"/>
        <w:numPr>
          <w:ilvl w:val="0"/>
          <w:numId w:val="48"/>
        </w:numPr>
      </w:pPr>
      <w:r w:rsidRPr="00D44CF2">
        <w:t>up to +/- 400 MVAr dynamic reactive compensation at the new 220 kV Tragowel Terminal Station, and</w:t>
      </w:r>
    </w:p>
    <w:p w14:paraId="1A17E752" w14:textId="77777777" w:rsidR="00A9731B" w:rsidRPr="00D44CF2" w:rsidRDefault="00A9731B" w:rsidP="00A9731B">
      <w:pPr>
        <w:pStyle w:val="ListBullet"/>
        <w:numPr>
          <w:ilvl w:val="0"/>
          <w:numId w:val="48"/>
        </w:numPr>
      </w:pPr>
      <w:r w:rsidRPr="00D44CF2">
        <w:t>installing two 120 MVAr reactors at Wagga 330 kV substation for voltage support.</w:t>
      </w:r>
    </w:p>
    <w:p w14:paraId="2211E4F8" w14:textId="77777777" w:rsidR="00A9731B" w:rsidRPr="00D44CF2" w:rsidRDefault="00A9731B" w:rsidP="00A9731B">
      <w:pPr>
        <w:pStyle w:val="CaptionFigure"/>
      </w:pPr>
      <w:bookmarkStart w:id="170" w:name="_Toc180159757"/>
      <w:bookmarkStart w:id="171" w:name="_Toc180159795"/>
      <w:bookmarkStart w:id="172" w:name="_Toc179369179"/>
      <w:bookmarkStart w:id="173" w:name="_Toc179369180"/>
      <w:bookmarkStart w:id="174" w:name="_Toc180159796"/>
      <w:bookmarkStart w:id="175" w:name="_Toc212023354"/>
      <w:bookmarkEnd w:id="170"/>
      <w:bookmarkEnd w:id="171"/>
      <w:bookmarkEnd w:id="172"/>
      <w:bookmarkEnd w:id="173"/>
      <w:r w:rsidRPr="00D44CF2">
        <w:lastRenderedPageBreak/>
        <w:t>Pro</w:t>
      </w:r>
      <w:bookmarkEnd w:id="174"/>
      <w:r w:rsidRPr="00D44CF2">
        <w:t>ject overview map of VNI West</w:t>
      </w:r>
      <w:bookmarkEnd w:id="175"/>
    </w:p>
    <w:p w14:paraId="2389D011" w14:textId="77777777" w:rsidR="00A9731B" w:rsidRPr="00D44CF2" w:rsidRDefault="00A9731B" w:rsidP="00A9731B">
      <w:pPr>
        <w:pStyle w:val="BodyText"/>
      </w:pPr>
      <w:r w:rsidRPr="00D44CF2">
        <w:rPr>
          <w:noProof/>
        </w:rPr>
        <w:drawing>
          <wp:inline distT="0" distB="0" distL="0" distR="0" wp14:anchorId="2CC32CCA" wp14:editId="5509D54C">
            <wp:extent cx="5705056" cy="3283074"/>
            <wp:effectExtent l="0" t="0" r="0" b="0"/>
            <wp:docPr id="1592836790" name="Picture 1" descr="A map of australia with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36790" name="Picture 1" descr="A map of australia with a route&#10;&#10;AI-generated content may be incorrect."/>
                    <pic:cNvPicPr/>
                  </pic:nvPicPr>
                  <pic:blipFill rotWithShape="1">
                    <a:blip r:embed="rId63"/>
                    <a:srcRect t="1426" b="1"/>
                    <a:stretch/>
                  </pic:blipFill>
                  <pic:spPr bwMode="auto">
                    <a:xfrm>
                      <a:off x="0" y="0"/>
                      <a:ext cx="5705056" cy="3283074"/>
                    </a:xfrm>
                    <a:prstGeom prst="rect">
                      <a:avLst/>
                    </a:prstGeom>
                    <a:ln>
                      <a:noFill/>
                    </a:ln>
                    <a:extLst>
                      <a:ext uri="{53640926-AAD7-44D8-BBD7-CCE9431645EC}">
                        <a14:shadowObscured xmlns:a14="http://schemas.microsoft.com/office/drawing/2010/main"/>
                      </a:ext>
                    </a:extLst>
                  </pic:spPr>
                </pic:pic>
              </a:graphicData>
            </a:graphic>
          </wp:inline>
        </w:drawing>
      </w:r>
    </w:p>
    <w:p w14:paraId="78FFEB12" w14:textId="77777777" w:rsidR="00A9731B" w:rsidRPr="00D44CF2" w:rsidRDefault="00A9731B" w:rsidP="00A9731B">
      <w:pPr>
        <w:pStyle w:val="Heading5"/>
      </w:pPr>
      <w:bookmarkStart w:id="176" w:name="_Ref175596612"/>
      <w:bookmarkStart w:id="177" w:name="_Ref176865852"/>
      <w:r w:rsidRPr="00D44CF2">
        <w:t>Metropolitan Melbourne Voltage Management</w:t>
      </w:r>
      <w:bookmarkEnd w:id="176"/>
      <w:bookmarkEnd w:id="177"/>
    </w:p>
    <w:p w14:paraId="0CEA1C03" w14:textId="77777777" w:rsidR="00A9731B" w:rsidRPr="00D44CF2" w:rsidRDefault="00A9731B" w:rsidP="00A9731B">
      <w:pPr>
        <w:pStyle w:val="BodyText"/>
      </w:pPr>
      <w:r w:rsidRPr="00D44CF2">
        <w:t>Investment is required to maintain Victorian DSN voltages in the metropolitan Melbourne region within operational and design limits in a more efficient and cost-effective manner. This investment need</w:t>
      </w:r>
      <w:r w:rsidRPr="00D44CF2" w:rsidDel="00F1250A">
        <w:t xml:space="preserve"> </w:t>
      </w:r>
      <w:r w:rsidRPr="00D44CF2">
        <w:t>is driven by forecast changes in the DSN and the east coast’s broader power system, which are resulting in a need for voltage management support in Metropolitan Melbourne area of Victoria such that voltages can be maintained above lower limits during high demand periods and below upper limits during low demand periods.</w:t>
      </w:r>
    </w:p>
    <w:p w14:paraId="0C4145FB" w14:textId="77777777" w:rsidR="00A9731B" w:rsidRPr="00D44CF2" w:rsidRDefault="00A9731B" w:rsidP="00A9731B">
      <w:pPr>
        <w:pStyle w:val="BodyText"/>
      </w:pPr>
      <w:r w:rsidRPr="00D44CF2">
        <w:t>In December 2024, AVP published the Metropolitan Melbourne Voltage Management RIT-T PACR</w:t>
      </w:r>
      <w:r w:rsidRPr="00D44CF2">
        <w:rPr>
          <w:vertAlign w:val="superscript"/>
        </w:rPr>
        <w:footnoteReference w:id="70"/>
      </w:r>
      <w:r w:rsidRPr="00D44CF2">
        <w:t>, which is the final report of this RIT-T. The PACR</w:t>
      </w:r>
      <w:r w:rsidRPr="00D44CF2" w:rsidDel="00A47FA0">
        <w:t xml:space="preserve"> </w:t>
      </w:r>
      <w:r w:rsidRPr="00D44CF2">
        <w:t>presents the preferred option, which is to progressively install, and contract services from, reactive power assets, including:</w:t>
      </w:r>
    </w:p>
    <w:p w14:paraId="3F266C13" w14:textId="4432BA7F" w:rsidR="00A9731B" w:rsidRPr="00D44CF2" w:rsidRDefault="00A9731B" w:rsidP="00A9731B">
      <w:pPr>
        <w:pStyle w:val="ListBullet"/>
        <w:numPr>
          <w:ilvl w:val="0"/>
          <w:numId w:val="53"/>
        </w:numPr>
      </w:pPr>
      <w:r w:rsidRPr="00D44CF2">
        <w:t xml:space="preserve">three 100 MVAr shunt reactors on the 220 kV level, two at Altona Terminal Station </w:t>
      </w:r>
      <w:r w:rsidR="00FF6D04" w:rsidRPr="00D44CF2">
        <w:t xml:space="preserve">(ATS) </w:t>
      </w:r>
      <w:r w:rsidRPr="00D44CF2">
        <w:t xml:space="preserve"> and one at Brooklyn Terminal Station</w:t>
      </w:r>
      <w:r w:rsidR="00A60B55" w:rsidRPr="00D44CF2">
        <w:t xml:space="preserve"> (BLTS)</w:t>
      </w:r>
      <w:r w:rsidRPr="00D44CF2">
        <w:t>, to be in service by 2029,</w:t>
      </w:r>
    </w:p>
    <w:p w14:paraId="400CF017" w14:textId="77777777" w:rsidR="00A9731B" w:rsidRPr="00D44CF2" w:rsidRDefault="00A9731B" w:rsidP="00A9731B">
      <w:pPr>
        <w:pStyle w:val="ListBullet"/>
        <w:numPr>
          <w:ilvl w:val="0"/>
          <w:numId w:val="53"/>
        </w:numPr>
      </w:pPr>
      <w:r w:rsidRPr="00D44CF2">
        <w:t>one 100 MVAr shunt capacitor on the 220 kV level at Deer Park Terminal Station, to be in service by 2031, and</w:t>
      </w:r>
    </w:p>
    <w:p w14:paraId="4B637E5E" w14:textId="77777777" w:rsidR="00A9731B" w:rsidRPr="00D44CF2" w:rsidRDefault="00A9731B" w:rsidP="00A9731B">
      <w:pPr>
        <w:pStyle w:val="ListBullet"/>
        <w:numPr>
          <w:ilvl w:val="0"/>
          <w:numId w:val="53"/>
        </w:numPr>
      </w:pPr>
      <w:r w:rsidRPr="00D44CF2">
        <w:t>two 100 MVAr shunt capacitors on the 220 kV level, one each at Malvern and Tyabb terminal stations, to be in service by 2034.</w:t>
      </w:r>
    </w:p>
    <w:p w14:paraId="42F3B816" w14:textId="77777777" w:rsidR="00A9731B" w:rsidRPr="00D44CF2" w:rsidRDefault="00A9731B" w:rsidP="00A9731B">
      <w:pPr>
        <w:pStyle w:val="BodyText"/>
      </w:pPr>
      <w:r w:rsidRPr="00D44CF2">
        <w:t>The proposed investments have a total estimated capital cost of $47.5 million (in present value terms) and are forecast to deliver a net present value (NPV) economic benefit of approximately $255.1 million.</w:t>
      </w:r>
    </w:p>
    <w:p w14:paraId="1AE9F8F7" w14:textId="77777777" w:rsidR="00A9731B" w:rsidRPr="00D44CF2" w:rsidRDefault="00A9731B" w:rsidP="00A9731B">
      <w:pPr>
        <w:pStyle w:val="Heading5"/>
      </w:pPr>
      <w:r w:rsidRPr="00D44CF2">
        <w:lastRenderedPageBreak/>
        <w:t>Victorian System Strength Provision</w:t>
      </w:r>
    </w:p>
    <w:p w14:paraId="1D00CE76" w14:textId="77777777" w:rsidR="00A9731B" w:rsidRPr="00D44CF2" w:rsidRDefault="00A9731B" w:rsidP="00A9731B">
      <w:pPr>
        <w:pStyle w:val="BodyText"/>
      </w:pPr>
      <w:r w:rsidRPr="00D44CF2">
        <w:t xml:space="preserve">In October 2021, the Australian Energy Market Commission (AEMC) made its final rule determination on Efficient Management of System Strength on the Power System, which introduced new obligations for System Strength Service Providers (SSSPs). Under NER S5.1.14(b), AVP as the SSSP for Victoria is responsible for proactive provision of system strength services to maintain power system stability and to facilitate efficient IBR connections, as forecast by AEMO in its annual </w:t>
      </w:r>
      <w:r w:rsidRPr="00D44CF2">
        <w:rPr>
          <w:i/>
          <w:iCs/>
        </w:rPr>
        <w:t>System Strength Report</w:t>
      </w:r>
      <w:r w:rsidRPr="00D44CF2">
        <w:rPr>
          <w:vertAlign w:val="superscript"/>
        </w:rPr>
        <w:footnoteReference w:id="71"/>
      </w:r>
      <w:r w:rsidRPr="00D44CF2">
        <w:t xml:space="preserve">. </w:t>
      </w:r>
    </w:p>
    <w:p w14:paraId="42FD3738" w14:textId="34FF56FB" w:rsidR="00A9731B" w:rsidRPr="00D44CF2" w:rsidRDefault="00A9731B" w:rsidP="00A9731B">
      <w:pPr>
        <w:pStyle w:val="BodyText"/>
      </w:pPr>
      <w:r w:rsidRPr="00D44CF2">
        <w:t>In August 2025, AVP published the Victorian System Strength Requirement RIT-T PACR</w:t>
      </w:r>
      <w:r w:rsidRPr="00D44CF2">
        <w:rPr>
          <w:vertAlign w:val="superscript"/>
        </w:rPr>
        <w:footnoteReference w:id="72"/>
      </w:r>
      <w:r w:rsidRPr="00D44CF2">
        <w:t>, which is the final report of this RIT</w:t>
      </w:r>
      <w:r w:rsidRPr="00D44CF2">
        <w:noBreakHyphen/>
        <w:t>T. The PACR</w:t>
      </w:r>
      <w:r w:rsidRPr="00D44CF2" w:rsidDel="00A47FA0">
        <w:t xml:space="preserve"> </w:t>
      </w:r>
      <w:r w:rsidRPr="00D44CF2">
        <w:t xml:space="preserve">confirmed the proposed preferred option portfolio identified in the PADR, which is to progressively install and contract services from existing and future synchronous machines and GFM BESS, as shown in </w:t>
      </w:r>
      <w:r w:rsidRPr="00D44CF2">
        <w:rPr>
          <w:b/>
          <w:bCs/>
        </w:rPr>
        <w:fldChar w:fldCharType="begin"/>
      </w:r>
      <w:r w:rsidRPr="00D44CF2">
        <w:rPr>
          <w:b/>
          <w:bCs/>
        </w:rPr>
        <w:instrText xml:space="preserve"> REF _Ref207196043 \r \h  \* MERGEFORMAT </w:instrText>
      </w:r>
      <w:r w:rsidRPr="00D44CF2">
        <w:rPr>
          <w:b/>
          <w:bCs/>
        </w:rPr>
      </w:r>
      <w:r w:rsidRPr="00D44CF2">
        <w:rPr>
          <w:b/>
          <w:bCs/>
        </w:rPr>
        <w:fldChar w:fldCharType="separate"/>
      </w:r>
      <w:r w:rsidR="004973D2">
        <w:rPr>
          <w:b/>
          <w:bCs/>
        </w:rPr>
        <w:t>Table 8</w:t>
      </w:r>
      <w:r w:rsidRPr="00D44CF2">
        <w:rPr>
          <w:b/>
          <w:bCs/>
        </w:rPr>
        <w:fldChar w:fldCharType="end"/>
      </w:r>
      <w:r w:rsidRPr="00D44CF2">
        <w:t xml:space="preserve">. </w:t>
      </w:r>
    </w:p>
    <w:p w14:paraId="073C3B96" w14:textId="77777777" w:rsidR="00A9731B" w:rsidRPr="00D44CF2" w:rsidRDefault="00A9731B" w:rsidP="00A9731B">
      <w:pPr>
        <w:pStyle w:val="CaptionTable"/>
      </w:pPr>
      <w:bookmarkStart w:id="178" w:name="_Ref207196043"/>
      <w:bookmarkStart w:id="179" w:name="_Toc212023312"/>
      <w:r w:rsidRPr="00D44CF2">
        <w:t>Victorian System Strength Requirement RIT-T – Option portfolio 3 – Summary of components</w:t>
      </w:r>
      <w:bookmarkEnd w:id="178"/>
      <w:bookmarkEnd w:id="179"/>
      <w:r w:rsidRPr="00D44CF2">
        <w:t xml:space="preserve"> </w:t>
      </w:r>
    </w:p>
    <w:tbl>
      <w:tblPr>
        <w:tblStyle w:val="AEMO-Table4"/>
        <w:tblW w:w="9978" w:type="dxa"/>
        <w:tblLook w:val="04A0" w:firstRow="1" w:lastRow="0" w:firstColumn="1" w:lastColumn="0" w:noHBand="0" w:noVBand="1"/>
      </w:tblPr>
      <w:tblGrid>
        <w:gridCol w:w="907"/>
        <w:gridCol w:w="5102"/>
        <w:gridCol w:w="3969"/>
      </w:tblGrid>
      <w:tr w:rsidR="002E69BB" w:rsidRPr="00D44CF2" w14:paraId="3CFBD2E1"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2CC68D9C" w14:textId="77777777" w:rsidR="00A9731B" w:rsidRPr="00D44CF2" w:rsidRDefault="00A9731B" w:rsidP="001A3F5B">
            <w:pPr>
              <w:pStyle w:val="TableText"/>
              <w:rPr>
                <w:b w:val="0"/>
                <w:color w:val="FFFFFF"/>
                <w:lang w:eastAsia="en-AU"/>
              </w:rPr>
            </w:pPr>
            <w:r w:rsidRPr="00D44CF2">
              <w:rPr>
                <w:lang w:eastAsia="en-AU"/>
              </w:rPr>
              <w:t>Financial year</w:t>
            </w:r>
          </w:p>
        </w:tc>
        <w:tc>
          <w:tcPr>
            <w:tcW w:w="5102" w:type="dxa"/>
            <w:noWrap/>
            <w:hideMark/>
          </w:tcPr>
          <w:p w14:paraId="58336247"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rPr>
                <w:b w:val="0"/>
                <w:color w:val="FFFFFF"/>
                <w:lang w:eastAsia="en-AU"/>
              </w:rPr>
            </w:pPr>
            <w:r w:rsidRPr="00D44CF2">
              <w:rPr>
                <w:lang w:eastAsia="en-AU"/>
              </w:rPr>
              <w:t>Minimum fault levels</w:t>
            </w:r>
          </w:p>
        </w:tc>
        <w:tc>
          <w:tcPr>
            <w:tcW w:w="3969" w:type="dxa"/>
            <w:noWrap/>
            <w:hideMark/>
          </w:tcPr>
          <w:p w14:paraId="464E1802"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rPr>
                <w:b w:val="0"/>
                <w:color w:val="FFFFFF"/>
                <w:lang w:eastAsia="en-AU"/>
              </w:rPr>
            </w:pPr>
            <w:r w:rsidRPr="00D44CF2">
              <w:rPr>
                <w:color w:val="FFFFFF"/>
                <w:lang w:eastAsia="en-AU"/>
              </w:rPr>
              <w:t>Efficient level</w:t>
            </w:r>
          </w:p>
        </w:tc>
      </w:tr>
      <w:tr w:rsidR="00A9731B" w:rsidRPr="00D44CF2" w14:paraId="691E1C83"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23D5C686" w14:textId="0711DD6B" w:rsidR="00A9731B" w:rsidRPr="00D44CF2" w:rsidRDefault="00444D66" w:rsidP="001A3F5B">
            <w:pPr>
              <w:pStyle w:val="TableText"/>
              <w:rPr>
                <w:b w:val="0"/>
                <w:color w:val="6B3077"/>
                <w:lang w:eastAsia="en-AU"/>
              </w:rPr>
            </w:pPr>
            <w:r>
              <w:rPr>
                <w:color w:val="6B3077"/>
                <w:lang w:eastAsia="en-AU"/>
              </w:rPr>
              <w:t>2025-26</w:t>
            </w:r>
          </w:p>
        </w:tc>
        <w:tc>
          <w:tcPr>
            <w:tcW w:w="5102" w:type="dxa"/>
            <w:vMerge w:val="restart"/>
            <w:hideMark/>
          </w:tcPr>
          <w:p w14:paraId="5B2DD2C7"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r w:rsidRPr="00D44CF2">
              <w:rPr>
                <w:lang w:eastAsia="en-AU"/>
              </w:rPr>
              <w:t>Existing generators, including conversion of some units to be capable of operating in synchronous condenser mode</w:t>
            </w:r>
            <w:r w:rsidRPr="00D44CF2">
              <w:br/>
            </w:r>
            <w:r w:rsidRPr="00D44CF2">
              <w:rPr>
                <w:lang w:eastAsia="en-AU"/>
              </w:rPr>
              <w:t>1 x Existing synchronous condenser at the Red Cliffs system strength node (SSN)</w:t>
            </w:r>
          </w:p>
        </w:tc>
        <w:tc>
          <w:tcPr>
            <w:tcW w:w="3969" w:type="dxa"/>
            <w:vMerge w:val="restart"/>
            <w:hideMark/>
          </w:tcPr>
          <w:p w14:paraId="07FBFCCE"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r w:rsidRPr="00D44CF2">
              <w:rPr>
                <w:lang w:eastAsia="en-AU"/>
              </w:rPr>
              <w:t>Covered by minimum fault level requirements</w:t>
            </w:r>
          </w:p>
        </w:tc>
      </w:tr>
      <w:tr w:rsidR="00A9731B" w:rsidRPr="00D44CF2" w14:paraId="63090D27"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4338B7D7" w14:textId="196D456C" w:rsidR="00A9731B" w:rsidRPr="00D44CF2" w:rsidRDefault="00A9731B" w:rsidP="001A3F5B">
            <w:pPr>
              <w:pStyle w:val="TableText"/>
              <w:rPr>
                <w:b w:val="0"/>
                <w:color w:val="6B3077"/>
                <w:lang w:eastAsia="en-AU"/>
              </w:rPr>
            </w:pPr>
            <w:r w:rsidRPr="00D44CF2">
              <w:rPr>
                <w:color w:val="6B3077"/>
                <w:lang w:eastAsia="en-AU"/>
              </w:rPr>
              <w:t>202</w:t>
            </w:r>
            <w:r w:rsidR="00444D66">
              <w:rPr>
                <w:color w:val="6B3077"/>
                <w:lang w:eastAsia="en-AU"/>
              </w:rPr>
              <w:t>6</w:t>
            </w:r>
            <w:r w:rsidR="001550CD" w:rsidRPr="00D44CF2">
              <w:rPr>
                <w:color w:val="6B3077"/>
                <w:lang w:eastAsia="en-AU"/>
              </w:rPr>
              <w:t>-2</w:t>
            </w:r>
            <w:r w:rsidR="00444D66">
              <w:rPr>
                <w:color w:val="6B3077"/>
                <w:lang w:eastAsia="en-AU"/>
              </w:rPr>
              <w:t>7</w:t>
            </w:r>
          </w:p>
        </w:tc>
        <w:tc>
          <w:tcPr>
            <w:tcW w:w="5102" w:type="dxa"/>
            <w:vMerge/>
            <w:hideMark/>
          </w:tcPr>
          <w:p w14:paraId="71F17C4F"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p>
        </w:tc>
        <w:tc>
          <w:tcPr>
            <w:tcW w:w="3969" w:type="dxa"/>
            <w:vMerge/>
            <w:hideMark/>
          </w:tcPr>
          <w:p w14:paraId="583ACE4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p>
        </w:tc>
      </w:tr>
      <w:tr w:rsidR="00A9731B" w:rsidRPr="00D44CF2" w14:paraId="64ACA975"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6D4A7F4F" w14:textId="078EBBEE" w:rsidR="00A9731B" w:rsidRPr="00D44CF2" w:rsidRDefault="00A9731B" w:rsidP="001A3F5B">
            <w:pPr>
              <w:pStyle w:val="TableText"/>
              <w:rPr>
                <w:b w:val="0"/>
                <w:color w:val="6B3077"/>
                <w:lang w:eastAsia="en-AU"/>
              </w:rPr>
            </w:pPr>
            <w:r w:rsidRPr="00D44CF2">
              <w:rPr>
                <w:color w:val="6B3077"/>
                <w:lang w:eastAsia="en-AU"/>
              </w:rPr>
              <w:t>202</w:t>
            </w:r>
            <w:r w:rsidR="00444D66">
              <w:rPr>
                <w:color w:val="6B3077"/>
                <w:lang w:eastAsia="en-AU"/>
              </w:rPr>
              <w:t>7</w:t>
            </w:r>
            <w:r w:rsidR="001550CD" w:rsidRPr="00D44CF2">
              <w:rPr>
                <w:color w:val="6B3077"/>
                <w:lang w:eastAsia="en-AU"/>
              </w:rPr>
              <w:t>-2</w:t>
            </w:r>
            <w:r w:rsidR="00444D66">
              <w:rPr>
                <w:color w:val="6B3077"/>
                <w:lang w:eastAsia="en-AU"/>
              </w:rPr>
              <w:t>8</w:t>
            </w:r>
          </w:p>
        </w:tc>
        <w:tc>
          <w:tcPr>
            <w:tcW w:w="5102" w:type="dxa"/>
            <w:vMerge/>
            <w:hideMark/>
          </w:tcPr>
          <w:p w14:paraId="5E02FA5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p>
        </w:tc>
        <w:tc>
          <w:tcPr>
            <w:tcW w:w="3969" w:type="dxa"/>
            <w:hideMark/>
          </w:tcPr>
          <w:p w14:paraId="334B23E4"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r w:rsidRPr="00D44CF2">
              <w:t>900 MW GFM BESS Moorabool SSN</w:t>
            </w:r>
          </w:p>
        </w:tc>
      </w:tr>
      <w:tr w:rsidR="00A9731B" w:rsidRPr="00D44CF2" w14:paraId="590EE3A3"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4EEDE038" w14:textId="639C43EA" w:rsidR="00A9731B" w:rsidRPr="00D44CF2" w:rsidRDefault="00A9731B" w:rsidP="001A3F5B">
            <w:pPr>
              <w:pStyle w:val="TableText"/>
              <w:rPr>
                <w:b w:val="0"/>
                <w:color w:val="6B3077"/>
                <w:lang w:eastAsia="en-AU"/>
              </w:rPr>
            </w:pPr>
            <w:r w:rsidRPr="00D44CF2">
              <w:rPr>
                <w:color w:val="6B3077"/>
                <w:lang w:eastAsia="en-AU"/>
              </w:rPr>
              <w:t>202</w:t>
            </w:r>
            <w:r w:rsidR="00444D66">
              <w:rPr>
                <w:color w:val="6B3077"/>
                <w:lang w:eastAsia="en-AU"/>
              </w:rPr>
              <w:t>8</w:t>
            </w:r>
            <w:r w:rsidR="001550CD" w:rsidRPr="00D44CF2">
              <w:rPr>
                <w:color w:val="6B3077"/>
                <w:lang w:eastAsia="en-AU"/>
              </w:rPr>
              <w:t>-</w:t>
            </w:r>
            <w:r w:rsidR="00444D66">
              <w:rPr>
                <w:color w:val="6B3077"/>
                <w:lang w:eastAsia="en-AU"/>
              </w:rPr>
              <w:t>29</w:t>
            </w:r>
          </w:p>
        </w:tc>
        <w:tc>
          <w:tcPr>
            <w:tcW w:w="5102" w:type="dxa"/>
            <w:vMerge w:val="restart"/>
            <w:hideMark/>
          </w:tcPr>
          <w:p w14:paraId="16BFA1B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r w:rsidRPr="00D44CF2">
              <w:rPr>
                <w:lang w:eastAsia="en-AU"/>
              </w:rPr>
              <w:t>Same as 2028 +</w:t>
            </w:r>
            <w:r w:rsidRPr="00D44CF2">
              <w:br/>
            </w:r>
            <w:r w:rsidRPr="00D44CF2">
              <w:rPr>
                <w:lang w:eastAsia="en-AU"/>
              </w:rPr>
              <w:t xml:space="preserve">2 x synchronous condensers Hazelwood SSN </w:t>
            </w:r>
          </w:p>
        </w:tc>
        <w:tc>
          <w:tcPr>
            <w:tcW w:w="3969" w:type="dxa"/>
            <w:vMerge w:val="restart"/>
            <w:hideMark/>
          </w:tcPr>
          <w:p w14:paraId="50AB5CAB"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r w:rsidRPr="00D44CF2">
              <w:rPr>
                <w:lang w:eastAsia="en-AU"/>
              </w:rPr>
              <w:t>Same as 2028 +</w:t>
            </w:r>
            <w:r w:rsidRPr="00D44CF2">
              <w:br/>
            </w:r>
            <w:r w:rsidRPr="00D44CF2">
              <w:rPr>
                <w:lang w:eastAsia="en-AU"/>
              </w:rPr>
              <w:t>350 MW grid-following (GFL) to GFM BESS Hazelwood SSN</w:t>
            </w:r>
          </w:p>
        </w:tc>
      </w:tr>
      <w:tr w:rsidR="00A9731B" w:rsidRPr="00D44CF2" w14:paraId="5049F218"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2B3FC40D" w14:textId="3B5029ED" w:rsidR="00A9731B" w:rsidRPr="00D44CF2" w:rsidRDefault="00A9731B" w:rsidP="001A3F5B">
            <w:pPr>
              <w:pStyle w:val="TableText"/>
              <w:rPr>
                <w:b w:val="0"/>
                <w:color w:val="6B3077"/>
                <w:lang w:eastAsia="en-AU"/>
              </w:rPr>
            </w:pPr>
            <w:r w:rsidRPr="00D44CF2">
              <w:rPr>
                <w:color w:val="6B3077"/>
                <w:lang w:eastAsia="en-AU"/>
              </w:rPr>
              <w:t>20</w:t>
            </w:r>
            <w:r w:rsidR="00444D66">
              <w:rPr>
                <w:color w:val="6B3077"/>
                <w:lang w:eastAsia="en-AU"/>
              </w:rPr>
              <w:t>29</w:t>
            </w:r>
            <w:r w:rsidR="001550CD" w:rsidRPr="00D44CF2">
              <w:rPr>
                <w:color w:val="6B3077"/>
                <w:lang w:eastAsia="en-AU"/>
              </w:rPr>
              <w:t>-3</w:t>
            </w:r>
            <w:r w:rsidR="00444D66">
              <w:rPr>
                <w:color w:val="6B3077"/>
                <w:lang w:eastAsia="en-AU"/>
              </w:rPr>
              <w:t>0</w:t>
            </w:r>
          </w:p>
        </w:tc>
        <w:tc>
          <w:tcPr>
            <w:tcW w:w="5102" w:type="dxa"/>
            <w:vMerge/>
            <w:hideMark/>
          </w:tcPr>
          <w:p w14:paraId="4850E66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p>
        </w:tc>
        <w:tc>
          <w:tcPr>
            <w:tcW w:w="3969" w:type="dxa"/>
            <w:vMerge/>
            <w:hideMark/>
          </w:tcPr>
          <w:p w14:paraId="62A4331E"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p>
        </w:tc>
      </w:tr>
      <w:tr w:rsidR="00A9731B" w:rsidRPr="00D44CF2" w14:paraId="4BB72067"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3FD967A6" w14:textId="63D98640" w:rsidR="00A9731B" w:rsidRPr="00D44CF2" w:rsidRDefault="00A9731B" w:rsidP="001A3F5B">
            <w:pPr>
              <w:pStyle w:val="TableText"/>
              <w:rPr>
                <w:b w:val="0"/>
                <w:color w:val="6B3077"/>
                <w:lang w:eastAsia="en-AU"/>
              </w:rPr>
            </w:pPr>
            <w:r w:rsidRPr="00D44CF2">
              <w:rPr>
                <w:color w:val="6B3077"/>
                <w:lang w:eastAsia="en-AU"/>
              </w:rPr>
              <w:t>203</w:t>
            </w:r>
            <w:r w:rsidR="00444D66">
              <w:rPr>
                <w:color w:val="6B3077"/>
                <w:lang w:eastAsia="en-AU"/>
              </w:rPr>
              <w:t>0</w:t>
            </w:r>
            <w:r w:rsidR="001550CD" w:rsidRPr="00D44CF2">
              <w:rPr>
                <w:color w:val="6B3077"/>
                <w:lang w:eastAsia="en-AU"/>
              </w:rPr>
              <w:t>-3</w:t>
            </w:r>
            <w:r w:rsidR="00444D66">
              <w:rPr>
                <w:color w:val="6B3077"/>
                <w:lang w:eastAsia="en-AU"/>
              </w:rPr>
              <w:t>1</w:t>
            </w:r>
          </w:p>
        </w:tc>
        <w:tc>
          <w:tcPr>
            <w:tcW w:w="5102" w:type="dxa"/>
            <w:vMerge w:val="restart"/>
            <w:hideMark/>
          </w:tcPr>
          <w:p w14:paraId="126A187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rPr>
                <w:lang w:eastAsia="en-AU"/>
              </w:rPr>
              <w:t>Same as 2030 +</w:t>
            </w:r>
            <w:r w:rsidRPr="00D44CF2">
              <w:rPr>
                <w:lang w:eastAsia="en-AU"/>
              </w:rPr>
              <w:br/>
              <w:t xml:space="preserve">1 x synchronous condenser Hazelwood SSN </w:t>
            </w:r>
          </w:p>
        </w:tc>
        <w:tc>
          <w:tcPr>
            <w:tcW w:w="3969" w:type="dxa"/>
            <w:vMerge/>
            <w:hideMark/>
          </w:tcPr>
          <w:p w14:paraId="0B3A03F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p>
        </w:tc>
      </w:tr>
      <w:tr w:rsidR="00A9731B" w:rsidRPr="00D44CF2" w14:paraId="3DE4DEC2"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4B62EB0E" w14:textId="6AA277BC" w:rsidR="00A9731B" w:rsidRPr="00D44CF2" w:rsidRDefault="00A9731B" w:rsidP="001A3F5B">
            <w:pPr>
              <w:pStyle w:val="TableText"/>
              <w:rPr>
                <w:b w:val="0"/>
                <w:color w:val="6B3077"/>
                <w:lang w:eastAsia="en-AU"/>
              </w:rPr>
            </w:pPr>
            <w:r w:rsidRPr="00D44CF2">
              <w:rPr>
                <w:color w:val="6B3077"/>
                <w:lang w:eastAsia="en-AU"/>
              </w:rPr>
              <w:t>203</w:t>
            </w:r>
            <w:r w:rsidR="00444D66">
              <w:rPr>
                <w:color w:val="6B3077"/>
                <w:lang w:eastAsia="en-AU"/>
              </w:rPr>
              <w:t>1</w:t>
            </w:r>
            <w:r w:rsidR="001550CD" w:rsidRPr="00D44CF2">
              <w:rPr>
                <w:color w:val="6B3077"/>
                <w:lang w:eastAsia="en-AU"/>
              </w:rPr>
              <w:t>-3</w:t>
            </w:r>
            <w:r w:rsidR="00444D66">
              <w:rPr>
                <w:color w:val="6B3077"/>
                <w:lang w:eastAsia="en-AU"/>
              </w:rPr>
              <w:t>2</w:t>
            </w:r>
          </w:p>
        </w:tc>
        <w:tc>
          <w:tcPr>
            <w:tcW w:w="5102" w:type="dxa"/>
            <w:vMerge/>
            <w:hideMark/>
          </w:tcPr>
          <w:p w14:paraId="2CE0578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p>
        </w:tc>
        <w:tc>
          <w:tcPr>
            <w:tcW w:w="3969" w:type="dxa"/>
            <w:hideMark/>
          </w:tcPr>
          <w:p w14:paraId="358B5912"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rPr>
                <w:lang w:eastAsia="en-AU"/>
              </w:rPr>
              <w:t>Same as 2031 +</w:t>
            </w:r>
            <w:r w:rsidRPr="00D44CF2">
              <w:rPr>
                <w:lang w:eastAsia="en-AU"/>
              </w:rPr>
              <w:br/>
              <w:t>500 MW GFL to GFM BESS Hazelwood SSN</w:t>
            </w:r>
            <w:r w:rsidRPr="00D44CF2">
              <w:rPr>
                <w:lang w:eastAsia="en-AU"/>
              </w:rPr>
              <w:br/>
              <w:t>350 MW GFL to GFM BESS Moorabool SSN</w:t>
            </w:r>
            <w:r w:rsidRPr="00D44CF2">
              <w:rPr>
                <w:lang w:eastAsia="en-AU"/>
              </w:rPr>
              <w:br/>
              <w:t xml:space="preserve">400 MW ISP forecast GFM BESS Hazelwood SSN </w:t>
            </w:r>
          </w:p>
        </w:tc>
      </w:tr>
      <w:tr w:rsidR="00A9731B" w:rsidRPr="00D44CF2" w14:paraId="4B80E3F9"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10427C71" w14:textId="35329D61" w:rsidR="00A9731B" w:rsidRPr="00D44CF2" w:rsidRDefault="00A9731B" w:rsidP="001A3F5B">
            <w:pPr>
              <w:pStyle w:val="TableText"/>
              <w:rPr>
                <w:b w:val="0"/>
                <w:color w:val="6B3077"/>
                <w:lang w:eastAsia="en-AU"/>
              </w:rPr>
            </w:pPr>
            <w:r w:rsidRPr="00D44CF2">
              <w:rPr>
                <w:color w:val="6B3077"/>
                <w:lang w:eastAsia="en-AU"/>
              </w:rPr>
              <w:t>203</w:t>
            </w:r>
            <w:r w:rsidR="00444D66">
              <w:rPr>
                <w:color w:val="6B3077"/>
                <w:lang w:eastAsia="en-AU"/>
              </w:rPr>
              <w:t>2</w:t>
            </w:r>
            <w:r w:rsidR="001550CD" w:rsidRPr="00D44CF2">
              <w:rPr>
                <w:color w:val="6B3077"/>
                <w:lang w:eastAsia="en-AU"/>
              </w:rPr>
              <w:t>-3</w:t>
            </w:r>
            <w:r w:rsidR="00444D66">
              <w:rPr>
                <w:color w:val="6B3077"/>
                <w:lang w:eastAsia="en-AU"/>
              </w:rPr>
              <w:t>3</w:t>
            </w:r>
          </w:p>
        </w:tc>
        <w:tc>
          <w:tcPr>
            <w:tcW w:w="5102" w:type="dxa"/>
            <w:vMerge/>
            <w:hideMark/>
          </w:tcPr>
          <w:p w14:paraId="61ACA4D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p>
        </w:tc>
        <w:tc>
          <w:tcPr>
            <w:tcW w:w="3969" w:type="dxa"/>
            <w:vMerge w:val="restart"/>
            <w:hideMark/>
          </w:tcPr>
          <w:p w14:paraId="373D7366"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Same as 2032 +</w:t>
            </w:r>
            <w:r w:rsidRPr="00D44CF2">
              <w:br/>
              <w:t>300 MW GFL to GFM BESS Moorabool SSN</w:t>
            </w:r>
          </w:p>
        </w:tc>
      </w:tr>
      <w:tr w:rsidR="00A9731B" w:rsidRPr="00D44CF2" w14:paraId="3E2BEF81"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2AB6B215" w14:textId="3E928DF8" w:rsidR="00A9731B" w:rsidRPr="00D44CF2" w:rsidRDefault="00A9731B" w:rsidP="001A3F5B">
            <w:pPr>
              <w:pStyle w:val="TableText"/>
              <w:rPr>
                <w:b w:val="0"/>
                <w:color w:val="6B3077"/>
                <w:lang w:eastAsia="en-AU"/>
              </w:rPr>
            </w:pPr>
            <w:r w:rsidRPr="00D44CF2">
              <w:rPr>
                <w:color w:val="6B3077"/>
                <w:lang w:eastAsia="en-AU"/>
              </w:rPr>
              <w:t>203</w:t>
            </w:r>
            <w:r w:rsidR="00444D66">
              <w:rPr>
                <w:color w:val="6B3077"/>
                <w:lang w:eastAsia="en-AU"/>
              </w:rPr>
              <w:t>3-</w:t>
            </w:r>
            <w:r w:rsidR="001550CD" w:rsidRPr="00D44CF2">
              <w:rPr>
                <w:color w:val="6B3077"/>
                <w:lang w:eastAsia="en-AU"/>
              </w:rPr>
              <w:t>3</w:t>
            </w:r>
            <w:r w:rsidR="00444D66">
              <w:rPr>
                <w:color w:val="6B3077"/>
                <w:lang w:eastAsia="en-AU"/>
              </w:rPr>
              <w:t>4</w:t>
            </w:r>
          </w:p>
        </w:tc>
        <w:tc>
          <w:tcPr>
            <w:tcW w:w="5102" w:type="dxa"/>
            <w:hideMark/>
          </w:tcPr>
          <w:p w14:paraId="3DDA9550"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r w:rsidRPr="00D44CF2">
              <w:rPr>
                <w:lang w:eastAsia="en-AU"/>
              </w:rPr>
              <w:t xml:space="preserve">Same as 2033 + </w:t>
            </w:r>
            <w:r w:rsidRPr="00D44CF2">
              <w:br/>
            </w:r>
            <w:r w:rsidRPr="00D44CF2">
              <w:rPr>
                <w:lang w:eastAsia="en-AU"/>
              </w:rPr>
              <w:t xml:space="preserve">1 x synchronous condenser Hazelwood SSN </w:t>
            </w:r>
          </w:p>
        </w:tc>
        <w:tc>
          <w:tcPr>
            <w:tcW w:w="3969" w:type="dxa"/>
            <w:vMerge/>
            <w:hideMark/>
          </w:tcPr>
          <w:p w14:paraId="059EF50F"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p>
        </w:tc>
      </w:tr>
      <w:tr w:rsidR="00A9731B" w:rsidRPr="00D44CF2" w14:paraId="7BB367EE"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36900467" w14:textId="2D45F63F" w:rsidR="00A9731B" w:rsidRPr="00D44CF2" w:rsidRDefault="00A9731B" w:rsidP="001A3F5B">
            <w:pPr>
              <w:pStyle w:val="TableText"/>
              <w:rPr>
                <w:b w:val="0"/>
                <w:color w:val="6B3077"/>
                <w:lang w:eastAsia="en-AU"/>
              </w:rPr>
            </w:pPr>
            <w:r w:rsidRPr="00D44CF2">
              <w:rPr>
                <w:color w:val="6B3077"/>
                <w:lang w:eastAsia="en-AU"/>
              </w:rPr>
              <w:t>203</w:t>
            </w:r>
            <w:r w:rsidR="00444D66">
              <w:rPr>
                <w:color w:val="6B3077"/>
                <w:lang w:eastAsia="en-AU"/>
              </w:rPr>
              <w:t>4</w:t>
            </w:r>
            <w:r w:rsidR="001550CD" w:rsidRPr="00D44CF2">
              <w:rPr>
                <w:color w:val="6B3077"/>
                <w:lang w:eastAsia="en-AU"/>
              </w:rPr>
              <w:t>-3</w:t>
            </w:r>
            <w:r w:rsidR="00444D66">
              <w:rPr>
                <w:color w:val="6B3077"/>
                <w:lang w:eastAsia="en-AU"/>
              </w:rPr>
              <w:t>5</w:t>
            </w:r>
          </w:p>
        </w:tc>
        <w:tc>
          <w:tcPr>
            <w:tcW w:w="5102" w:type="dxa"/>
          </w:tcPr>
          <w:p w14:paraId="4E05A36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p>
        </w:tc>
        <w:tc>
          <w:tcPr>
            <w:tcW w:w="3969" w:type="dxa"/>
          </w:tcPr>
          <w:p w14:paraId="495AAB44"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Same as 2034 + </w:t>
            </w:r>
          </w:p>
          <w:p w14:paraId="36692B6B"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r w:rsidRPr="00D44CF2">
              <w:t>65 MW GFM BESS Red Cliffs SSN +</w:t>
            </w:r>
            <w:r w:rsidRPr="00D44CF2">
              <w:br/>
              <w:t xml:space="preserve">1 x 500 kV </w:t>
            </w:r>
            <w:r w:rsidRPr="00D44CF2">
              <w:rPr>
                <w:lang w:eastAsia="en-AU"/>
              </w:rPr>
              <w:t>synchronous condenser</w:t>
            </w:r>
            <w:r w:rsidRPr="00D44CF2">
              <w:t xml:space="preserve"> Giffard (Gippsland) Offshore Wind Hub</w:t>
            </w:r>
            <w:r w:rsidRPr="00D44CF2">
              <w:rPr>
                <w:color w:val="424242"/>
                <w:lang w:eastAsia="en-AU"/>
              </w:rPr>
              <w:t xml:space="preserve"> </w:t>
            </w:r>
          </w:p>
        </w:tc>
      </w:tr>
      <w:tr w:rsidR="00A9731B" w:rsidRPr="00D44CF2" w14:paraId="6D3CDB21"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907" w:type="dxa"/>
            <w:noWrap/>
            <w:hideMark/>
          </w:tcPr>
          <w:p w14:paraId="2CA72147" w14:textId="72F81989" w:rsidR="00A9731B" w:rsidRPr="00D44CF2" w:rsidRDefault="00A9731B" w:rsidP="001A3F5B">
            <w:pPr>
              <w:pStyle w:val="TableText"/>
              <w:rPr>
                <w:b w:val="0"/>
                <w:color w:val="6B3077"/>
                <w:lang w:eastAsia="en-AU"/>
              </w:rPr>
            </w:pPr>
            <w:r w:rsidRPr="00D44CF2">
              <w:rPr>
                <w:color w:val="6B3077"/>
                <w:lang w:eastAsia="en-AU"/>
              </w:rPr>
              <w:t>203</w:t>
            </w:r>
            <w:r w:rsidR="00444D66">
              <w:rPr>
                <w:color w:val="6B3077"/>
                <w:lang w:eastAsia="en-AU"/>
              </w:rPr>
              <w:t>5</w:t>
            </w:r>
            <w:r w:rsidR="00DA3318" w:rsidRPr="00D44CF2">
              <w:rPr>
                <w:color w:val="6B3077"/>
                <w:lang w:eastAsia="en-AU"/>
              </w:rPr>
              <w:t>-3</w:t>
            </w:r>
            <w:r w:rsidR="00931287">
              <w:rPr>
                <w:color w:val="6B3077"/>
                <w:lang w:eastAsia="en-AU"/>
              </w:rPr>
              <w:t>6</w:t>
            </w:r>
          </w:p>
        </w:tc>
        <w:tc>
          <w:tcPr>
            <w:tcW w:w="5102" w:type="dxa"/>
            <w:hideMark/>
          </w:tcPr>
          <w:p w14:paraId="22B4788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p>
        </w:tc>
        <w:tc>
          <w:tcPr>
            <w:tcW w:w="3969" w:type="dxa"/>
          </w:tcPr>
          <w:p w14:paraId="0080EE26"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color w:val="424242"/>
                <w:lang w:eastAsia="en-AU"/>
              </w:rPr>
            </w:pPr>
          </w:p>
        </w:tc>
      </w:tr>
    </w:tbl>
    <w:p w14:paraId="52AF6B16" w14:textId="77777777" w:rsidR="00A9731B" w:rsidRPr="00D44CF2" w:rsidRDefault="00A9731B" w:rsidP="00A9731B">
      <w:pPr>
        <w:pStyle w:val="TableFigureFootnote"/>
        <w:spacing w:after="0"/>
      </w:pPr>
      <w:r w:rsidRPr="00D44CF2">
        <w:t xml:space="preserve">Notes: </w:t>
      </w:r>
    </w:p>
    <w:p w14:paraId="2EAC182A" w14:textId="4DF8C8E2" w:rsidR="00A9731B" w:rsidRPr="00D44CF2" w:rsidRDefault="00A9731B" w:rsidP="00A9731B">
      <w:pPr>
        <w:pStyle w:val="TableFigureFootnoteBullet"/>
        <w:spacing w:line="242" w:lineRule="auto"/>
      </w:pPr>
      <w:r w:rsidRPr="00D44CF2">
        <w:t xml:space="preserve">As specified in Table 2, AVP, 2025 Victorian System Strength Requirement PACR, at </w:t>
      </w:r>
      <w:hyperlink r:id="rId64" w:history="1">
        <w:r w:rsidRPr="00D44CF2">
          <w:rPr>
            <w:rStyle w:val="Hyperlink"/>
          </w:rPr>
          <w:t>https://aemo.com.au/in</w:t>
        </w:r>
        <w:bookmarkStart w:id="180" w:name="_Hlt211364186"/>
        <w:bookmarkStart w:id="181" w:name="_Hlt211364187"/>
        <w:r w:rsidRPr="00D44CF2">
          <w:rPr>
            <w:rStyle w:val="Hyperlink"/>
          </w:rPr>
          <w:t>i</w:t>
        </w:r>
        <w:bookmarkEnd w:id="180"/>
        <w:bookmarkEnd w:id="181"/>
        <w:r w:rsidRPr="00D44CF2">
          <w:rPr>
            <w:rStyle w:val="Hyperlink"/>
          </w:rPr>
          <w:t>tiatives/major-programs/victorian-system-strength-requirement-regulatory-investment-test-for-transmission</w:t>
        </w:r>
      </w:hyperlink>
    </w:p>
    <w:p w14:paraId="1B27CFB0" w14:textId="77777777" w:rsidR="00A9731B" w:rsidRPr="00D44CF2" w:rsidRDefault="00A9731B" w:rsidP="00A9731B">
      <w:pPr>
        <w:pStyle w:val="TableFigureFootnoteBullet"/>
        <w:spacing w:line="242" w:lineRule="auto"/>
      </w:pPr>
      <w:r w:rsidRPr="00D44CF2">
        <w:t>Option portfolio 3 (as well as all other option portfolios) also assumes two synchronous condensers at Buronga in each of 2026 and 2027 as part of EnergyConnect Stage 1 and Stage 2, respectively. These four synchronous condensers have not been shown in the table above since, while the portfolio options rely on them as an interstate contribution, AVP is not proposing to contract them and they form part of the assumed interstate contribution (which has been factored into the options portfolio development process).</w:t>
      </w:r>
    </w:p>
    <w:p w14:paraId="615750E7" w14:textId="77777777" w:rsidR="00A9731B" w:rsidRPr="00D44CF2" w:rsidRDefault="00A9731B" w:rsidP="00A9731B">
      <w:pPr>
        <w:pStyle w:val="TableFigureFootnoteBullet"/>
      </w:pPr>
      <w:r w:rsidRPr="00D44CF2">
        <w:t xml:space="preserve">‘Same as 2028’ (and this language used with reference to other years in this table) refers to the same components as that year but, where the use of existing synchronous generation is included in this, it does not imply the same </w:t>
      </w:r>
      <w:r w:rsidRPr="00D44CF2">
        <w:rPr>
          <w:i/>
          <w:iCs/>
        </w:rPr>
        <w:t>operation</w:t>
      </w:r>
      <w:r w:rsidRPr="00D44CF2">
        <w:t xml:space="preserve"> of these units between years.</w:t>
      </w:r>
    </w:p>
    <w:p w14:paraId="6DC79012" w14:textId="77777777" w:rsidR="00A9731B" w:rsidRPr="00D44CF2" w:rsidRDefault="00A9731B" w:rsidP="00A9731B">
      <w:pPr>
        <w:pStyle w:val="BodyText"/>
      </w:pPr>
      <w:r w:rsidRPr="00D44CF2">
        <w:t>The proposed investments have a total estimated capital cost of $689.5 million (in 2024 dollars) and are forecast to deliver a NPV economic benefit of approximately $3.85 billion.</w:t>
      </w:r>
    </w:p>
    <w:p w14:paraId="1BEF00CC" w14:textId="77777777" w:rsidR="00A9731B" w:rsidRPr="00D44CF2" w:rsidRDefault="00A9731B" w:rsidP="00A9731B">
      <w:pPr>
        <w:pStyle w:val="BodyText"/>
      </w:pPr>
      <w:r w:rsidRPr="00D44CF2">
        <w:lastRenderedPageBreak/>
        <w:t xml:space="preserve">AVP has commenced procurement activities for service agreements in line with the PACR preferred option. </w:t>
      </w:r>
    </w:p>
    <w:p w14:paraId="3AFE4822" w14:textId="77777777" w:rsidR="00A9731B" w:rsidRPr="00D44CF2" w:rsidRDefault="00A9731B" w:rsidP="00A9731B">
      <w:pPr>
        <w:pStyle w:val="BodyText"/>
      </w:pPr>
      <w:r w:rsidRPr="00D44CF2">
        <w:t>AVP has summarised system security requirements at Section 4.3.2.</w:t>
      </w:r>
    </w:p>
    <w:p w14:paraId="482218C4" w14:textId="77777777" w:rsidR="00A9731B" w:rsidRPr="00D44CF2" w:rsidRDefault="00A9731B" w:rsidP="00A9731B">
      <w:pPr>
        <w:pStyle w:val="Heading4"/>
      </w:pPr>
      <w:r w:rsidRPr="00D44CF2">
        <w:t>Committed new terminal stations</w:t>
      </w:r>
    </w:p>
    <w:p w14:paraId="5F1CFDEE" w14:textId="77777777" w:rsidR="00A9731B" w:rsidRPr="00D44CF2" w:rsidRDefault="00A9731B" w:rsidP="00A9731B">
      <w:pPr>
        <w:pStyle w:val="BodyText"/>
      </w:pPr>
      <w:r w:rsidRPr="00D44CF2">
        <w:t>New shared terminal stations are planned, designed and constructed with provisions for future connections for interested parties. The following new shared terminal stations are currently in construction or committed as part of new transmission connection to the DSN:</w:t>
      </w:r>
    </w:p>
    <w:p w14:paraId="76466E6C" w14:textId="49FE1105" w:rsidR="00A9731B" w:rsidRPr="00D44CF2" w:rsidRDefault="00A9731B" w:rsidP="00A9731B">
      <w:pPr>
        <w:pStyle w:val="ListBullet"/>
      </w:pPr>
      <w:r w:rsidRPr="00D44CF2">
        <w:t>Carwarp Terminal Station (CPTS), owned and operated by AusNet Services, is</w:t>
      </w:r>
      <w:r w:rsidR="0A6CC578" w:rsidRPr="00D44CF2">
        <w:t xml:space="preserve"> planned</w:t>
      </w:r>
      <w:r w:rsidRPr="00D44CF2">
        <w:t xml:space="preserve"> to be energised by November 2025. The terminal station is being established to facilitate the Carwarp Energy Park project and will be cut into the existing Kiamal – Red Cliffs 220 kV line.</w:t>
      </w:r>
    </w:p>
    <w:p w14:paraId="070712B5" w14:textId="32DFCC5A" w:rsidR="00A9731B" w:rsidRPr="00D44CF2" w:rsidRDefault="00A9731B" w:rsidP="00A9731B">
      <w:pPr>
        <w:pStyle w:val="ListBullet"/>
      </w:pPr>
      <w:r w:rsidRPr="00D44CF2">
        <w:t xml:space="preserve">Pine Lodge Terminal Station (PLTS), owned and operated by AusNet Services, is </w:t>
      </w:r>
      <w:r w:rsidR="154B872F" w:rsidRPr="00D44CF2">
        <w:t>planned</w:t>
      </w:r>
      <w:r w:rsidRPr="00D44CF2">
        <w:t xml:space="preserve"> to be energised by January 2026. This shared station is being established for the committed Pine Lodge BESS projects and will cut into the existing Glenrowan – Shepparton 220 kV line. </w:t>
      </w:r>
    </w:p>
    <w:p w14:paraId="35656BC4" w14:textId="4EAF62E0" w:rsidR="00A9731B" w:rsidRPr="00D44CF2" w:rsidRDefault="00A9731B" w:rsidP="00A9731B">
      <w:pPr>
        <w:pStyle w:val="ListBullet"/>
      </w:pPr>
      <w:r w:rsidRPr="00D44CF2">
        <w:t xml:space="preserve">Goorambat East Terminal Station (GETS), owned and operated by AusNet Services, is </w:t>
      </w:r>
      <w:r w:rsidR="12B2390C" w:rsidRPr="00D44CF2">
        <w:t>planned</w:t>
      </w:r>
      <w:r w:rsidRPr="00D44CF2">
        <w:t xml:space="preserve"> to be energised by May 2026. This shared station is established to facilitate the Goorambat East Solar Farm project and will be cut into the existing Dederang – Shepparton 220 kV line. </w:t>
      </w:r>
    </w:p>
    <w:p w14:paraId="0EE41905" w14:textId="3970FE79" w:rsidR="00A9731B" w:rsidRPr="00D44CF2" w:rsidRDefault="00A9731B" w:rsidP="00A9731B">
      <w:pPr>
        <w:pStyle w:val="ListBullet"/>
      </w:pPr>
      <w:r w:rsidRPr="00D44CF2">
        <w:t xml:space="preserve">Gnarwarre Terminal Station (GWTS), owned and operated by Australian Energy Operations (formerly known as Transmission Operations Australia), is </w:t>
      </w:r>
      <w:r w:rsidR="4B961BED" w:rsidRPr="00D44CF2">
        <w:t>planned</w:t>
      </w:r>
      <w:r w:rsidRPr="00D44CF2">
        <w:t xml:space="preserve"> to be energised by November 2026. This shared station is being established to facilitate the Gnarwarre BESS project and will be cut into the existing Moorabool – Terang 220 kV line. </w:t>
      </w:r>
    </w:p>
    <w:p w14:paraId="5FA08DFC" w14:textId="3EDF2C4B" w:rsidR="00A9731B" w:rsidRPr="00D44CF2" w:rsidRDefault="00A9731B" w:rsidP="00A9731B">
      <w:pPr>
        <w:pStyle w:val="ListBullet"/>
      </w:pPr>
      <w:r w:rsidRPr="00D44CF2">
        <w:t xml:space="preserve">Axedale Terminal Station (ADTS), owned and operated by AusNet Services, is </w:t>
      </w:r>
      <w:r w:rsidR="7DADC42C" w:rsidRPr="00D44CF2">
        <w:t>planned</w:t>
      </w:r>
      <w:r w:rsidRPr="00D44CF2">
        <w:t xml:space="preserve"> to be energised by December 2026. This shared station is being established for the committed Axedale Solar Farm and Fosterville Solar Farm projects and will cut into the existing Bendigo – Fosterville – Shepparton 220 kV line. </w:t>
      </w:r>
    </w:p>
    <w:p w14:paraId="2D73ED17" w14:textId="77777777" w:rsidR="00A9731B" w:rsidRPr="00D44CF2" w:rsidRDefault="00A9731B" w:rsidP="00A9731B">
      <w:pPr>
        <w:pStyle w:val="Heading4"/>
      </w:pPr>
      <w:r w:rsidRPr="00D44CF2">
        <w:t>Other planned projects</w:t>
      </w:r>
    </w:p>
    <w:p w14:paraId="535B5E73" w14:textId="3E9BED1E" w:rsidR="00A9731B" w:rsidRPr="00D44CF2" w:rsidRDefault="00A9731B" w:rsidP="00A9731B">
      <w:pPr>
        <w:pStyle w:val="Heading5"/>
      </w:pPr>
      <w:r w:rsidRPr="00D44CF2">
        <w:t>Reconfiguration of Latrobe Valley 220</w:t>
      </w:r>
      <w:r w:rsidR="001E006A">
        <w:t xml:space="preserve"> </w:t>
      </w:r>
      <w:r w:rsidRPr="00D44CF2">
        <w:t>kV network</w:t>
      </w:r>
    </w:p>
    <w:p w14:paraId="73434C79" w14:textId="1E5BDBB2" w:rsidR="00A9731B" w:rsidRPr="00D44CF2" w:rsidRDefault="00A9731B" w:rsidP="00A9731B">
      <w:pPr>
        <w:pStyle w:val="BodyText"/>
      </w:pPr>
      <w:r w:rsidRPr="00D44CF2">
        <w:t xml:space="preserve">The Latrobe Valley reconfiguration project was identified in the 2023 VAPR to enhance the utilisation of 220 kV network between Latrobe Valley and Melbourne and reduce reliability risks after retirement of YWPS. It involves rearrangement of existing infrastructure to minimise risks of overloading transformers and lines at times of high demand post the retirement of YWPS.  </w:t>
      </w:r>
    </w:p>
    <w:p w14:paraId="77D9B0F8" w14:textId="4410CCD3" w:rsidR="00A9731B" w:rsidRPr="00D44CF2" w:rsidRDefault="00A9731B" w:rsidP="00A9731B">
      <w:pPr>
        <w:pStyle w:val="BodyText"/>
      </w:pPr>
      <w:r w:rsidRPr="00D44CF2">
        <w:t>At times of high demand while YWPS is in service (</w:t>
      </w:r>
      <w:r w:rsidRPr="00D44CF2">
        <w:rPr>
          <w:b/>
          <w:bCs/>
        </w:rPr>
        <w:fldChar w:fldCharType="begin"/>
      </w:r>
      <w:r w:rsidRPr="00D44CF2">
        <w:rPr>
          <w:b/>
          <w:bCs/>
        </w:rPr>
        <w:instrText xml:space="preserve"> REF _Ref208327302 \r \h  \* MERGEFORMAT </w:instrText>
      </w:r>
      <w:r w:rsidRPr="00D44CF2">
        <w:rPr>
          <w:b/>
          <w:bCs/>
        </w:rPr>
      </w:r>
      <w:r w:rsidRPr="00D44CF2">
        <w:rPr>
          <w:b/>
          <w:bCs/>
        </w:rPr>
        <w:fldChar w:fldCharType="separate"/>
      </w:r>
      <w:r w:rsidR="004973D2">
        <w:rPr>
          <w:b/>
          <w:bCs/>
        </w:rPr>
        <w:t>Figure 21</w:t>
      </w:r>
      <w:r w:rsidRPr="00D44CF2">
        <w:rPr>
          <w:b/>
          <w:bCs/>
        </w:rPr>
        <w:fldChar w:fldCharType="end"/>
      </w:r>
      <w:r w:rsidRPr="00D44CF2">
        <w:t>), the 220 kV and 500 kV networks share the supply to Rowville from the Latrobe Valley, which minimises risks on the 500/220 kV transformers and on the 220 kV lines connected to Rowville. When YWPS retires, the 220 kV lines from the Latrobe Valley to Rowville become unused, and at times of maximum demand the 500/220 kV A1 transformer at Rowville is forecast to be overloaded under system normal operation if no actions are taken.</w:t>
      </w:r>
    </w:p>
    <w:p w14:paraId="75671366" w14:textId="77777777" w:rsidR="00A9731B" w:rsidRPr="00D44CF2" w:rsidRDefault="00A9731B" w:rsidP="00A9731B">
      <w:pPr>
        <w:pStyle w:val="CaptionFigure"/>
      </w:pPr>
      <w:bookmarkStart w:id="182" w:name="_Ref208327302"/>
      <w:bookmarkStart w:id="183" w:name="_Toc212023355"/>
      <w:r w:rsidRPr="00D44CF2">
        <w:lastRenderedPageBreak/>
        <w:t>Latrobe Valley high demand radial mode</w:t>
      </w:r>
      <w:bookmarkEnd w:id="182"/>
      <w:bookmarkEnd w:id="183"/>
    </w:p>
    <w:p w14:paraId="0E603342" w14:textId="77777777" w:rsidR="00A9731B" w:rsidRPr="00D44CF2" w:rsidRDefault="00A9731B" w:rsidP="00A9731B">
      <w:pPr>
        <w:pStyle w:val="BodyText"/>
      </w:pPr>
      <w:r w:rsidRPr="00D44CF2">
        <w:rPr>
          <w:noProof/>
        </w:rPr>
        <w:drawing>
          <wp:inline distT="0" distB="0" distL="0" distR="0" wp14:anchorId="7169677F" wp14:editId="2CD109FF">
            <wp:extent cx="4893869" cy="3500782"/>
            <wp:effectExtent l="0" t="0" r="2540" b="4445"/>
            <wp:docPr id="901535717" name="Picture 1" descr="A diagram of a high demand radial m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35717" name="Picture 1" descr="A diagram of a high demand radial mode&#10;&#10;AI-generated content may be incorrect."/>
                    <pic:cNvPicPr/>
                  </pic:nvPicPr>
                  <pic:blipFill rotWithShape="1">
                    <a:blip r:embed="rId65"/>
                    <a:srcRect l="2358" t="4820" b="1582"/>
                    <a:stretch/>
                  </pic:blipFill>
                  <pic:spPr bwMode="auto">
                    <a:xfrm>
                      <a:off x="0" y="0"/>
                      <a:ext cx="4940499" cy="3534139"/>
                    </a:xfrm>
                    <a:prstGeom prst="rect">
                      <a:avLst/>
                    </a:prstGeom>
                    <a:ln>
                      <a:noFill/>
                    </a:ln>
                    <a:extLst>
                      <a:ext uri="{53640926-AAD7-44D8-BBD7-CCE9431645EC}">
                        <a14:shadowObscured xmlns:a14="http://schemas.microsoft.com/office/drawing/2010/main"/>
                      </a:ext>
                    </a:extLst>
                  </pic:spPr>
                </pic:pic>
              </a:graphicData>
            </a:graphic>
          </wp:inline>
        </w:drawing>
      </w:r>
    </w:p>
    <w:p w14:paraId="1B9B208E" w14:textId="77777777" w:rsidR="00A9731B" w:rsidRPr="00D44CF2" w:rsidRDefault="00A9731B" w:rsidP="00A9731B">
      <w:pPr>
        <w:pStyle w:val="TableFigureFootnote"/>
      </w:pPr>
    </w:p>
    <w:p w14:paraId="293C9631" w14:textId="1FE09794" w:rsidR="00A9731B" w:rsidRPr="00D44CF2" w:rsidRDefault="00A9731B" w:rsidP="00A9731B">
      <w:pPr>
        <w:pStyle w:val="BodyText"/>
      </w:pPr>
      <w:r w:rsidRPr="00D44CF2">
        <w:t>In the 2023 VAPR, AVP assessed options to reduce the risk on the Rowville A1 transformer after YWPS retires and recommended changing to a modified parallel mode (</w:t>
      </w:r>
      <w:r w:rsidRPr="00D44CF2">
        <w:rPr>
          <w:b/>
          <w:bCs/>
          <w:lang w:val="en-GB"/>
        </w:rPr>
        <w:fldChar w:fldCharType="begin"/>
      </w:r>
      <w:r w:rsidRPr="00D44CF2">
        <w:rPr>
          <w:b/>
          <w:bCs/>
          <w:lang w:val="en-GB"/>
        </w:rPr>
        <w:instrText xml:space="preserve"> REF _Ref208327348 \r \h </w:instrText>
      </w:r>
      <w:r w:rsidR="00D44CF2">
        <w:rPr>
          <w:b/>
          <w:bCs/>
          <w:lang w:val="en-GB"/>
        </w:rPr>
        <w:instrText xml:space="preserve"> \* MERGEFORMAT </w:instrText>
      </w:r>
      <w:r w:rsidRPr="00D44CF2">
        <w:rPr>
          <w:b/>
          <w:bCs/>
          <w:lang w:val="en-GB"/>
        </w:rPr>
      </w:r>
      <w:r w:rsidRPr="00D44CF2">
        <w:rPr>
          <w:b/>
          <w:bCs/>
          <w:lang w:val="en-GB"/>
        </w:rPr>
        <w:fldChar w:fldCharType="separate"/>
      </w:r>
      <w:r w:rsidR="004973D2">
        <w:rPr>
          <w:b/>
          <w:bCs/>
          <w:lang w:val="en-GB"/>
        </w:rPr>
        <w:t>Figure 22</w:t>
      </w:r>
      <w:r w:rsidRPr="00D44CF2">
        <w:rPr>
          <w:b/>
          <w:bCs/>
          <w:lang w:val="en-GB"/>
        </w:rPr>
        <w:fldChar w:fldCharType="end"/>
      </w:r>
      <w:r w:rsidRPr="00D44CF2">
        <w:t>) as the best option.</w:t>
      </w:r>
    </w:p>
    <w:p w14:paraId="145AAEE5" w14:textId="77777777" w:rsidR="00A9731B" w:rsidRPr="00D44CF2" w:rsidRDefault="00A9731B" w:rsidP="00A9731B">
      <w:pPr>
        <w:pStyle w:val="CaptionFigure"/>
      </w:pPr>
      <w:bookmarkStart w:id="184" w:name="_Ref208327348"/>
      <w:bookmarkStart w:id="185" w:name="_Ref209513807"/>
      <w:bookmarkStart w:id="186" w:name="_Toc212023356"/>
      <w:r w:rsidRPr="00D44CF2">
        <w:lastRenderedPageBreak/>
        <w:t>Latrobe Valley modified parallel mode</w:t>
      </w:r>
      <w:bookmarkEnd w:id="184"/>
      <w:bookmarkEnd w:id="185"/>
      <w:bookmarkEnd w:id="186"/>
    </w:p>
    <w:p w14:paraId="75F4398A" w14:textId="77777777" w:rsidR="00A9731B" w:rsidRPr="00D44CF2" w:rsidRDefault="00A9731B" w:rsidP="00A9731B">
      <w:pPr>
        <w:pStyle w:val="BodyText"/>
      </w:pPr>
      <w:r w:rsidRPr="00D44CF2">
        <w:rPr>
          <w:noProof/>
        </w:rPr>
        <w:drawing>
          <wp:inline distT="0" distB="0" distL="0" distR="0" wp14:anchorId="6B60B1DE" wp14:editId="7794943F">
            <wp:extent cx="5200650" cy="4251278"/>
            <wp:effectExtent l="0" t="0" r="0" b="0"/>
            <wp:docPr id="13883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101" name=""/>
                    <pic:cNvPicPr/>
                  </pic:nvPicPr>
                  <pic:blipFill rotWithShape="1">
                    <a:blip r:embed="rId66"/>
                    <a:srcRect l="1550" t="1565" b="972"/>
                    <a:stretch/>
                  </pic:blipFill>
                  <pic:spPr bwMode="auto">
                    <a:xfrm>
                      <a:off x="0" y="0"/>
                      <a:ext cx="5201575" cy="4252034"/>
                    </a:xfrm>
                    <a:prstGeom prst="rect">
                      <a:avLst/>
                    </a:prstGeom>
                    <a:ln>
                      <a:noFill/>
                    </a:ln>
                    <a:extLst>
                      <a:ext uri="{53640926-AAD7-44D8-BBD7-CCE9431645EC}">
                        <a14:shadowObscured xmlns:a14="http://schemas.microsoft.com/office/drawing/2010/main"/>
                      </a:ext>
                    </a:extLst>
                  </pic:spPr>
                </pic:pic>
              </a:graphicData>
            </a:graphic>
          </wp:inline>
        </w:drawing>
      </w:r>
    </w:p>
    <w:p w14:paraId="355065BC" w14:textId="77777777" w:rsidR="00A9731B" w:rsidRPr="00D44CF2" w:rsidRDefault="00A9731B" w:rsidP="00A9731B">
      <w:pPr>
        <w:pStyle w:val="TableFigureFootnote"/>
      </w:pPr>
    </w:p>
    <w:p w14:paraId="685BA7D9" w14:textId="77777777" w:rsidR="00A9731B" w:rsidRPr="00D44CF2" w:rsidRDefault="00A9731B" w:rsidP="00A9731B">
      <w:pPr>
        <w:pStyle w:val="BodyText"/>
        <w:spacing w:before="0"/>
      </w:pPr>
      <w:r w:rsidRPr="00D44CF2">
        <w:t>Since the 2023 VAPR, AVP has commenced works with the relevant asset owners to ensure the works will be completed to transition to modified parallel operating mode when YWPS retires. These works include:</w:t>
      </w:r>
    </w:p>
    <w:p w14:paraId="1F4325C5" w14:textId="77777777" w:rsidR="00A9731B" w:rsidRPr="00D44CF2" w:rsidRDefault="00A9731B" w:rsidP="00A9731B">
      <w:pPr>
        <w:pStyle w:val="ListBullet"/>
        <w:numPr>
          <w:ilvl w:val="0"/>
          <w:numId w:val="49"/>
        </w:numPr>
      </w:pPr>
      <w:r w:rsidRPr="00D44CF2">
        <w:t>minor works on the Hazelwood – Yallourn #1 and #2 220 kV lines to increase short-term line ratings,</w:t>
      </w:r>
    </w:p>
    <w:p w14:paraId="6E0CCCA8" w14:textId="77777777" w:rsidR="00A9731B" w:rsidRPr="00D44CF2" w:rsidRDefault="00A9731B" w:rsidP="00A9731B">
      <w:pPr>
        <w:pStyle w:val="ListBullet"/>
        <w:numPr>
          <w:ilvl w:val="0"/>
          <w:numId w:val="49"/>
        </w:numPr>
      </w:pPr>
      <w:r w:rsidRPr="00D44CF2">
        <w:t>bypassing the series reactor at Hazelwood 220 kV bus 6,</w:t>
      </w:r>
    </w:p>
    <w:p w14:paraId="7C143DEB" w14:textId="248641DC" w:rsidR="00A9731B" w:rsidRPr="00D44CF2" w:rsidRDefault="00A9731B" w:rsidP="00A9731B">
      <w:pPr>
        <w:pStyle w:val="ListBullet"/>
        <w:numPr>
          <w:ilvl w:val="0"/>
          <w:numId w:val="49"/>
        </w:numPr>
      </w:pPr>
      <w:r w:rsidRPr="00D44CF2">
        <w:t xml:space="preserve">switching operations at Hazelwood, Jeeralang and Yallourn to achieve the bus groups shown in </w:t>
      </w:r>
      <w:r w:rsidRPr="00D44CF2">
        <w:rPr>
          <w:b/>
          <w:bCs/>
        </w:rPr>
        <w:fldChar w:fldCharType="begin"/>
      </w:r>
      <w:r w:rsidRPr="00D44CF2">
        <w:rPr>
          <w:b/>
          <w:bCs/>
        </w:rPr>
        <w:instrText xml:space="preserve"> REF _Ref209513807 \r \h  \* MERGEFORMAT </w:instrText>
      </w:r>
      <w:r w:rsidRPr="00D44CF2">
        <w:rPr>
          <w:b/>
          <w:bCs/>
        </w:rPr>
      </w:r>
      <w:r w:rsidRPr="00D44CF2">
        <w:rPr>
          <w:b/>
          <w:bCs/>
        </w:rPr>
        <w:fldChar w:fldCharType="separate"/>
      </w:r>
      <w:r w:rsidR="004973D2">
        <w:rPr>
          <w:b/>
          <w:bCs/>
        </w:rPr>
        <w:t>Figure 22</w:t>
      </w:r>
      <w:r w:rsidRPr="00D44CF2">
        <w:rPr>
          <w:b/>
          <w:bCs/>
        </w:rPr>
        <w:fldChar w:fldCharType="end"/>
      </w:r>
      <w:r w:rsidRPr="00D44CF2">
        <w:t>, and</w:t>
      </w:r>
    </w:p>
    <w:p w14:paraId="2F984800" w14:textId="77777777" w:rsidR="00A9731B" w:rsidRPr="00D44CF2" w:rsidRDefault="00A9731B" w:rsidP="00A9731B">
      <w:pPr>
        <w:pStyle w:val="ListBullet"/>
        <w:numPr>
          <w:ilvl w:val="0"/>
          <w:numId w:val="49"/>
        </w:numPr>
      </w:pPr>
      <w:r w:rsidRPr="00D44CF2">
        <w:t xml:space="preserve">installing overload protection schemes on the Hazelwood – Yallourn 220 kV lines and on the Hazelwood 500/220 kV transformers to prevent overloads under contingencies (see Section 4.4.5 for more details). </w:t>
      </w:r>
    </w:p>
    <w:p w14:paraId="000EE392" w14:textId="77777777" w:rsidR="00A9731B" w:rsidRPr="00D44CF2" w:rsidRDefault="00A9731B" w:rsidP="00A9731B">
      <w:pPr>
        <w:pStyle w:val="BodyText"/>
      </w:pPr>
      <w:r w:rsidRPr="00D44CF2">
        <w:t xml:space="preserve">Since the 2024 VAPR, AVP has completed a cost-benefit assessment justifying the proposed reconfiguration works, continued to work with the relevant asset owners on the scope, and has now developed a detailed scope of works for the project. Discussions with asset owners continue to indicate that this project cost will be below the $8 million RIT-T cost threshold, therefore a RIT-T is not required and will not be undertaken. It is anticipated that contracts for the works will be in place by the end of 2025 with delivery planned before the closure of YWPS. </w:t>
      </w:r>
    </w:p>
    <w:p w14:paraId="563D1B06" w14:textId="77777777" w:rsidR="00A9731B" w:rsidRPr="00D44CF2" w:rsidRDefault="00A9731B" w:rsidP="00A9731B">
      <w:pPr>
        <w:pStyle w:val="Heading4"/>
      </w:pPr>
      <w:r w:rsidRPr="00D44CF2">
        <w:lastRenderedPageBreak/>
        <w:t>Victorian Transmission Plan priority programs</w:t>
      </w:r>
    </w:p>
    <w:p w14:paraId="01429DDC" w14:textId="10A5B2C0" w:rsidR="00A9731B" w:rsidRPr="00D44CF2" w:rsidRDefault="00A9731B" w:rsidP="00A9731B">
      <w:pPr>
        <w:pStyle w:val="BodyText"/>
      </w:pPr>
      <w:r w:rsidRPr="00D44CF2">
        <w:t>The VicGrid 2025 VTP</w:t>
      </w:r>
      <w:r w:rsidRPr="00D44CF2">
        <w:rPr>
          <w:rStyle w:val="FootnoteReference"/>
        </w:rPr>
        <w:footnoteReference w:id="73"/>
      </w:r>
      <w:r w:rsidRPr="00D44CF2">
        <w:t xml:space="preserve"> published in August 2025 is a plan for developing Victoria’s REZs and the transmission infrastructure required to enable that development. The 2025 VTP retained the two existing offshore REZs and announced six new REZs (</w:t>
      </w:r>
      <w:r w:rsidRPr="00D44CF2">
        <w:rPr>
          <w:b/>
          <w:bCs/>
        </w:rPr>
        <w:fldChar w:fldCharType="begin"/>
      </w:r>
      <w:r w:rsidRPr="00D44CF2">
        <w:rPr>
          <w:b/>
          <w:bCs/>
        </w:rPr>
        <w:instrText xml:space="preserve"> REF _Ref207276033 \r \h  \* MERGEFORMAT </w:instrText>
      </w:r>
      <w:r w:rsidRPr="00D44CF2">
        <w:rPr>
          <w:b/>
          <w:bCs/>
        </w:rPr>
      </w:r>
      <w:r w:rsidRPr="00D44CF2">
        <w:rPr>
          <w:b/>
          <w:bCs/>
        </w:rPr>
        <w:fldChar w:fldCharType="separate"/>
      </w:r>
      <w:r w:rsidR="004973D2">
        <w:rPr>
          <w:b/>
          <w:bCs/>
        </w:rPr>
        <w:t>Figure 23</w:t>
      </w:r>
      <w:r w:rsidRPr="00D44CF2">
        <w:rPr>
          <w:b/>
          <w:bCs/>
        </w:rPr>
        <w:fldChar w:fldCharType="end"/>
      </w:r>
      <w:r w:rsidRPr="00D44CF2">
        <w:t>) with a plan to connect 21.8-35.2 GW of wind, solar and BESS resources by 2040.</w:t>
      </w:r>
    </w:p>
    <w:p w14:paraId="73AEB884" w14:textId="77777777" w:rsidR="00A9731B" w:rsidRPr="00D44CF2" w:rsidRDefault="00A9731B" w:rsidP="00A9731B">
      <w:pPr>
        <w:pStyle w:val="CaptionFigure"/>
      </w:pPr>
      <w:bookmarkStart w:id="187" w:name="_Ref207276033"/>
      <w:bookmarkStart w:id="188" w:name="_Toc212023357"/>
      <w:r w:rsidRPr="00D44CF2">
        <w:t>Renewable energy zones defined in the 2025 VTP</w:t>
      </w:r>
      <w:bookmarkEnd w:id="187"/>
      <w:bookmarkEnd w:id="188"/>
    </w:p>
    <w:p w14:paraId="10E9979E" w14:textId="77777777" w:rsidR="00A9731B" w:rsidRPr="00D44CF2" w:rsidRDefault="00A9731B" w:rsidP="00A9731B">
      <w:pPr>
        <w:pStyle w:val="BodyText"/>
      </w:pPr>
      <w:r w:rsidRPr="00D44CF2">
        <w:rPr>
          <w:noProof/>
        </w:rPr>
        <w:drawing>
          <wp:inline distT="0" distB="0" distL="0" distR="0" wp14:anchorId="1A0825CE" wp14:editId="459F1F7C">
            <wp:extent cx="6408000" cy="3920091"/>
            <wp:effectExtent l="0" t="0" r="0" b="4445"/>
            <wp:docPr id="161187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79259" name=""/>
                    <pic:cNvPicPr/>
                  </pic:nvPicPr>
                  <pic:blipFill>
                    <a:blip r:embed="rId67"/>
                    <a:stretch>
                      <a:fillRect/>
                    </a:stretch>
                  </pic:blipFill>
                  <pic:spPr>
                    <a:xfrm>
                      <a:off x="0" y="0"/>
                      <a:ext cx="6408000" cy="3920091"/>
                    </a:xfrm>
                    <a:prstGeom prst="rect">
                      <a:avLst/>
                    </a:prstGeom>
                  </pic:spPr>
                </pic:pic>
              </a:graphicData>
            </a:graphic>
          </wp:inline>
        </w:drawing>
      </w:r>
    </w:p>
    <w:p w14:paraId="0DC7B429" w14:textId="5809C232" w:rsidR="00EE008E" w:rsidRDefault="00A9731B" w:rsidP="00A9731B">
      <w:pPr>
        <w:pStyle w:val="TableFigureFootnote"/>
      </w:pPr>
      <w:r w:rsidRPr="00D44CF2">
        <w:t xml:space="preserve">Source: </w:t>
      </w:r>
      <w:hyperlink r:id="rId68" w:history="1">
        <w:r w:rsidR="00EE008E" w:rsidRPr="00237141">
          <w:rPr>
            <w:rStyle w:val="Hyperlink"/>
          </w:rPr>
          <w:t>https://www.vicgrid.com.au/__data/assets/pdf_file/0032/761396/2025-victorian-transmission-plan.pdf</w:t>
        </w:r>
      </w:hyperlink>
    </w:p>
    <w:p w14:paraId="44BB38B3" w14:textId="566590D1" w:rsidR="00A9731B" w:rsidRPr="00D44CF2" w:rsidRDefault="00A9731B" w:rsidP="00EE008E">
      <w:pPr>
        <w:pStyle w:val="TableFigureFootnote"/>
      </w:pPr>
      <w:r w:rsidRPr="00D44CF2">
        <w:t>To enable the connection of the additional energy resources, VicGrid has analysed multiple candidate development pathways (CDPs) and as identified in the preferred CDP referred to as the optimal development pathway (ODP) has announced seven new priority programs (</w:t>
      </w:r>
      <w:r w:rsidRPr="00D44CF2">
        <w:rPr>
          <w:b/>
          <w:bCs/>
        </w:rPr>
        <w:fldChar w:fldCharType="begin"/>
      </w:r>
      <w:r w:rsidRPr="00D44CF2">
        <w:rPr>
          <w:b/>
          <w:bCs/>
        </w:rPr>
        <w:instrText xml:space="preserve"> REF _Ref207276156 \r \h  \* MERGEFORMAT </w:instrText>
      </w:r>
      <w:r w:rsidRPr="00D44CF2">
        <w:rPr>
          <w:b/>
          <w:bCs/>
        </w:rPr>
      </w:r>
      <w:r w:rsidRPr="00D44CF2">
        <w:rPr>
          <w:b/>
          <w:bCs/>
        </w:rPr>
        <w:fldChar w:fldCharType="separate"/>
      </w:r>
      <w:r w:rsidR="004973D2">
        <w:rPr>
          <w:b/>
          <w:bCs/>
        </w:rPr>
        <w:t>Figure 24</w:t>
      </w:r>
      <w:r w:rsidRPr="00D44CF2">
        <w:rPr>
          <w:b/>
          <w:bCs/>
        </w:rPr>
        <w:fldChar w:fldCharType="end"/>
      </w:r>
      <w:r w:rsidRPr="00D44CF2">
        <w:t>) required, over and above existing transmission projects that are already under development across Victoria to enable delivery energy resource connections. Some of these priority programs involve projects to address limitations currently being considered in RIT-Ts being progressed by AVP, and VicGrid and AVP will coordinate next steps on these proposed projects.</w:t>
      </w:r>
    </w:p>
    <w:p w14:paraId="5D7B0278" w14:textId="77777777" w:rsidR="00A9731B" w:rsidRPr="00D44CF2" w:rsidRDefault="00A9731B" w:rsidP="00A9731B">
      <w:pPr>
        <w:pStyle w:val="CaptionFigure"/>
      </w:pPr>
      <w:bookmarkStart w:id="189" w:name="_Ref207276156"/>
      <w:bookmarkStart w:id="190" w:name="_Toc212023358"/>
      <w:r w:rsidRPr="00D44CF2">
        <w:lastRenderedPageBreak/>
        <w:t>Map of new priority programs in the 2025 VTP</w:t>
      </w:r>
      <w:bookmarkEnd w:id="189"/>
      <w:bookmarkEnd w:id="190"/>
    </w:p>
    <w:p w14:paraId="531A8E75" w14:textId="77777777" w:rsidR="00A9731B" w:rsidRPr="00D44CF2" w:rsidRDefault="00A9731B" w:rsidP="00A9731B">
      <w:pPr>
        <w:pStyle w:val="BodyText"/>
      </w:pPr>
      <w:r w:rsidRPr="00D44CF2">
        <w:rPr>
          <w:noProof/>
        </w:rPr>
        <w:drawing>
          <wp:inline distT="0" distB="0" distL="0" distR="0" wp14:anchorId="0487B51D" wp14:editId="653BBD93">
            <wp:extent cx="4972306" cy="6020109"/>
            <wp:effectExtent l="0" t="0" r="0" b="0"/>
            <wp:docPr id="38588831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88313" name="Picture 1" descr="A map of a city&#10;&#10;AI-generated content may be incorrect."/>
                    <pic:cNvPicPr/>
                  </pic:nvPicPr>
                  <pic:blipFill>
                    <a:blip r:embed="rId69"/>
                    <a:stretch>
                      <a:fillRect/>
                    </a:stretch>
                  </pic:blipFill>
                  <pic:spPr>
                    <a:xfrm>
                      <a:off x="0" y="0"/>
                      <a:ext cx="4972306" cy="6020109"/>
                    </a:xfrm>
                    <a:prstGeom prst="rect">
                      <a:avLst/>
                    </a:prstGeom>
                  </pic:spPr>
                </pic:pic>
              </a:graphicData>
            </a:graphic>
          </wp:inline>
        </w:drawing>
      </w:r>
    </w:p>
    <w:p w14:paraId="3CD808AE" w14:textId="689C9AB3" w:rsidR="00A9731B" w:rsidRPr="00D44CF2" w:rsidRDefault="00A9731B" w:rsidP="00A9731B">
      <w:pPr>
        <w:pStyle w:val="TableFigureFootnote"/>
      </w:pPr>
      <w:r w:rsidRPr="00D44CF2">
        <w:t xml:space="preserve">Source: </w:t>
      </w:r>
      <w:hyperlink r:id="rId70" w:history="1">
        <w:r w:rsidR="005B2BFC" w:rsidRPr="005B2BFC">
          <w:rPr>
            <w:rStyle w:val="Hyperlink"/>
          </w:rPr>
          <w:t>https://www.vicgrid.com.au/__data/assets/pdf_file/0032/761396/2025-victorian-transmission-plan.pdf</w:t>
        </w:r>
      </w:hyperlink>
    </w:p>
    <w:p w14:paraId="46D1BD73" w14:textId="77777777" w:rsidR="00A9731B" w:rsidRPr="00D44CF2" w:rsidRDefault="00A9731B" w:rsidP="00A9731B">
      <w:pPr>
        <w:pStyle w:val="BodyText"/>
      </w:pPr>
      <w:r w:rsidRPr="00D44CF2">
        <w:t>AVP has assessed the impact of these programs on existing limitations in the DSN as part of the 2025 VAPR, and details of the results are in Section 4.2.</w:t>
      </w:r>
    </w:p>
    <w:p w14:paraId="775DAE21" w14:textId="77777777" w:rsidR="00A9731B" w:rsidRPr="00D44CF2" w:rsidRDefault="00A9731B" w:rsidP="00A9731B">
      <w:pPr>
        <w:pStyle w:val="Heading4"/>
      </w:pPr>
      <w:r w:rsidRPr="00D44CF2">
        <w:t xml:space="preserve">Offshore wind transmission project  </w:t>
      </w:r>
    </w:p>
    <w:p w14:paraId="5FEE2185" w14:textId="77777777" w:rsidR="00A9731B" w:rsidRPr="00D44CF2" w:rsidRDefault="00A9731B" w:rsidP="00A9731B">
      <w:pPr>
        <w:pStyle w:val="BodyText"/>
      </w:pPr>
      <w:r w:rsidRPr="00D44CF2">
        <w:t>The Victorian Government has set offshore wind energy generation capacity targets</w:t>
      </w:r>
      <w:r w:rsidRPr="00D44CF2">
        <w:rPr>
          <w:rStyle w:val="FootnoteReference"/>
        </w:rPr>
        <w:footnoteReference w:id="74"/>
      </w:r>
      <w:r w:rsidRPr="00D44CF2">
        <w:t xml:space="preserve"> of:</w:t>
      </w:r>
    </w:p>
    <w:p w14:paraId="4D88DD22" w14:textId="20F906A1" w:rsidR="00A9731B" w:rsidRPr="00D44CF2" w:rsidRDefault="00A9731B" w:rsidP="00A9731B">
      <w:pPr>
        <w:pStyle w:val="ListBullet"/>
        <w:numPr>
          <w:ilvl w:val="0"/>
          <w:numId w:val="49"/>
        </w:numPr>
      </w:pPr>
      <w:r w:rsidRPr="00D44CF2">
        <w:lastRenderedPageBreak/>
        <w:t>at least 2 GW by 2032</w:t>
      </w:r>
      <w:r w:rsidR="00DA3318" w:rsidRPr="00D44CF2">
        <w:rPr>
          <w:rStyle w:val="FootnoteReference"/>
        </w:rPr>
        <w:footnoteReference w:id="75"/>
      </w:r>
      <w:r w:rsidRPr="00D44CF2">
        <w:t>,</w:t>
      </w:r>
    </w:p>
    <w:p w14:paraId="169837D2" w14:textId="77777777" w:rsidR="00A9731B" w:rsidRPr="00D44CF2" w:rsidRDefault="00A9731B" w:rsidP="00A9731B">
      <w:pPr>
        <w:pStyle w:val="ListBullet"/>
        <w:numPr>
          <w:ilvl w:val="0"/>
          <w:numId w:val="49"/>
        </w:numPr>
      </w:pPr>
      <w:r w:rsidRPr="00D44CF2">
        <w:t>4 GW by 2035, and</w:t>
      </w:r>
    </w:p>
    <w:p w14:paraId="68A23E4A" w14:textId="77777777" w:rsidR="00A9731B" w:rsidRPr="00D44CF2" w:rsidRDefault="00A9731B" w:rsidP="00A9731B">
      <w:pPr>
        <w:pStyle w:val="ListBullet"/>
        <w:numPr>
          <w:ilvl w:val="0"/>
          <w:numId w:val="49"/>
        </w:numPr>
        <w:spacing w:after="0"/>
      </w:pPr>
      <w:r w:rsidRPr="00D44CF2">
        <w:t>9 GW by 2040.</w:t>
      </w:r>
    </w:p>
    <w:p w14:paraId="333C9645" w14:textId="1E39CD42" w:rsidR="00A9731B" w:rsidRPr="00D44CF2" w:rsidRDefault="00A9731B" w:rsidP="00A9731B">
      <w:pPr>
        <w:pStyle w:val="BodyText"/>
      </w:pPr>
      <w:r w:rsidRPr="00D44CF2">
        <w:t xml:space="preserve">OWEV is </w:t>
      </w:r>
      <w:r w:rsidRPr="00D44CF2">
        <w:rPr>
          <w:rFonts w:eastAsiaTheme="minorEastAsia"/>
        </w:rPr>
        <w:t>seeking bids from developers to provide support packages for their offshore wind energy projects</w:t>
      </w:r>
      <w:r w:rsidRPr="00D44CF2">
        <w:rPr>
          <w:rFonts w:ascii="Arial" w:eastAsia="Arial" w:hAnsi="Arial" w:cs="Arial"/>
          <w:color w:val="000000"/>
          <w:sz w:val="24"/>
          <w:szCs w:val="24"/>
        </w:rPr>
        <w:t xml:space="preserve">. </w:t>
      </w:r>
      <w:r w:rsidRPr="00D44CF2">
        <w:rPr>
          <w:rFonts w:eastAsiaTheme="minorEastAsia"/>
        </w:rPr>
        <w:t>OWEV is targeting the completion of this process for the first 2 GW tranche at Gippsland by late 2026</w:t>
      </w:r>
      <w:r w:rsidRPr="00D44CF2">
        <w:rPr>
          <w:rStyle w:val="FootnoteReference"/>
          <w:rFonts w:eastAsiaTheme="minorEastAsia"/>
        </w:rPr>
        <w:footnoteReference w:id="76"/>
      </w:r>
      <w:r w:rsidRPr="00D44CF2">
        <w:rPr>
          <w:rFonts w:eastAsiaTheme="minorEastAsia"/>
        </w:rPr>
        <w:t>.</w:t>
      </w:r>
    </w:p>
    <w:p w14:paraId="365D926F" w14:textId="77777777" w:rsidR="00A9731B" w:rsidRPr="00D44CF2" w:rsidRDefault="00A9731B" w:rsidP="00A9731B">
      <w:pPr>
        <w:pStyle w:val="BodyText"/>
      </w:pPr>
      <w:r w:rsidRPr="00D44CF2">
        <w:t xml:space="preserve">VicGrid will continue to lead the coordinated approach for new shared transmission infrastructure to connect the proposed offshore wind generation in the Gippsland Offshore REZ and Southern Ocean Offshore REZs.  </w:t>
      </w:r>
    </w:p>
    <w:p w14:paraId="3EC77D19" w14:textId="4CF5D9B9" w:rsidR="00A9731B" w:rsidRPr="00D44CF2" w:rsidRDefault="00A9731B" w:rsidP="00A9731B">
      <w:pPr>
        <w:pStyle w:val="BodyText"/>
      </w:pPr>
      <w:r w:rsidRPr="00D44CF2">
        <w:t xml:space="preserve">For the Gippsland Shoreline REZ, it is proposed to extend the transmission network to an offshore connection hub at Giffard, as shown in </w:t>
      </w:r>
      <w:r w:rsidRPr="00D44CF2">
        <w:rPr>
          <w:b/>
          <w:bCs/>
        </w:rPr>
        <w:fldChar w:fldCharType="begin"/>
      </w:r>
      <w:r w:rsidRPr="00D44CF2">
        <w:rPr>
          <w:b/>
          <w:bCs/>
        </w:rPr>
        <w:instrText xml:space="preserve"> REF _Ref208328179 \r \h  \* MERGEFORMAT </w:instrText>
      </w:r>
      <w:r w:rsidRPr="00D44CF2">
        <w:rPr>
          <w:b/>
          <w:bCs/>
        </w:rPr>
      </w:r>
      <w:r w:rsidRPr="00D44CF2">
        <w:rPr>
          <w:b/>
          <w:bCs/>
        </w:rPr>
        <w:fldChar w:fldCharType="separate"/>
      </w:r>
      <w:r w:rsidR="004973D2">
        <w:rPr>
          <w:b/>
          <w:bCs/>
        </w:rPr>
        <w:t>Figure 25</w:t>
      </w:r>
      <w:r w:rsidRPr="00D44CF2">
        <w:rPr>
          <w:b/>
          <w:bCs/>
        </w:rPr>
        <w:fldChar w:fldCharType="end"/>
      </w:r>
      <w:r w:rsidRPr="00D44CF2">
        <w:t>. An Expression of Interest has been released to the industry for a development partner. Shoreline crossing areas have also been identified through the transmission study area. Community engagement and negotiations on the transmission route between Giffard and the existing Loy Yang Power Station are in progress.</w:t>
      </w:r>
    </w:p>
    <w:p w14:paraId="0616FA95" w14:textId="77777777" w:rsidR="00A9731B" w:rsidRPr="00D44CF2" w:rsidRDefault="00A9731B" w:rsidP="00A9731B">
      <w:pPr>
        <w:pStyle w:val="BodyText"/>
      </w:pPr>
      <w:r w:rsidRPr="00D44CF2">
        <w:t>The Southern Ocean REZ, which currently is not part of the initial 2 GW target, will be required to connect into the existing South-West transmission network. No shore crossings have been identified for this area and is likely to be addressed by the offshore wind developer or developers.</w:t>
      </w:r>
    </w:p>
    <w:p w14:paraId="3A97D915" w14:textId="77777777" w:rsidR="00A9731B" w:rsidRPr="00D44CF2" w:rsidRDefault="00A9731B" w:rsidP="00DF33B4">
      <w:pPr>
        <w:pStyle w:val="CaptionFigure"/>
        <w:spacing w:after="0"/>
      </w:pPr>
      <w:bookmarkStart w:id="191" w:name="_Ref208328179"/>
      <w:bookmarkStart w:id="192" w:name="_Toc212023359"/>
      <w:r w:rsidRPr="00D44CF2">
        <w:lastRenderedPageBreak/>
        <w:t>Study area and indicative connection hub for offshore wind generator connections</w:t>
      </w:r>
      <w:bookmarkEnd w:id="191"/>
      <w:bookmarkEnd w:id="192"/>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A9731B" w:rsidRPr="00D44CF2" w14:paraId="506DF156" w14:textId="77777777" w:rsidTr="00DF33B4">
        <w:tc>
          <w:tcPr>
            <w:tcW w:w="10207" w:type="dxa"/>
          </w:tcPr>
          <w:p w14:paraId="6E6FC1E2" w14:textId="77777777" w:rsidR="00A9731B" w:rsidRPr="00D44CF2" w:rsidRDefault="00A9731B" w:rsidP="001A3F5B">
            <w:pPr>
              <w:pStyle w:val="BodyText"/>
              <w:keepNext/>
              <w:spacing w:after="0"/>
            </w:pPr>
            <w:r w:rsidRPr="00D44CF2">
              <w:rPr>
                <w:noProof/>
              </w:rPr>
              <w:drawing>
                <wp:inline distT="0" distB="0" distL="0" distR="0" wp14:anchorId="3FE49867" wp14:editId="5516E617">
                  <wp:extent cx="3698097" cy="3296920"/>
                  <wp:effectExtent l="0" t="0" r="0" b="0"/>
                  <wp:docPr id="9766859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85906" name=""/>
                          <pic:cNvPicPr/>
                        </pic:nvPicPr>
                        <pic:blipFill rotWithShape="1">
                          <a:blip r:embed="rId71" cstate="print">
                            <a:extLst>
                              <a:ext uri="{28A0092B-C50C-407E-A947-70E740481C1C}">
                                <a14:useLocalDpi xmlns:a14="http://schemas.microsoft.com/office/drawing/2010/main" val="0"/>
                              </a:ext>
                            </a:extLst>
                          </a:blip>
                          <a:srcRect l="1455"/>
                          <a:stretch/>
                        </pic:blipFill>
                        <pic:spPr bwMode="auto">
                          <a:xfrm>
                            <a:off x="0" y="0"/>
                            <a:ext cx="3704030" cy="3302209"/>
                          </a:xfrm>
                          <a:prstGeom prst="rect">
                            <a:avLst/>
                          </a:prstGeom>
                          <a:ln>
                            <a:noFill/>
                          </a:ln>
                          <a:extLst>
                            <a:ext uri="{53640926-AAD7-44D8-BBD7-CCE9431645EC}">
                              <a14:shadowObscured xmlns:a14="http://schemas.microsoft.com/office/drawing/2010/main"/>
                            </a:ext>
                          </a:extLst>
                        </pic:spPr>
                      </pic:pic>
                    </a:graphicData>
                  </a:graphic>
                </wp:inline>
              </w:drawing>
            </w:r>
          </w:p>
        </w:tc>
      </w:tr>
      <w:tr w:rsidR="00A9731B" w:rsidRPr="00D44CF2" w14:paraId="695A2F66" w14:textId="77777777" w:rsidTr="00DF33B4">
        <w:tc>
          <w:tcPr>
            <w:tcW w:w="10207" w:type="dxa"/>
          </w:tcPr>
          <w:p w14:paraId="24D0625C" w14:textId="77777777" w:rsidR="00A9731B" w:rsidRPr="00D44CF2" w:rsidRDefault="00A9731B" w:rsidP="001A3F5B">
            <w:pPr>
              <w:pStyle w:val="BodyText"/>
              <w:spacing w:before="0" w:after="0"/>
            </w:pPr>
            <w:r w:rsidRPr="00D44CF2">
              <w:rPr>
                <w:noProof/>
              </w:rPr>
              <w:drawing>
                <wp:inline distT="0" distB="0" distL="0" distR="0" wp14:anchorId="7E930AE3" wp14:editId="6A159522">
                  <wp:extent cx="4681182" cy="3071729"/>
                  <wp:effectExtent l="0" t="0" r="5715" b="0"/>
                  <wp:docPr id="21274065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96402" name=""/>
                          <pic:cNvPicPr/>
                        </pic:nvPicPr>
                        <pic:blipFill rotWithShape="1">
                          <a:blip r:embed="rId72">
                            <a:extLst>
                              <a:ext uri="{28A0092B-C50C-407E-A947-70E740481C1C}">
                                <a14:useLocalDpi xmlns:a14="http://schemas.microsoft.com/office/drawing/2010/main" val="0"/>
                              </a:ext>
                            </a:extLst>
                          </a:blip>
                          <a:srcRect/>
                          <a:stretch/>
                        </pic:blipFill>
                        <pic:spPr bwMode="auto">
                          <a:xfrm>
                            <a:off x="0" y="0"/>
                            <a:ext cx="4721463" cy="30981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D93CF0" w14:textId="5C4FA57F" w:rsidR="00A9731B" w:rsidRPr="00D44CF2" w:rsidRDefault="00A9731B" w:rsidP="00A9731B">
      <w:pPr>
        <w:pStyle w:val="TableFigureFootnote"/>
      </w:pPr>
      <w:r w:rsidRPr="00D44CF2">
        <w:t xml:space="preserve">Sources: </w:t>
      </w:r>
      <w:hyperlink r:id="rId73" w:history="1">
        <w:r w:rsidR="00625DBD">
          <w:rPr>
            <w:rStyle w:val="Hyperlink"/>
          </w:rPr>
          <w:t>https://www.vicgrid.com.au/transmission-planning/renewable-energy-zones/gippsland-shoreline-renewable-energy-zone</w:t>
        </w:r>
      </w:hyperlink>
      <w:r w:rsidRPr="00D44CF2">
        <w:t xml:space="preserve"> and</w:t>
      </w:r>
    </w:p>
    <w:p w14:paraId="24DFD066" w14:textId="1C4A59D5" w:rsidR="00A9731B" w:rsidRPr="00D44CF2" w:rsidRDefault="006A3703" w:rsidP="00A9731B">
      <w:pPr>
        <w:pStyle w:val="TableFigureFootnote"/>
      </w:pPr>
      <w:hyperlink r:id="rId74" w:history="1">
        <w:r w:rsidRPr="00CD2AD4">
          <w:rPr>
            <w:rStyle w:val="Hyperlink"/>
          </w:rPr>
          <w:t>https://www.vicgrid.com.au/__data/assets/pdf_file/0028/761392/2025-victorian-transmission-plan-gippsland-summary.pdf</w:t>
        </w:r>
      </w:hyperlink>
    </w:p>
    <w:p w14:paraId="394AA423" w14:textId="77777777" w:rsidR="00A9731B" w:rsidRPr="00D44CF2" w:rsidRDefault="00A9731B" w:rsidP="00A9731B">
      <w:pPr>
        <w:pStyle w:val="Heading4"/>
      </w:pPr>
      <w:r w:rsidRPr="00D44CF2">
        <w:t>Projects in neighbouring regions</w:t>
      </w:r>
    </w:p>
    <w:p w14:paraId="7F879429" w14:textId="77777777" w:rsidR="00A9731B" w:rsidRPr="00D44CF2" w:rsidRDefault="00A9731B" w:rsidP="00A9731B">
      <w:pPr>
        <w:pStyle w:val="Heading5"/>
      </w:pPr>
      <w:r w:rsidRPr="00D44CF2">
        <w:t>EnergyConnect</w:t>
      </w:r>
    </w:p>
    <w:p w14:paraId="0F4BEF52" w14:textId="77777777" w:rsidR="00A9731B" w:rsidRPr="00D44CF2" w:rsidRDefault="00A9731B" w:rsidP="00A9731B">
      <w:pPr>
        <w:pStyle w:val="BodyText"/>
      </w:pPr>
      <w:r w:rsidRPr="00D44CF2">
        <w:t xml:space="preserve">EnergyConnect is a committed interconnector between South Australia and New South Wales, with connection to Victoria at Red Cliffs, with a transfer limit of 800 MW. The project is aimed at reducing the cost of providing secure and reliable electricity across the NEM, while facilitating a longer-term transition to low emission energy sources in Northern South Australia and Southern New South Wales. The completion of EnergyConnect will provide </w:t>
      </w:r>
      <w:r w:rsidRPr="00D44CF2">
        <w:lastRenderedPageBreak/>
        <w:t xml:space="preserve">increased transfer between Victoria and New South Wales via the upgraded Red Cliffs to Buronga 220 kV connection. </w:t>
      </w:r>
    </w:p>
    <w:p w14:paraId="6F28CB2B" w14:textId="77777777" w:rsidR="00A9731B" w:rsidRPr="00D44CF2" w:rsidRDefault="00A9731B" w:rsidP="00A9731B">
      <w:pPr>
        <w:pStyle w:val="BodyText"/>
      </w:pPr>
      <w:r w:rsidRPr="00D44CF2">
        <w:t>EnergyConnect will be commissioned in two stages:</w:t>
      </w:r>
    </w:p>
    <w:p w14:paraId="0B071B2C" w14:textId="77777777" w:rsidR="00A9731B" w:rsidRPr="00D44CF2" w:rsidRDefault="00A9731B" w:rsidP="00A9731B">
      <w:pPr>
        <w:pStyle w:val="ListBullet"/>
      </w:pPr>
      <w:r w:rsidRPr="00D44CF2">
        <w:rPr>
          <w:b/>
          <w:bCs/>
        </w:rPr>
        <w:t>Stage 1 (complete)</w:t>
      </w:r>
      <w:r w:rsidRPr="00D44CF2">
        <w:t xml:space="preserve"> – a new 275 kV and 330 kV double-circuit interconnector has been built from Robertstown in mid</w:t>
      </w:r>
      <w:r w:rsidRPr="00D44CF2">
        <w:noBreakHyphen/>
        <w:t>north South Australia to Buronga in south-west New South Wales, via a new 275/330 kV substation at Bundey in South Australia. A new 220</w:t>
      </w:r>
      <w:r w:rsidRPr="00D44CF2">
        <w:rPr>
          <w:rFonts w:hint="eastAsia"/>
        </w:rPr>
        <w:t> </w:t>
      </w:r>
      <w:r w:rsidRPr="00D44CF2">
        <w:t>kV double</w:t>
      </w:r>
      <w:r w:rsidRPr="00D44CF2">
        <w:noBreakHyphen/>
        <w:t>circuit line has been built between Buronga and Red Cliffs in Victoria, replacing the existing single</w:t>
      </w:r>
      <w:r w:rsidRPr="00D44CF2">
        <w:noBreakHyphen/>
        <w:t>circuit line, and increasing the line thermal capacity to 800</w:t>
      </w:r>
      <w:r w:rsidRPr="00D44CF2">
        <w:rPr>
          <w:rFonts w:hint="eastAsia"/>
        </w:rPr>
        <w:t> </w:t>
      </w:r>
      <w:r w:rsidRPr="00D44CF2">
        <w:t>MVA per circuit. Commissioning of EnergyConnect</w:t>
      </w:r>
      <w:r w:rsidRPr="00D44CF2" w:rsidDel="00FD4E13">
        <w:t xml:space="preserve"> </w:t>
      </w:r>
      <w:r w:rsidRPr="00D44CF2">
        <w:t>Stage 1 and inter-network testing was completed in April 2025. The transfer capacity of the new South Australia – New South Wales interconnector (SNI</w:t>
      </w:r>
      <w:r w:rsidRPr="00D44CF2">
        <w:rPr>
          <w:rStyle w:val="FootnoteReference"/>
        </w:rPr>
        <w:footnoteReference w:id="77"/>
      </w:r>
      <w:r w:rsidRPr="00D44CF2">
        <w:t>) following Stage 1 completion is 150</w:t>
      </w:r>
      <w:r w:rsidRPr="00D44CF2">
        <w:rPr>
          <w:rFonts w:hint="eastAsia"/>
        </w:rPr>
        <w:t> </w:t>
      </w:r>
      <w:r w:rsidRPr="00D44CF2">
        <w:t xml:space="preserve">MW. </w:t>
      </w:r>
      <w:r w:rsidRPr="00D44CF2">
        <w:rPr>
          <w:bCs/>
        </w:rPr>
        <w:t xml:space="preserve"> </w:t>
      </w:r>
    </w:p>
    <w:p w14:paraId="2AAA25DA" w14:textId="77777777" w:rsidR="00A9731B" w:rsidRPr="00D44CF2" w:rsidRDefault="00A9731B" w:rsidP="00A9731B">
      <w:pPr>
        <w:pStyle w:val="ListBullet2"/>
        <w:numPr>
          <w:ilvl w:val="1"/>
          <w:numId w:val="21"/>
        </w:numPr>
      </w:pPr>
      <w:r w:rsidRPr="00D44CF2">
        <w:t>The Heywood interconnector (HIC) between Victoria and South Australia was upgraded in 2016 with an increased design transfer capacity of 650</w:t>
      </w:r>
      <w:r w:rsidRPr="00D44CF2">
        <w:rPr>
          <w:rFonts w:hint="eastAsia"/>
        </w:rPr>
        <w:t> </w:t>
      </w:r>
      <w:r w:rsidRPr="00D44CF2">
        <w:t>MW in both directions, however due to stability limits identified following the South Australian black system event in 2016 the interconnector has been</w:t>
      </w:r>
      <w:r w:rsidRPr="00D44CF2">
        <w:rPr>
          <w:bCs/>
        </w:rPr>
        <w:t xml:space="preserve"> </w:t>
      </w:r>
      <w:r w:rsidRPr="00D44CF2">
        <w:t>limited to</w:t>
      </w:r>
      <w:r w:rsidRPr="00D44CF2">
        <w:rPr>
          <w:bCs/>
        </w:rPr>
        <w:t xml:space="preserve"> </w:t>
      </w:r>
      <w:r w:rsidRPr="00D44CF2">
        <w:t>550</w:t>
      </w:r>
      <w:r w:rsidRPr="00D44CF2">
        <w:rPr>
          <w:rFonts w:hint="eastAsia"/>
        </w:rPr>
        <w:t> </w:t>
      </w:r>
      <w:r w:rsidRPr="00D44CF2">
        <w:t>MW for South Australian export and 600</w:t>
      </w:r>
      <w:r w:rsidRPr="00D44CF2">
        <w:rPr>
          <w:rFonts w:hint="eastAsia"/>
        </w:rPr>
        <w:t> </w:t>
      </w:r>
      <w:r w:rsidRPr="00D44CF2">
        <w:t>MW for South Australian import. Inter network testing is currently progressing, with the aim of assessing conditions for potential release of the full design capacity.</w:t>
      </w:r>
    </w:p>
    <w:p w14:paraId="5C7ADEE1" w14:textId="77777777" w:rsidR="00A9731B" w:rsidRPr="00D44CF2" w:rsidRDefault="00A9731B" w:rsidP="00A9731B">
      <w:pPr>
        <w:pStyle w:val="ListBullet2"/>
        <w:numPr>
          <w:ilvl w:val="1"/>
          <w:numId w:val="21"/>
        </w:numPr>
      </w:pPr>
      <w:r w:rsidRPr="00D44CF2">
        <w:t>The Murraylink VFRB Scheme for Victoria to South Australian exporting conditions was also upgraded in EnergyConnect Stage 1 to accommodate for the double-circuit contingency of the new 220</w:t>
      </w:r>
      <w:r w:rsidRPr="00D44CF2">
        <w:rPr>
          <w:rFonts w:hint="eastAsia"/>
        </w:rPr>
        <w:t> </w:t>
      </w:r>
      <w:r w:rsidRPr="00D44CF2">
        <w:t>kV double</w:t>
      </w:r>
      <w:r w:rsidRPr="00D44CF2">
        <w:noBreakHyphen/>
        <w:t>circuit line between Buronga and Red Cliffs in Victoria. This upgrade was completed in August 2024.</w:t>
      </w:r>
    </w:p>
    <w:p w14:paraId="70C550E7" w14:textId="78F61B6C" w:rsidR="00A9731B" w:rsidRPr="00D44CF2" w:rsidRDefault="00A9731B" w:rsidP="3AD74A67">
      <w:pPr>
        <w:pStyle w:val="ListBullet"/>
      </w:pPr>
      <w:r w:rsidRPr="00D44CF2">
        <w:rPr>
          <w:b/>
          <w:bCs/>
        </w:rPr>
        <w:t>Stage 2</w:t>
      </w:r>
      <w:r w:rsidRPr="00D44CF2">
        <w:t xml:space="preserve"> – a new 330 kV double</w:t>
      </w:r>
      <w:r w:rsidRPr="00D44CF2">
        <w:noBreakHyphen/>
        <w:t>circuit transmission line (540 km) will be built between Buronga and Wagga Wagga in New South Wales, a new substation will be constructed at Dinawan in New South Wales, and the existing substation at Wagga Wagga will be upgraded. The section between Dinawan and Wagga Wagga will be constructed to 500 kV but operated initially at 330</w:t>
      </w:r>
      <w:r w:rsidRPr="00D44CF2">
        <w:rPr>
          <w:rFonts w:hint="eastAsia"/>
        </w:rPr>
        <w:t> </w:t>
      </w:r>
      <w:r w:rsidRPr="00D44CF2">
        <w:t>kV in anticipation of the VNI West double-circuit line connecting at Dinawan at 500</w:t>
      </w:r>
      <w:r w:rsidRPr="00D44CF2">
        <w:rPr>
          <w:rFonts w:hint="eastAsia"/>
        </w:rPr>
        <w:t> </w:t>
      </w:r>
      <w:r w:rsidRPr="00D44CF2">
        <w:t xml:space="preserve">kV. Stage 2 is </w:t>
      </w:r>
      <w:r w:rsidR="1F40A65F" w:rsidRPr="00D44CF2">
        <w:t>planned</w:t>
      </w:r>
      <w:r w:rsidRPr="00D44CF2">
        <w:t xml:space="preserve"> to be completed in late 2026. </w:t>
      </w:r>
    </w:p>
    <w:p w14:paraId="5CBD8EB9" w14:textId="77777777" w:rsidR="00A9731B" w:rsidRPr="00D44CF2" w:rsidRDefault="00A9731B" w:rsidP="00A9731B">
      <w:pPr>
        <w:pStyle w:val="BodyText"/>
      </w:pPr>
      <w:r w:rsidRPr="00D44CF2">
        <w:t>This project includes the South Australia Interconnector Trip Remedial Action Scheme (SAIT RAS). The SAIT RAS was designed to cater for the separation of South Australia from either HIC or 500 kV Victorian network under high power transfer conditions that could result in transient instability in South Australia. This scheme includes a Victorian component to detect any loss of both 500</w:t>
      </w:r>
      <w:r w:rsidRPr="00D44CF2">
        <w:rPr>
          <w:rFonts w:hint="eastAsia"/>
        </w:rPr>
        <w:t> </w:t>
      </w:r>
      <w:r w:rsidRPr="00D44CF2">
        <w:t xml:space="preserve">kV lines between Heywood and Moorabool in Victoria, which result in an effective separation of South Australia from South West Victoria, either due to a credible contingency during a prior outage or non-credible event. ElectraNet has commissioned Stage 1 of the scheme, including its Victorian component delivered by AVP, and is progressing additional works for Stage 2 of the scheme with AusNet. </w:t>
      </w:r>
    </w:p>
    <w:p w14:paraId="6F19431E" w14:textId="77777777" w:rsidR="00A9731B" w:rsidRPr="00D44CF2" w:rsidRDefault="00A9731B" w:rsidP="00A9731B">
      <w:pPr>
        <w:pStyle w:val="BodyText"/>
      </w:pPr>
      <w:r w:rsidRPr="00D44CF2">
        <w:t>These additional works under Stage 2 include:</w:t>
      </w:r>
    </w:p>
    <w:p w14:paraId="3730D607" w14:textId="77777777" w:rsidR="00A9731B" w:rsidRPr="00D44CF2" w:rsidRDefault="00A9731B" w:rsidP="00A9731B">
      <w:pPr>
        <w:pStyle w:val="ListBullet"/>
      </w:pPr>
      <w:r w:rsidRPr="00D44CF2">
        <w:rPr>
          <w:b/>
          <w:bCs/>
        </w:rPr>
        <w:t>SAIT RAS (Stage 2)</w:t>
      </w:r>
      <w:r w:rsidRPr="00D44CF2">
        <w:t xml:space="preserve"> – Ausnet is undertaking works at terminal stations along the Heywood to Moorabool corridor to provide protection signalling to the SAIT RAS scheme based on single contingency events. The project also includes installation of Phasor Measurement Units (PMUs) at Heywood Terminal Station.</w:t>
      </w:r>
    </w:p>
    <w:p w14:paraId="678F9565" w14:textId="77979437" w:rsidR="00A9731B" w:rsidRPr="00D44CF2" w:rsidRDefault="00A9731B" w:rsidP="00A9731B">
      <w:pPr>
        <w:pStyle w:val="ListBullet"/>
      </w:pPr>
      <w:r w:rsidRPr="00D44CF2">
        <w:rPr>
          <w:b/>
          <w:bCs/>
        </w:rPr>
        <w:t>South East Switching Station to Heywood Optical Ground Wire</w:t>
      </w:r>
      <w:r w:rsidRPr="00D44CF2">
        <w:t xml:space="preserve"> (</w:t>
      </w:r>
      <w:r w:rsidRPr="00D44CF2">
        <w:rPr>
          <w:b/>
          <w:bCs/>
        </w:rPr>
        <w:t>OPGW)</w:t>
      </w:r>
      <w:r w:rsidRPr="00D44CF2">
        <w:t xml:space="preserve"> – Electra</w:t>
      </w:r>
      <w:r w:rsidR="00791E5F">
        <w:t>N</w:t>
      </w:r>
      <w:r w:rsidRPr="00D44CF2">
        <w:t xml:space="preserve">et and AusNet are undertaking upgrades between Heywood and the South East Substation, a critical node within the HIC corridor </w:t>
      </w:r>
      <w:r w:rsidRPr="00D44CF2">
        <w:lastRenderedPageBreak/>
        <w:t>linking Victoria and South Australia. The works include installing OPGW to enhance real-time data exchange and grid protection capabilities, supporting high-speed monitoring and improved power system stability management across the interconnector.</w:t>
      </w:r>
    </w:p>
    <w:p w14:paraId="0A632F24" w14:textId="746BE8E2" w:rsidR="00A9731B" w:rsidRPr="00D44CF2" w:rsidRDefault="00A9731B" w:rsidP="00A9731B">
      <w:pPr>
        <w:pStyle w:val="ListBullet"/>
      </w:pPr>
      <w:r w:rsidRPr="00D44CF2">
        <w:t>As a separate project, AVP is proposing to add an additional new scheme, Heywood Interconnector Remedial Action Scheme</w:t>
      </w:r>
      <w:r w:rsidR="00B7043D" w:rsidRPr="00D44CF2">
        <w:t xml:space="preserve"> (HIC RAS</w:t>
      </w:r>
      <w:r w:rsidRPr="00D44CF2">
        <w:t>), to trip load and generation connected to the south-west Victorian corridor, to better manage transient stability post non-credible separation of South Australia from the 500 kV Victorian network. Refer to Section 1.4.2 for more details.</w:t>
      </w:r>
    </w:p>
    <w:p w14:paraId="1A143DB0" w14:textId="77777777" w:rsidR="00A9731B" w:rsidRPr="00D44CF2" w:rsidRDefault="00A9731B" w:rsidP="00A9731B">
      <w:pPr>
        <w:pStyle w:val="Heading5"/>
      </w:pPr>
      <w:r w:rsidRPr="00D44CF2">
        <w:t>Marinus Link</w:t>
      </w:r>
    </w:p>
    <w:p w14:paraId="158F58F7" w14:textId="6D4C987F" w:rsidR="00A9731B" w:rsidRPr="00D44CF2" w:rsidRDefault="00A9731B" w:rsidP="00A9731B">
      <w:pPr>
        <w:pStyle w:val="BodyText"/>
      </w:pPr>
      <w:r w:rsidRPr="00D44CF2">
        <w:t xml:space="preserve">Marinus Link is a proposed underground and undersea electricity transmission project, comprising two 750 MW HVDC links to further connect Tasmania and Victoria. </w:t>
      </w:r>
    </w:p>
    <w:p w14:paraId="3754AEE8" w14:textId="77777777" w:rsidR="00A9731B" w:rsidRPr="00D44CF2" w:rsidRDefault="00A9731B" w:rsidP="00A9731B">
      <w:pPr>
        <w:pStyle w:val="BodyText"/>
        <w:rPr>
          <w:b/>
        </w:rPr>
      </w:pPr>
      <w:r w:rsidRPr="00D44CF2">
        <w:t>This project will provide the mainland power system with improved access to Tasmania’s dispatchable capacity (including deep storages) and high quality VRE opportunities, helping reduce the scale of investment needed on the mainland. The characteristics of customer demand, generation, and storage resources vary significantly between Tasmania and the rest of the NEM, and improved access between Tasmania and the mainland will allow the NEM to capitalise on this diversity</w:t>
      </w:r>
      <w:r w:rsidRPr="00D44CF2">
        <w:rPr>
          <w:vertAlign w:val="superscript"/>
        </w:rPr>
        <w:footnoteReference w:id="78"/>
      </w:r>
      <w:r w:rsidRPr="00D44CF2">
        <w:t>.</w:t>
      </w:r>
    </w:p>
    <w:p w14:paraId="46C6D671" w14:textId="4EC0283E" w:rsidR="00A9731B" w:rsidRPr="00D44CF2" w:rsidRDefault="00A9731B" w:rsidP="00A9731B">
      <w:pPr>
        <w:pStyle w:val="BodyText"/>
      </w:pPr>
      <w:r w:rsidRPr="00D44CF2">
        <w:t xml:space="preserve">This project will be delivered in two stages, initially as a 750 MW project (Stage 1), with a second 750 MW link to follow at a later date (Stage 2). In August 2025 Marinus Link reached the FID milestone and Stage 1 construction is anticipated to commence in 2026 with a </w:t>
      </w:r>
      <w:r w:rsidR="035CF55D" w:rsidRPr="00D44CF2">
        <w:t>planned</w:t>
      </w:r>
      <w:r w:rsidRPr="00D44CF2">
        <w:t xml:space="preserve"> completion in 2030.  </w:t>
      </w:r>
    </w:p>
    <w:p w14:paraId="551D96EC" w14:textId="77777777" w:rsidR="00A9731B" w:rsidRPr="00D44CF2" w:rsidRDefault="00A9731B" w:rsidP="00A9731B">
      <w:pPr>
        <w:pStyle w:val="Heading3"/>
      </w:pPr>
      <w:r w:rsidRPr="00D44CF2">
        <w:t>Progression of AVP’s Transmission Development Plan since 2024 VAPR</w:t>
      </w:r>
      <w:r w:rsidRPr="00D44CF2">
        <w:rPr>
          <w:rFonts w:ascii="Arial" w:hAnsi="Arial" w:cs="Arial"/>
        </w:rPr>
        <w:t>​</w:t>
      </w:r>
    </w:p>
    <w:p w14:paraId="6B33CED2" w14:textId="77777777" w:rsidR="00A9731B" w:rsidRPr="00D44CF2" w:rsidRDefault="00A9731B" w:rsidP="00A9731B">
      <w:pPr>
        <w:pStyle w:val="BodyText"/>
      </w:pPr>
      <w:r w:rsidRPr="00D44CF2">
        <w:t>The following changes have been made to AVP’s Transmission Development Plan since the 2024 VAPR:</w:t>
      </w:r>
    </w:p>
    <w:p w14:paraId="3D924E7E" w14:textId="5592323E" w:rsidR="00A9731B" w:rsidRPr="00D44CF2" w:rsidRDefault="00A9731B" w:rsidP="00A9731B">
      <w:pPr>
        <w:pStyle w:val="ListBullet"/>
        <w:numPr>
          <w:ilvl w:val="0"/>
          <w:numId w:val="51"/>
        </w:numPr>
      </w:pPr>
      <w:r w:rsidRPr="00D44CF2">
        <w:t xml:space="preserve">Feasibility studies for the Red Cliffs – Wemen – Kerang 220 kV transmission line limitation and the voltage stability limitations in the area have commenced (see Section </w:t>
      </w:r>
      <w:r w:rsidRPr="00D44CF2">
        <w:fldChar w:fldCharType="begin"/>
      </w:r>
      <w:r w:rsidRPr="00D44CF2">
        <w:instrText xml:space="preserve"> REF _Ref177639861 \r \h </w:instrText>
      </w:r>
      <w:r w:rsidR="00D44CF2">
        <w:instrText xml:space="preserve"> \* MERGEFORMAT </w:instrText>
      </w:r>
      <w:r w:rsidRPr="00D44CF2">
        <w:fldChar w:fldCharType="separate"/>
      </w:r>
      <w:r w:rsidR="004973D2">
        <w:t>3.1.2</w:t>
      </w:r>
      <w:r w:rsidRPr="00D44CF2">
        <w:fldChar w:fldCharType="end"/>
      </w:r>
      <w:r w:rsidRPr="00D44CF2">
        <w:t xml:space="preserve"> for more information). </w:t>
      </w:r>
    </w:p>
    <w:p w14:paraId="30DA0985" w14:textId="2B5E92DC" w:rsidR="00A9731B" w:rsidRPr="00D44CF2" w:rsidRDefault="00A9731B" w:rsidP="00A9731B">
      <w:pPr>
        <w:pStyle w:val="ListBullet"/>
        <w:numPr>
          <w:ilvl w:val="0"/>
          <w:numId w:val="51"/>
        </w:numPr>
      </w:pPr>
      <w:r w:rsidRPr="00D44CF2">
        <w:t>A RIT-T for Eastern Victoria Grid Reinforcement has progressed with publication of the PSCR on 13 November 2024. The PSCR consultation period ended on 7 February 2025 and AVP is progressing next steps in the cost</w:t>
      </w:r>
      <w:r w:rsidRPr="00D44CF2">
        <w:noBreakHyphen/>
        <w:t xml:space="preserve">benefit assessment process (see Section </w:t>
      </w:r>
      <w:r w:rsidRPr="00D44CF2">
        <w:fldChar w:fldCharType="begin"/>
      </w:r>
      <w:r w:rsidRPr="00D44CF2">
        <w:instrText xml:space="preserve"> REF _Ref177639803 \n \h  \* MERGEFORMAT </w:instrText>
      </w:r>
      <w:r w:rsidRPr="00D44CF2">
        <w:fldChar w:fldCharType="separate"/>
      </w:r>
      <w:r w:rsidR="004973D2">
        <w:t>3.1.5</w:t>
      </w:r>
      <w:r w:rsidRPr="00D44CF2">
        <w:fldChar w:fldCharType="end"/>
      </w:r>
      <w:r w:rsidRPr="00D44CF2">
        <w:t xml:space="preserve"> for more information).  </w:t>
      </w:r>
    </w:p>
    <w:p w14:paraId="37AC13AD" w14:textId="128114CD" w:rsidR="00A9731B" w:rsidRPr="00D44CF2" w:rsidRDefault="00A9731B" w:rsidP="00A9731B">
      <w:pPr>
        <w:pStyle w:val="ListBullet"/>
        <w:numPr>
          <w:ilvl w:val="0"/>
          <w:numId w:val="51"/>
        </w:numPr>
      </w:pPr>
      <w:r w:rsidRPr="00D44CF2">
        <w:t xml:space="preserve">A RIT-T for Western Metropolitan Melbourne Reinforcement has progressed with publication of the PSCR on 11 March 2025. The PSCR consultation period ended on 6 June 2025 and AVP is progressing next steps in the cost-benefit assessment process (see Section </w:t>
      </w:r>
      <w:r w:rsidRPr="00D44CF2">
        <w:fldChar w:fldCharType="begin"/>
      </w:r>
      <w:r w:rsidRPr="00D44CF2">
        <w:instrText xml:space="preserve"> REF _Ref177639803 \n \h  \* MERGEFORMAT </w:instrText>
      </w:r>
      <w:r w:rsidRPr="00D44CF2">
        <w:fldChar w:fldCharType="separate"/>
      </w:r>
      <w:r w:rsidR="004973D2">
        <w:t>3.1.5</w:t>
      </w:r>
      <w:r w:rsidRPr="00D44CF2">
        <w:fldChar w:fldCharType="end"/>
      </w:r>
      <w:r w:rsidRPr="00D44CF2">
        <w:t xml:space="preserve"> for more information).  </w:t>
      </w:r>
    </w:p>
    <w:p w14:paraId="5F7B9DF3" w14:textId="2EB8C3A0" w:rsidR="00A9731B" w:rsidRPr="00D44CF2" w:rsidRDefault="00A9731B" w:rsidP="00A9731B">
      <w:pPr>
        <w:pStyle w:val="ListBullet"/>
        <w:numPr>
          <w:ilvl w:val="0"/>
          <w:numId w:val="51"/>
        </w:numPr>
      </w:pPr>
      <w:r w:rsidRPr="00D44CF2">
        <w:t xml:space="preserve">A RIT-T for Metropolitan Melbourne Voltage Management concluded with publication of the PACR on 13 December 2024 (see Section </w:t>
      </w:r>
      <w:r w:rsidRPr="00D44CF2">
        <w:fldChar w:fldCharType="begin"/>
      </w:r>
      <w:r w:rsidRPr="00D44CF2">
        <w:instrText xml:space="preserve"> REF _Ref177639861 \r \h </w:instrText>
      </w:r>
      <w:r w:rsidR="00D44CF2">
        <w:instrText xml:space="preserve"> \* MERGEFORMAT </w:instrText>
      </w:r>
      <w:r w:rsidRPr="00D44CF2">
        <w:fldChar w:fldCharType="separate"/>
      </w:r>
      <w:r w:rsidR="004973D2">
        <w:t>3.1.2</w:t>
      </w:r>
      <w:r w:rsidRPr="00D44CF2">
        <w:fldChar w:fldCharType="end"/>
      </w:r>
      <w:r w:rsidRPr="00D44CF2">
        <w:t xml:space="preserve"> for details). </w:t>
      </w:r>
    </w:p>
    <w:p w14:paraId="246765C5" w14:textId="02F25726" w:rsidR="00A9731B" w:rsidRPr="00D44CF2" w:rsidRDefault="00A9731B" w:rsidP="00A9731B">
      <w:pPr>
        <w:pStyle w:val="ListBullet"/>
        <w:numPr>
          <w:ilvl w:val="0"/>
          <w:numId w:val="51"/>
        </w:numPr>
      </w:pPr>
      <w:r w:rsidRPr="00D44CF2">
        <w:t xml:space="preserve">A RIT-T for Victorian System Strength Requirement concluded with publication of the PACR on 1 August 2025 (see Section </w:t>
      </w:r>
      <w:r w:rsidRPr="00D44CF2">
        <w:fldChar w:fldCharType="begin"/>
      </w:r>
      <w:r w:rsidRPr="00D44CF2">
        <w:instrText xml:space="preserve"> REF _Ref177639861 \r \h </w:instrText>
      </w:r>
      <w:r w:rsidR="00D44CF2">
        <w:instrText xml:space="preserve"> \* MERGEFORMAT </w:instrText>
      </w:r>
      <w:r w:rsidRPr="00D44CF2">
        <w:fldChar w:fldCharType="separate"/>
      </w:r>
      <w:r w:rsidR="004973D2">
        <w:t>3.1.2</w:t>
      </w:r>
      <w:r w:rsidRPr="00D44CF2">
        <w:fldChar w:fldCharType="end"/>
      </w:r>
      <w:r w:rsidRPr="00D44CF2">
        <w:t xml:space="preserve"> for details). </w:t>
      </w:r>
    </w:p>
    <w:p w14:paraId="2DB7FF06" w14:textId="77777777" w:rsidR="00A9731B" w:rsidRPr="00D44CF2" w:rsidRDefault="00A9731B" w:rsidP="00A9731B">
      <w:pPr>
        <w:pStyle w:val="Heading3"/>
      </w:pPr>
      <w:r w:rsidRPr="00D44CF2">
        <w:lastRenderedPageBreak/>
        <w:t>Reducing constraints with projects already underway</w:t>
      </w:r>
    </w:p>
    <w:p w14:paraId="06BF5576" w14:textId="77777777" w:rsidR="00A9731B" w:rsidRPr="00D44CF2" w:rsidRDefault="00A9731B" w:rsidP="00A9731B">
      <w:pPr>
        <w:pStyle w:val="BodyText"/>
      </w:pPr>
      <w:r w:rsidRPr="00D44CF2">
        <w:t>The on-time delivery of these major augmentation projects is critically important to unlock the network opportunities and enable consumer benefits via renewable energy sources.</w:t>
      </w:r>
    </w:p>
    <w:p w14:paraId="753E3FE5" w14:textId="200320B8" w:rsidR="00A9731B" w:rsidRPr="00D44CF2" w:rsidRDefault="00A9731B" w:rsidP="00A9731B">
      <w:pPr>
        <w:pStyle w:val="BodyText"/>
        <w:rPr>
          <w:rFonts w:ascii="Arial Nova" w:eastAsia="Arial Nova" w:hAnsi="Arial Nova" w:cs="Times New Roman"/>
        </w:rPr>
      </w:pPr>
      <w:r w:rsidRPr="00D44CF2">
        <w:t xml:space="preserve">As discussed in the </w:t>
      </w:r>
      <w:r w:rsidR="00FA2C9F" w:rsidRPr="00D44CF2">
        <w:t>VNPIR</w:t>
      </w:r>
      <w:r w:rsidRPr="00D44CF2">
        <w:t xml:space="preserve">, during 2024-25 there were 18 high impact constraints meeting the limits of over 20 binding hours and over $60,000 of binding market impact. Among the </w:t>
      </w:r>
      <w:r w:rsidRPr="00D44CF2">
        <w:rPr>
          <w:rFonts w:ascii="Arial Nova" w:eastAsia="Arial Nova" w:hAnsi="Arial Nova" w:cs="Times New Roman"/>
        </w:rPr>
        <w:t>top</w:t>
      </w:r>
      <w:r w:rsidRPr="00D44CF2" w:rsidDel="00586AEA">
        <w:rPr>
          <w:rFonts w:ascii="Arial Nova" w:eastAsia="Arial Nova" w:hAnsi="Arial Nova" w:cs="Times New Roman"/>
        </w:rPr>
        <w:t xml:space="preserve"> </w:t>
      </w:r>
      <w:r w:rsidRPr="00D44CF2">
        <w:rPr>
          <w:rFonts w:ascii="Arial Nova" w:eastAsia="Arial Nova" w:hAnsi="Arial Nova" w:cs="Times New Roman"/>
        </w:rPr>
        <w:t>18 Victorian transmission constraints in 2024-25, 11 are from the Western Victoria and Murray River corridors</w:t>
      </w:r>
      <w:r w:rsidRPr="00D44CF2" w:rsidDel="4690E4F5">
        <w:rPr>
          <w:rFonts w:ascii="Arial Nova" w:eastAsia="Arial Nova" w:hAnsi="Arial Nova" w:cs="Times New Roman"/>
        </w:rPr>
        <w:t>.</w:t>
      </w:r>
      <w:r w:rsidRPr="00D44CF2">
        <w:rPr>
          <w:rFonts w:ascii="Arial Nova" w:eastAsia="Arial Nova" w:hAnsi="Arial Nova" w:cs="Times New Roman"/>
        </w:rPr>
        <w:t xml:space="preserve"> The number of top-listed constraints from these corridors is reasonably consistent with previous years (past 10 years). Furthermore, 13.4% and 3.4% of curtailment in VRE generation was observed in Murray River and Western Victoria corridors throughout 2024-25, which is a slight reduction compared to last year where 16.7% and 3.1% curtailment was observed. </w:t>
      </w:r>
    </w:p>
    <w:p w14:paraId="70261E96" w14:textId="77777777" w:rsidR="00A9731B" w:rsidRPr="00D44CF2" w:rsidRDefault="00A9731B" w:rsidP="00A9731B">
      <w:pPr>
        <w:pStyle w:val="BodyText"/>
      </w:pPr>
      <w:r w:rsidRPr="00D44CF2">
        <w:t xml:space="preserve">Many of the constraints listed are expected to be relieved by the completion of major augmentation projects such as WRL and VNI West, with these two projects expected to reduce the impact of six of the nine constraints listed. </w:t>
      </w:r>
    </w:p>
    <w:p w14:paraId="01705E00" w14:textId="06FAA431" w:rsidR="00A9731B" w:rsidRPr="00D44CF2" w:rsidRDefault="00A9731B" w:rsidP="00A9731B">
      <w:pPr>
        <w:pStyle w:val="BodyText"/>
      </w:pPr>
      <w:r w:rsidRPr="00D44CF2">
        <w:t xml:space="preserve">The tables below summarise existing Victorian transmission network constraints where there are projects underway that are expected to reduce the impact of those constraints. The constraints are ranked by their impact on generation dispatch during 2024-25. Where there are currently no planned projects to address network constraints, AVP will continue to monitor those constraints and raise suitable projects when options with positive net market benefits are identified. The full list of high impact constraints including those with no planned projects are in the </w:t>
      </w:r>
      <w:r w:rsidR="00E43225" w:rsidRPr="00D44CF2">
        <w:t>VNPIR</w:t>
      </w:r>
      <w:r w:rsidRPr="00D44CF2">
        <w:rPr>
          <w:rStyle w:val="FootnoteReference"/>
        </w:rPr>
        <w:footnoteReference w:id="79"/>
      </w:r>
      <w:r w:rsidRPr="00D44CF2">
        <w:t>.</w:t>
      </w:r>
    </w:p>
    <w:p w14:paraId="4ED2E311" w14:textId="4DF83654" w:rsidR="00A9731B" w:rsidRPr="00D44CF2" w:rsidRDefault="00A9731B" w:rsidP="00A9731B">
      <w:pPr>
        <w:pStyle w:val="BodyText"/>
        <w:spacing w:after="0"/>
      </w:pPr>
      <w:r w:rsidRPr="00D44CF2">
        <w:rPr>
          <w:b/>
        </w:rPr>
        <w:fldChar w:fldCharType="begin"/>
      </w:r>
      <w:r w:rsidRPr="00D44CF2">
        <w:rPr>
          <w:b/>
        </w:rPr>
        <w:instrText xml:space="preserve"> REF _Ref175839893 \r \h  \* MERGEFORMAT </w:instrText>
      </w:r>
      <w:r w:rsidRPr="00D44CF2">
        <w:rPr>
          <w:b/>
        </w:rPr>
      </w:r>
      <w:r w:rsidRPr="00D44CF2">
        <w:rPr>
          <w:b/>
        </w:rPr>
        <w:fldChar w:fldCharType="separate"/>
      </w:r>
      <w:r w:rsidR="004973D2">
        <w:rPr>
          <w:b/>
        </w:rPr>
        <w:t>Table 9</w:t>
      </w:r>
      <w:r w:rsidRPr="00D44CF2">
        <w:rPr>
          <w:b/>
        </w:rPr>
        <w:fldChar w:fldCharType="end"/>
      </w:r>
      <w:r w:rsidRPr="00D44CF2">
        <w:t xml:space="preserve"> contains the existing constraints in the Western and Murray River corridors, which are the areas where dispatch was constrained the most during 2024-25, and the impact of the planned projects on these constraints. </w:t>
      </w:r>
    </w:p>
    <w:p w14:paraId="0B5DDE71" w14:textId="7D0D2B5D" w:rsidR="00A9731B" w:rsidRPr="00D44CF2" w:rsidRDefault="00A9731B" w:rsidP="00A9731B">
      <w:pPr>
        <w:pStyle w:val="BodyText"/>
        <w:spacing w:after="0"/>
      </w:pPr>
      <w:r w:rsidRPr="00D44CF2">
        <w:rPr>
          <w:b/>
        </w:rPr>
        <w:fldChar w:fldCharType="begin"/>
      </w:r>
      <w:r w:rsidRPr="00D44CF2">
        <w:rPr>
          <w:b/>
        </w:rPr>
        <w:instrText xml:space="preserve"> REF _Ref175840432 \n \h  \* MERGEFORMAT </w:instrText>
      </w:r>
      <w:r w:rsidRPr="00D44CF2">
        <w:rPr>
          <w:b/>
        </w:rPr>
      </w:r>
      <w:r w:rsidRPr="00D44CF2">
        <w:rPr>
          <w:b/>
        </w:rPr>
        <w:fldChar w:fldCharType="separate"/>
      </w:r>
      <w:r w:rsidR="004973D2">
        <w:rPr>
          <w:b/>
        </w:rPr>
        <w:t>Table 10</w:t>
      </w:r>
      <w:r w:rsidRPr="00D44CF2">
        <w:rPr>
          <w:b/>
        </w:rPr>
        <w:fldChar w:fldCharType="end"/>
      </w:r>
      <w:r w:rsidRPr="00D44CF2">
        <w:t xml:space="preserve"> contains the existing constraints in the South West corridors and the impact of planned and ongoing projects on these constraints. </w:t>
      </w:r>
    </w:p>
    <w:p w14:paraId="2B2B5D22" w14:textId="6814610A" w:rsidR="00A9731B" w:rsidRPr="00D44CF2" w:rsidRDefault="00A9731B" w:rsidP="00A9731B">
      <w:pPr>
        <w:pStyle w:val="BodyText"/>
        <w:spacing w:after="0"/>
        <w:rPr>
          <w:lang w:eastAsia="en-AU"/>
        </w:rPr>
      </w:pPr>
      <w:r w:rsidRPr="00D44CF2">
        <w:rPr>
          <w:b/>
        </w:rPr>
        <w:fldChar w:fldCharType="begin"/>
      </w:r>
      <w:r w:rsidRPr="00D44CF2">
        <w:instrText xml:space="preserve"> REF _Ref175840438 \n \h  \* MERGEFORMAT </w:instrText>
      </w:r>
      <w:r w:rsidRPr="00D44CF2">
        <w:rPr>
          <w:b/>
        </w:rPr>
      </w:r>
      <w:r w:rsidRPr="00D44CF2">
        <w:rPr>
          <w:b/>
        </w:rPr>
        <w:fldChar w:fldCharType="separate"/>
      </w:r>
      <w:r w:rsidR="004973D2" w:rsidRPr="003536AD">
        <w:rPr>
          <w:b/>
        </w:rPr>
        <w:t>Table 11</w:t>
      </w:r>
      <w:r w:rsidRPr="00D44CF2">
        <w:rPr>
          <w:b/>
        </w:rPr>
        <w:fldChar w:fldCharType="end"/>
      </w:r>
      <w:r w:rsidRPr="00D44CF2">
        <w:rPr>
          <w:b/>
        </w:rPr>
        <w:t xml:space="preserve"> </w:t>
      </w:r>
      <w:r w:rsidRPr="00D44CF2">
        <w:t xml:space="preserve">contains the remaining constrained areas of Eastern Victoria, the </w:t>
      </w:r>
      <w:r w:rsidR="009D2747" w:rsidRPr="00D44CF2">
        <w:t>Victoria – New South Wales Interconnector (</w:t>
      </w:r>
      <w:r w:rsidRPr="00D44CF2">
        <w:t>VNI</w:t>
      </w:r>
      <w:r w:rsidR="009D2747" w:rsidRPr="00D44CF2">
        <w:t>)</w:t>
      </w:r>
      <w:r w:rsidRPr="00D44CF2">
        <w:t xml:space="preserve"> and the Latrobe Valley, and the impact of planned projects on them.</w:t>
      </w:r>
    </w:p>
    <w:p w14:paraId="39A0B127" w14:textId="77777777" w:rsidR="00A9731B" w:rsidRPr="00D44CF2" w:rsidRDefault="00A9731B" w:rsidP="00A9731B">
      <w:pPr>
        <w:pStyle w:val="BodyText"/>
        <w:sectPr w:rsidR="00A9731B" w:rsidRPr="00D44CF2" w:rsidSect="00A9731B">
          <w:headerReference w:type="default" r:id="rId75"/>
          <w:footerReference w:type="default" r:id="rId76"/>
          <w:pgSz w:w="11907" w:h="16840" w:code="9"/>
          <w:pgMar w:top="1985" w:right="907" w:bottom="1418" w:left="907" w:header="788" w:footer="471" w:gutter="0"/>
          <w:cols w:space="708"/>
          <w:docGrid w:linePitch="360"/>
        </w:sectPr>
      </w:pPr>
    </w:p>
    <w:p w14:paraId="64B8E9CD" w14:textId="77777777" w:rsidR="00A9731B" w:rsidRPr="00D44CF2" w:rsidRDefault="00A9731B" w:rsidP="00A9731B">
      <w:pPr>
        <w:pStyle w:val="CaptionTable"/>
        <w:spacing w:before="0"/>
      </w:pPr>
      <w:bookmarkStart w:id="193" w:name="_Ref175839893"/>
      <w:bookmarkStart w:id="194" w:name="_Toc180655833"/>
      <w:bookmarkStart w:id="195" w:name="_Toc212023313"/>
      <w:r w:rsidRPr="00D44CF2">
        <w:lastRenderedPageBreak/>
        <w:t xml:space="preserve">Impact of planned projects on existing limitations – Western Victoria and Murray River </w:t>
      </w:r>
      <w:bookmarkEnd w:id="193"/>
      <w:bookmarkEnd w:id="194"/>
      <w:r w:rsidRPr="00D44CF2">
        <w:t>corridors</w:t>
      </w:r>
      <w:bookmarkEnd w:id="195"/>
    </w:p>
    <w:tbl>
      <w:tblPr>
        <w:tblStyle w:val="AEMO-Table4"/>
        <w:tblW w:w="14952" w:type="dxa"/>
        <w:tblLayout w:type="fixed"/>
        <w:tblLook w:val="04A0" w:firstRow="1" w:lastRow="0" w:firstColumn="1" w:lastColumn="0" w:noHBand="0" w:noVBand="1"/>
      </w:tblPr>
      <w:tblGrid>
        <w:gridCol w:w="709"/>
        <w:gridCol w:w="2693"/>
        <w:gridCol w:w="5245"/>
        <w:gridCol w:w="4820"/>
        <w:gridCol w:w="1485"/>
      </w:tblGrid>
      <w:tr w:rsidR="0017564B" w:rsidRPr="00D44CF2" w14:paraId="552F23BB" w14:textId="77777777" w:rsidTr="3AD74A6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14:paraId="24EE4600" w14:textId="77777777" w:rsidR="00A9731B" w:rsidRPr="00D44CF2" w:rsidRDefault="00A9731B" w:rsidP="001A3F5B">
            <w:pPr>
              <w:pStyle w:val="TableText"/>
              <w:rPr>
                <w:b w:val="0"/>
              </w:rPr>
            </w:pPr>
            <w:r w:rsidRPr="00D44CF2">
              <w:t>Rank</w:t>
            </w:r>
          </w:p>
        </w:tc>
        <w:tc>
          <w:tcPr>
            <w:tcW w:w="2693" w:type="dxa"/>
          </w:tcPr>
          <w:p w14:paraId="64003062"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Equation(s)</w:t>
            </w:r>
          </w:p>
        </w:tc>
        <w:tc>
          <w:tcPr>
            <w:tcW w:w="5245" w:type="dxa"/>
          </w:tcPr>
          <w:p w14:paraId="764D1D41"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Description of constraint</w:t>
            </w:r>
          </w:p>
        </w:tc>
        <w:tc>
          <w:tcPr>
            <w:tcW w:w="4820" w:type="dxa"/>
          </w:tcPr>
          <w:p w14:paraId="076837E9"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Upcoming projects</w:t>
            </w:r>
          </w:p>
        </w:tc>
        <w:tc>
          <w:tcPr>
            <w:tcW w:w="1485" w:type="dxa"/>
          </w:tcPr>
          <w:p w14:paraId="44358B55" w14:textId="60638C96" w:rsidR="00A9731B" w:rsidRPr="00D44CF2" w:rsidRDefault="6449A83A" w:rsidP="001A3F5B">
            <w:pPr>
              <w:pStyle w:val="TableText"/>
              <w:cnfStyle w:val="100000000000" w:firstRow="1" w:lastRow="0" w:firstColumn="0" w:lastColumn="0" w:oddVBand="0" w:evenVBand="0" w:oddHBand="0" w:evenHBand="0" w:firstRowFirstColumn="0" w:firstRowLastColumn="0" w:lastRowFirstColumn="0" w:lastRowLastColumn="0"/>
            </w:pPr>
            <w:r w:rsidRPr="00D44CF2">
              <w:t>Planned</w:t>
            </w:r>
            <w:r w:rsidR="00A9731B" w:rsidRPr="00D44CF2">
              <w:t xml:space="preserve"> completion date</w:t>
            </w:r>
          </w:p>
        </w:tc>
      </w:tr>
      <w:tr w:rsidR="00723C05" w:rsidRPr="00D44CF2" w14:paraId="5BCE8956"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709" w:type="dxa"/>
          </w:tcPr>
          <w:p w14:paraId="0C7A8D56" w14:textId="77777777" w:rsidR="00A9731B" w:rsidRPr="00D44CF2" w:rsidRDefault="00A9731B" w:rsidP="001A3F5B">
            <w:pPr>
              <w:pStyle w:val="TableText"/>
            </w:pPr>
            <w:r w:rsidRPr="00D44CF2">
              <w:t>1</w:t>
            </w:r>
          </w:p>
        </w:tc>
        <w:tc>
          <w:tcPr>
            <w:tcW w:w="2693" w:type="dxa"/>
          </w:tcPr>
          <w:p w14:paraId="548CCBE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North-west Victoria voltage oscillations (prior outage)</w:t>
            </w:r>
          </w:p>
        </w:tc>
        <w:tc>
          <w:tcPr>
            <w:tcW w:w="5245" w:type="dxa"/>
          </w:tcPr>
          <w:p w14:paraId="3876FE1D"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This represents a set of the network constraint equations associated with voltage oscillation during a range of prior outage conditions. </w:t>
            </w:r>
          </w:p>
          <w:p w14:paraId="47FF63EB"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More outages have occurred in 2024-25 compared to 2023-24, particularly related to commissioning of EnergyConnect, and due to this, these constraints have bound more. </w:t>
            </w:r>
          </w:p>
          <w:p w14:paraId="2BA90FDB"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AEMO is continuously reviewing these constraints as revised models are obtained and based on upcoming outage schedule.</w:t>
            </w:r>
          </w:p>
        </w:tc>
        <w:tc>
          <w:tcPr>
            <w:tcW w:w="4820" w:type="dxa"/>
          </w:tcPr>
          <w:p w14:paraId="0FD2041A" w14:textId="5776C806"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System strength improvement projects such as Ararat </w:t>
            </w:r>
            <w:r w:rsidR="00D0352D" w:rsidRPr="00D44CF2">
              <w:t>Synchronous Condenser (</w:t>
            </w:r>
            <w:r w:rsidRPr="00D44CF2">
              <w:t>Syncon</w:t>
            </w:r>
            <w:r w:rsidR="00D0352D" w:rsidRPr="00D44CF2">
              <w:t>)</w:t>
            </w:r>
            <w:r w:rsidRPr="00D44CF2">
              <w:t xml:space="preserve"> being delivered as a part of the Victorian Government’s RDP are expected to reduce the impact of this constraint.</w:t>
            </w:r>
          </w:p>
        </w:tc>
        <w:tc>
          <w:tcPr>
            <w:tcW w:w="1485" w:type="dxa"/>
          </w:tcPr>
          <w:p w14:paraId="06F40E20"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2025-26</w:t>
            </w:r>
          </w:p>
        </w:tc>
      </w:tr>
      <w:tr w:rsidR="00723C05" w:rsidRPr="00D44CF2" w14:paraId="03D58B85"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709" w:type="dxa"/>
          </w:tcPr>
          <w:p w14:paraId="1D778C6C" w14:textId="77777777" w:rsidR="00A9731B" w:rsidRPr="00D44CF2" w:rsidRDefault="00A9731B" w:rsidP="001A3F5B">
            <w:pPr>
              <w:pStyle w:val="TableText"/>
            </w:pPr>
            <w:r w:rsidRPr="00D44CF2">
              <w:t>2</w:t>
            </w:r>
          </w:p>
        </w:tc>
        <w:tc>
          <w:tcPr>
            <w:tcW w:w="2693" w:type="dxa"/>
          </w:tcPr>
          <w:p w14:paraId="0E52DF7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Kerang voltage collapse</w:t>
            </w:r>
          </w:p>
          <w:p w14:paraId="1C534547"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V^^V_NIL_KGTS </w:t>
            </w:r>
          </w:p>
          <w:p w14:paraId="419569FE"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V^^V_NIL_KGTS_2</w:t>
            </w:r>
          </w:p>
        </w:tc>
        <w:tc>
          <w:tcPr>
            <w:tcW w:w="5245" w:type="dxa"/>
          </w:tcPr>
          <w:p w14:paraId="1C100DC4"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To avoid voltage collapse at Kerang due to the loss of Horsham – Murra Warra – Kiamal 220 kV line considering Murraylink VFRB scheme disabled. </w:t>
            </w:r>
          </w:p>
        </w:tc>
        <w:tc>
          <w:tcPr>
            <w:tcW w:w="4820" w:type="dxa"/>
          </w:tcPr>
          <w:p w14:paraId="2EECDF8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EnergyConnect, Ararat Syncon and the connection of KESS are expected to reduce the impact of these constraints.</w:t>
            </w:r>
          </w:p>
        </w:tc>
        <w:tc>
          <w:tcPr>
            <w:tcW w:w="1485" w:type="dxa"/>
          </w:tcPr>
          <w:p w14:paraId="5048619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r>
      <w:tr w:rsidR="00723C05" w:rsidRPr="00D44CF2" w14:paraId="226EBA94"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709" w:type="dxa"/>
          </w:tcPr>
          <w:p w14:paraId="32562BBC" w14:textId="77777777" w:rsidR="00A9731B" w:rsidRPr="00D44CF2" w:rsidRDefault="00A9731B" w:rsidP="001A3F5B">
            <w:pPr>
              <w:pStyle w:val="TableText"/>
            </w:pPr>
            <w:r w:rsidRPr="00D44CF2">
              <w:t>3</w:t>
            </w:r>
          </w:p>
        </w:tc>
        <w:tc>
          <w:tcPr>
            <w:tcW w:w="2693" w:type="dxa"/>
          </w:tcPr>
          <w:p w14:paraId="2ED88A8A"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Waubra to Ballarat thermal</w:t>
            </w:r>
          </w:p>
          <w:p w14:paraId="44478F4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V&gt;&gt;NIL_WBBA_RCWEKG, V&gt;&gt;NIL_WBBA_KGBE, V&gt;NIL_WBBA_KMRC,</w:t>
            </w:r>
          </w:p>
          <w:p w14:paraId="0851352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V&gt;&gt;NIL_WBBA_RCBSS</w:t>
            </w:r>
          </w:p>
        </w:tc>
        <w:tc>
          <w:tcPr>
            <w:tcW w:w="5245" w:type="dxa"/>
          </w:tcPr>
          <w:p w14:paraId="2E71954E"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To avoid overloading Waubra to Ballarat 220 kV line on trip of the Red Cliffs – Wemen – Kerang 220 kV line or Kiamal to Red Cliffs 220 kV line or Kerang to Bendigo 220 kV line or Red Cliffs to Buronga 220 kV line.</w:t>
            </w:r>
          </w:p>
          <w:p w14:paraId="56798D47"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p>
        </w:tc>
        <w:tc>
          <w:tcPr>
            <w:tcW w:w="4820" w:type="dxa"/>
          </w:tcPr>
          <w:p w14:paraId="102DC2A0"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Minor augmentations as part of the Victorian Government’s RDP Stage 1 projects and the WRL project increase the thermal capability of the Ballarat – Waubra– Ararat – Crowlands – Bulgana – Horsham– Murra Warra – Kiamal 220 kV corridor to reduce the impact of this limitation.</w:t>
            </w:r>
          </w:p>
        </w:tc>
        <w:tc>
          <w:tcPr>
            <w:tcW w:w="1485" w:type="dxa"/>
          </w:tcPr>
          <w:p w14:paraId="469021D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2030-31</w:t>
            </w:r>
          </w:p>
        </w:tc>
      </w:tr>
      <w:tr w:rsidR="00723C05" w:rsidRPr="00D44CF2" w14:paraId="74FCE7BB"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709" w:type="dxa"/>
          </w:tcPr>
          <w:p w14:paraId="0CF87D36" w14:textId="77777777" w:rsidR="00A9731B" w:rsidRPr="00D44CF2" w:rsidRDefault="00A9731B" w:rsidP="001A3F5B">
            <w:pPr>
              <w:pStyle w:val="TableText"/>
            </w:pPr>
            <w:r w:rsidRPr="00D44CF2">
              <w:t>5</w:t>
            </w:r>
          </w:p>
        </w:tc>
        <w:tc>
          <w:tcPr>
            <w:tcW w:w="2693" w:type="dxa"/>
          </w:tcPr>
          <w:p w14:paraId="33E831FF"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Wemen to Kerang voltage collapse</w:t>
            </w:r>
          </w:p>
          <w:p w14:paraId="6DD2D202"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V^^V_MLNK_KGTS</w:t>
            </w:r>
          </w:p>
        </w:tc>
        <w:tc>
          <w:tcPr>
            <w:tcW w:w="5245" w:type="dxa"/>
          </w:tcPr>
          <w:p w14:paraId="4BCF96C7"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To avoid voltage collapse at Kerang due to the loss of Horsham – Murra Warra – Kiamal 220 kV line</w:t>
            </w:r>
            <w:r w:rsidRPr="00D44CF2" w:rsidDel="00A133CE">
              <w:t xml:space="preserve"> </w:t>
            </w:r>
            <w:r w:rsidRPr="00D44CF2">
              <w:t>during an outage of Murraylink.</w:t>
            </w:r>
          </w:p>
        </w:tc>
        <w:tc>
          <w:tcPr>
            <w:tcW w:w="4820" w:type="dxa"/>
          </w:tcPr>
          <w:p w14:paraId="75D83A77"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EnergyConnect, Ararat Syncon and the connection of KESS are expected to reduce the impact of these constraints.</w:t>
            </w:r>
          </w:p>
        </w:tc>
        <w:tc>
          <w:tcPr>
            <w:tcW w:w="1485" w:type="dxa"/>
          </w:tcPr>
          <w:p w14:paraId="0347CFD6"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r>
      <w:tr w:rsidR="00723C05" w:rsidRPr="00D44CF2" w14:paraId="48F60510"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709" w:type="dxa"/>
          </w:tcPr>
          <w:p w14:paraId="2552EA79" w14:textId="77777777" w:rsidR="00A9731B" w:rsidRPr="00D44CF2" w:rsidRDefault="00A9731B" w:rsidP="001A3F5B">
            <w:pPr>
              <w:pStyle w:val="TableText"/>
            </w:pPr>
            <w:r w:rsidRPr="00D44CF2">
              <w:t>9</w:t>
            </w:r>
          </w:p>
        </w:tc>
        <w:tc>
          <w:tcPr>
            <w:tcW w:w="2693" w:type="dxa"/>
          </w:tcPr>
          <w:p w14:paraId="78F9DFF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Red Cliffs voltage stability </w:t>
            </w:r>
          </w:p>
          <w:p w14:paraId="25124041"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V^SML_HORC_3,</w:t>
            </w:r>
          </w:p>
          <w:p w14:paraId="4837CD90"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V^SML_KGRC_4,</w:t>
            </w:r>
          </w:p>
          <w:p w14:paraId="1FD5DFE3"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V^^SML_ARWBBA_1,</w:t>
            </w:r>
          </w:p>
          <w:p w14:paraId="6AFAC162"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V^SML_BUDP_3,</w:t>
            </w:r>
          </w:p>
          <w:p w14:paraId="30D9B61A"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V^SML_BESH_2,</w:t>
            </w:r>
          </w:p>
          <w:p w14:paraId="2B2BD3B2"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V^SML_HOMR_3, V^SML_BEKG_4</w:t>
            </w:r>
          </w:p>
        </w:tc>
        <w:tc>
          <w:tcPr>
            <w:tcW w:w="5245" w:type="dxa"/>
          </w:tcPr>
          <w:p w14:paraId="4B651BBF"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These are the outage constraints to avoid voltage collapse at Red Cliffs. Outages are of Horsham to Red Cliffs through Murra Warra 220 kV, Kerang to Red Cliffs through Wemen 220 kV, Ararat to Waubra 220 kV lines. </w:t>
            </w:r>
          </w:p>
          <w:p w14:paraId="00E63E31"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V^SML_BUDP_3 is to avoid voltage collapse for loss of Bendigo to Kerang 220 kV line. This is also an outage constraint at the time of Buronga to Balranald (X3) or Balranald to Darlington Pt (X5) outage.</w:t>
            </w:r>
          </w:p>
        </w:tc>
        <w:tc>
          <w:tcPr>
            <w:tcW w:w="4820" w:type="dxa"/>
          </w:tcPr>
          <w:p w14:paraId="1BEC7C13"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EnergyConnect, Ararat Syncon and the connection of KESS are expected to reduce the impact of these constraints.</w:t>
            </w:r>
          </w:p>
        </w:tc>
        <w:tc>
          <w:tcPr>
            <w:tcW w:w="1485" w:type="dxa"/>
          </w:tcPr>
          <w:p w14:paraId="5A60A710"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r>
      <w:tr w:rsidR="00723C05" w:rsidRPr="00D44CF2" w14:paraId="4221D4E0"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709" w:type="dxa"/>
          </w:tcPr>
          <w:p w14:paraId="212D1CB8" w14:textId="77777777" w:rsidR="00A9731B" w:rsidRPr="00D44CF2" w:rsidRDefault="00A9731B" w:rsidP="001A3F5B">
            <w:pPr>
              <w:pStyle w:val="TableText"/>
            </w:pPr>
            <w:r w:rsidRPr="00D44CF2">
              <w:t>10</w:t>
            </w:r>
          </w:p>
        </w:tc>
        <w:tc>
          <w:tcPr>
            <w:tcW w:w="2693" w:type="dxa"/>
          </w:tcPr>
          <w:p w14:paraId="5AB37384"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Red Cliffs voltage collapse </w:t>
            </w:r>
          </w:p>
          <w:p w14:paraId="3163836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V^^SML_NIL_3</w:t>
            </w:r>
          </w:p>
          <w:p w14:paraId="51B47782"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V^^SML_NSWRB_2</w:t>
            </w:r>
          </w:p>
        </w:tc>
        <w:tc>
          <w:tcPr>
            <w:tcW w:w="5245" w:type="dxa"/>
          </w:tcPr>
          <w:p w14:paraId="13598A73"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To avoid voltage collapse at Red Cliffs for the loss of Bendigo to Kerang 220 kV, Darlington Point to Balranald (X5) or Balranald to Buronga (X3) 220 kV lines when the New South Wales Murraylink runback scheme is unavailable. </w:t>
            </w:r>
          </w:p>
        </w:tc>
        <w:tc>
          <w:tcPr>
            <w:tcW w:w="4820" w:type="dxa"/>
          </w:tcPr>
          <w:p w14:paraId="6D21178B"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EnergyConnect, Ararat Syncon and the connection of KESS are expected to reduce the impact of these constraints.</w:t>
            </w:r>
          </w:p>
        </w:tc>
        <w:tc>
          <w:tcPr>
            <w:tcW w:w="1485" w:type="dxa"/>
          </w:tcPr>
          <w:p w14:paraId="2991316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r>
      <w:tr w:rsidR="00723C05" w:rsidRPr="00D44CF2" w14:paraId="45BF119C"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709" w:type="dxa"/>
          </w:tcPr>
          <w:p w14:paraId="26F06AA5" w14:textId="77777777" w:rsidR="00A9731B" w:rsidRPr="00D44CF2" w:rsidRDefault="00A9731B" w:rsidP="001A3F5B">
            <w:pPr>
              <w:pStyle w:val="TableText"/>
            </w:pPr>
            <w:r w:rsidRPr="00D44CF2">
              <w:lastRenderedPageBreak/>
              <w:t>14</w:t>
            </w:r>
          </w:p>
        </w:tc>
        <w:tc>
          <w:tcPr>
            <w:tcW w:w="2693" w:type="dxa"/>
          </w:tcPr>
          <w:p w14:paraId="70380A8A"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Red Cliff – Wemen – Kerang thermal</w:t>
            </w:r>
          </w:p>
          <w:p w14:paraId="30F93EBA"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V&gt;&gt;NIL_WEKG_HOMRKM</w:t>
            </w:r>
          </w:p>
          <w:p w14:paraId="64E8434E"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V&gt;&gt;NIL_RCWE_HOMRKM</w:t>
            </w:r>
          </w:p>
        </w:tc>
        <w:tc>
          <w:tcPr>
            <w:tcW w:w="5245" w:type="dxa"/>
          </w:tcPr>
          <w:p w14:paraId="3D6AEA1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To avoid overloading the Red Cliff – Wemen – Kerang 220 kV line for the loss of Horsham – Bulgana – Crowlands 220 kV line or Horsham – Murra Warra – Kiamal 220 kV line.</w:t>
            </w:r>
          </w:p>
        </w:tc>
        <w:tc>
          <w:tcPr>
            <w:tcW w:w="4820" w:type="dxa"/>
          </w:tcPr>
          <w:p w14:paraId="49A35DA1" w14:textId="05B42E7D"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AVP has commenced detailed feasibility studies of options to address this constraint. The VicGrid VTP has proposed a project to </w:t>
            </w:r>
            <w:r w:rsidRPr="00D44CF2">
              <w:rPr>
                <w:bCs/>
              </w:rPr>
              <w:t>replace sections of the existing single</w:t>
            </w:r>
            <w:r w:rsidR="00407BB0">
              <w:rPr>
                <w:bCs/>
              </w:rPr>
              <w:t>-</w:t>
            </w:r>
            <w:r w:rsidRPr="00D44CF2">
              <w:rPr>
                <w:bCs/>
              </w:rPr>
              <w:t xml:space="preserve">circuit transmission with a new high capacity double-circuit lines in north-west Victoria as part of CDP2 (not preferred) which </w:t>
            </w:r>
            <w:r w:rsidR="00FA4FDA" w:rsidRPr="00D44CF2">
              <w:rPr>
                <w:bCs/>
              </w:rPr>
              <w:t xml:space="preserve">would be </w:t>
            </w:r>
            <w:r w:rsidRPr="00D44CF2">
              <w:rPr>
                <w:bCs/>
              </w:rPr>
              <w:t>expected to reduce the impact of these constraints.</w:t>
            </w:r>
          </w:p>
        </w:tc>
        <w:tc>
          <w:tcPr>
            <w:tcW w:w="1485" w:type="dxa"/>
          </w:tcPr>
          <w:p w14:paraId="1B4BCB33"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2035-36</w:t>
            </w:r>
          </w:p>
        </w:tc>
      </w:tr>
      <w:tr w:rsidR="00723C05" w:rsidRPr="00D44CF2" w14:paraId="4AD9729C"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709" w:type="dxa"/>
          </w:tcPr>
          <w:p w14:paraId="4E135C59" w14:textId="77777777" w:rsidR="00A9731B" w:rsidRPr="00D44CF2" w:rsidRDefault="00A9731B" w:rsidP="001A3F5B">
            <w:pPr>
              <w:pStyle w:val="TableText"/>
            </w:pPr>
            <w:r w:rsidRPr="00D44CF2">
              <w:t>16</w:t>
            </w:r>
          </w:p>
        </w:tc>
        <w:tc>
          <w:tcPr>
            <w:tcW w:w="2693" w:type="dxa"/>
          </w:tcPr>
          <w:p w14:paraId="57CA918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Kerang voltage collapse</w:t>
            </w:r>
          </w:p>
          <w:p w14:paraId="113DE806"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bookmarkStart w:id="196" w:name="_Hlk204328008"/>
            <w:r w:rsidRPr="00D44CF2">
              <w:t xml:space="preserve">V^^V_BDBU_KGTS </w:t>
            </w:r>
          </w:p>
          <w:p w14:paraId="0EFAEAF3"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V^^V_BDBU_KGTS_2</w:t>
            </w:r>
            <w:bookmarkEnd w:id="196"/>
          </w:p>
        </w:tc>
        <w:tc>
          <w:tcPr>
            <w:tcW w:w="5245" w:type="dxa"/>
          </w:tcPr>
          <w:p w14:paraId="4B142BAB"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To avoid voltage collapse at Kerang due to the loss of Horsham – Murra Warra – Kiamal 220 kV line during an outage of the Bundey to Buronga line.</w:t>
            </w:r>
          </w:p>
        </w:tc>
        <w:tc>
          <w:tcPr>
            <w:tcW w:w="4820" w:type="dxa"/>
          </w:tcPr>
          <w:p w14:paraId="5FDC0C3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EnergyConnect and the connection of KESS are expected to reduce the impact of these constraints.</w:t>
            </w:r>
          </w:p>
        </w:tc>
        <w:tc>
          <w:tcPr>
            <w:tcW w:w="1485" w:type="dxa"/>
          </w:tcPr>
          <w:p w14:paraId="17CDBD07"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r>
      <w:tr w:rsidR="00723C05" w:rsidRPr="00D44CF2" w14:paraId="6C84CBF9" w14:textId="77777777" w:rsidTr="3AD74A67">
        <w:trPr>
          <w:trHeight w:val="20"/>
        </w:trPr>
        <w:tc>
          <w:tcPr>
            <w:cnfStyle w:val="001000000000" w:firstRow="0" w:lastRow="0" w:firstColumn="1" w:lastColumn="0" w:oddVBand="0" w:evenVBand="0" w:oddHBand="0" w:evenHBand="0" w:firstRowFirstColumn="0" w:firstRowLastColumn="0" w:lastRowFirstColumn="0" w:lastRowLastColumn="0"/>
            <w:tcW w:w="709" w:type="dxa"/>
          </w:tcPr>
          <w:p w14:paraId="130EA5F0" w14:textId="77777777" w:rsidR="00A9731B" w:rsidRPr="00D44CF2" w:rsidRDefault="00A9731B" w:rsidP="001A3F5B">
            <w:pPr>
              <w:pStyle w:val="TableText"/>
            </w:pPr>
            <w:r w:rsidRPr="00D44CF2">
              <w:t>18</w:t>
            </w:r>
          </w:p>
        </w:tc>
        <w:tc>
          <w:tcPr>
            <w:tcW w:w="2693" w:type="dxa"/>
          </w:tcPr>
          <w:p w14:paraId="3400A4CE"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Ballarat to Bendigo thermal</w:t>
            </w:r>
          </w:p>
          <w:p w14:paraId="17BF4AA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vertAlign w:val="superscript"/>
              </w:rPr>
            </w:pPr>
            <w:r w:rsidRPr="00D44CF2">
              <w:t>V&gt;&gt;NIL_BABE_HOMRKM, V&gt;&gt;NIL_BABE_KMRC, V&gt;&gt;NIL_BABE_RCWEKO</w:t>
            </w:r>
          </w:p>
        </w:tc>
        <w:tc>
          <w:tcPr>
            <w:tcW w:w="5245" w:type="dxa"/>
          </w:tcPr>
          <w:p w14:paraId="209FBE03"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To avoid overloading Ballarat to Bendigo for loss of Horsham – Murra Warra – Kiamal 220 kV or Kiamal to Red Cliffs 220 kV lines. </w:t>
            </w:r>
          </w:p>
        </w:tc>
        <w:tc>
          <w:tcPr>
            <w:tcW w:w="4820" w:type="dxa"/>
          </w:tcPr>
          <w:p w14:paraId="2B494EA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WRL and VNI West are expected to reduce the impact of these constraints.</w:t>
            </w:r>
          </w:p>
        </w:tc>
        <w:tc>
          <w:tcPr>
            <w:tcW w:w="1485" w:type="dxa"/>
          </w:tcPr>
          <w:p w14:paraId="365B6D81"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2031-32</w:t>
            </w:r>
          </w:p>
        </w:tc>
      </w:tr>
    </w:tbl>
    <w:p w14:paraId="3D91EEB1" w14:textId="77777777" w:rsidR="00A9731B" w:rsidRPr="00D44CF2" w:rsidRDefault="00A9731B" w:rsidP="00A9731B">
      <w:pPr>
        <w:pStyle w:val="CaptionTable"/>
      </w:pPr>
      <w:bookmarkStart w:id="197" w:name="_Ref175840432"/>
      <w:bookmarkStart w:id="198" w:name="_Toc180655834"/>
      <w:bookmarkStart w:id="199" w:name="_Toc212023314"/>
      <w:r w:rsidRPr="00D44CF2">
        <w:t>Impact of planned projects on existing limitations – south-west corridor</w:t>
      </w:r>
      <w:bookmarkEnd w:id="197"/>
      <w:bookmarkEnd w:id="198"/>
      <w:bookmarkEnd w:id="199"/>
    </w:p>
    <w:tbl>
      <w:tblPr>
        <w:tblStyle w:val="AEMO-Table4"/>
        <w:tblW w:w="15026" w:type="dxa"/>
        <w:tblLayout w:type="fixed"/>
        <w:tblLook w:val="04A0" w:firstRow="1" w:lastRow="0" w:firstColumn="1" w:lastColumn="0" w:noHBand="0" w:noVBand="1"/>
      </w:tblPr>
      <w:tblGrid>
        <w:gridCol w:w="709"/>
        <w:gridCol w:w="2693"/>
        <w:gridCol w:w="5245"/>
        <w:gridCol w:w="4820"/>
        <w:gridCol w:w="1559"/>
      </w:tblGrid>
      <w:tr w:rsidR="0017564B" w:rsidRPr="00D44CF2" w14:paraId="559F4896" w14:textId="77777777" w:rsidTr="3AD74A6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dxa"/>
          </w:tcPr>
          <w:p w14:paraId="227ED10C" w14:textId="77777777" w:rsidR="00A9731B" w:rsidRPr="00D44CF2" w:rsidRDefault="00A9731B" w:rsidP="001A3F5B">
            <w:pPr>
              <w:pStyle w:val="TableText"/>
            </w:pPr>
            <w:r w:rsidRPr="00D44CF2">
              <w:t>Rank</w:t>
            </w:r>
          </w:p>
        </w:tc>
        <w:tc>
          <w:tcPr>
            <w:tcW w:w="2693" w:type="dxa"/>
          </w:tcPr>
          <w:p w14:paraId="76267D8B"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Equation</w:t>
            </w:r>
          </w:p>
        </w:tc>
        <w:tc>
          <w:tcPr>
            <w:tcW w:w="5245" w:type="dxa"/>
          </w:tcPr>
          <w:p w14:paraId="3DAB2293"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Description</w:t>
            </w:r>
          </w:p>
        </w:tc>
        <w:tc>
          <w:tcPr>
            <w:tcW w:w="4820" w:type="dxa"/>
          </w:tcPr>
          <w:p w14:paraId="695A3C96"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Upcoming projects</w:t>
            </w:r>
          </w:p>
        </w:tc>
        <w:tc>
          <w:tcPr>
            <w:tcW w:w="1559" w:type="dxa"/>
          </w:tcPr>
          <w:p w14:paraId="45D348DE" w14:textId="5647FA69" w:rsidR="00A9731B" w:rsidRPr="00D44CF2" w:rsidRDefault="14B77126" w:rsidP="001A3F5B">
            <w:pPr>
              <w:pStyle w:val="TableText"/>
              <w:cnfStyle w:val="100000000000" w:firstRow="1" w:lastRow="0" w:firstColumn="0" w:lastColumn="0" w:oddVBand="0" w:evenVBand="0" w:oddHBand="0" w:evenHBand="0" w:firstRowFirstColumn="0" w:firstRowLastColumn="0" w:lastRowFirstColumn="0" w:lastRowLastColumn="0"/>
            </w:pPr>
            <w:r w:rsidRPr="00D44CF2">
              <w:t xml:space="preserve">Planned </w:t>
            </w:r>
            <w:r w:rsidR="00A9731B" w:rsidRPr="00D44CF2">
              <w:t>completion date</w:t>
            </w:r>
          </w:p>
        </w:tc>
      </w:tr>
      <w:tr w:rsidR="00723C05" w:rsidRPr="00D44CF2" w14:paraId="7FF87281" w14:textId="77777777" w:rsidTr="3AD74A67">
        <w:trPr>
          <w:cantSplit/>
          <w:trHeight w:val="20"/>
        </w:trPr>
        <w:tc>
          <w:tcPr>
            <w:cnfStyle w:val="001000000000" w:firstRow="0" w:lastRow="0" w:firstColumn="1" w:lastColumn="0" w:oddVBand="0" w:evenVBand="0" w:oddHBand="0" w:evenHBand="0" w:firstRowFirstColumn="0" w:firstRowLastColumn="0" w:lastRowFirstColumn="0" w:lastRowLastColumn="0"/>
            <w:tcW w:w="709" w:type="dxa"/>
          </w:tcPr>
          <w:p w14:paraId="5AB07776" w14:textId="77777777" w:rsidR="00A9731B" w:rsidRPr="00D44CF2" w:rsidRDefault="00A9731B" w:rsidP="001A3F5B">
            <w:pPr>
              <w:pStyle w:val="TableText"/>
              <w:rPr>
                <w:bCs/>
              </w:rPr>
            </w:pPr>
            <w:r w:rsidRPr="00D44CF2">
              <w:t>8</w:t>
            </w:r>
          </w:p>
        </w:tc>
        <w:tc>
          <w:tcPr>
            <w:tcW w:w="2693" w:type="dxa"/>
          </w:tcPr>
          <w:p w14:paraId="3EE3C2F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Elaine to Moorabool thermal</w:t>
            </w:r>
          </w:p>
          <w:p w14:paraId="42BB09B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V&gt;&gt;NIL_ELML_BAML2</w:t>
            </w:r>
          </w:p>
        </w:tc>
        <w:tc>
          <w:tcPr>
            <w:tcW w:w="5245" w:type="dxa"/>
          </w:tcPr>
          <w:p w14:paraId="1C70B41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To avoid overloading Elaine to Moorabool 220 kV line on trip of Ballarat to Moorabool No. 2 220 kV line. </w:t>
            </w:r>
          </w:p>
        </w:tc>
        <w:tc>
          <w:tcPr>
            <w:tcW w:w="4820" w:type="dxa"/>
          </w:tcPr>
          <w:p w14:paraId="2AB9541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The WRL project will reduce the impact of this constraint.</w:t>
            </w:r>
          </w:p>
        </w:tc>
        <w:tc>
          <w:tcPr>
            <w:tcW w:w="1559" w:type="dxa"/>
          </w:tcPr>
          <w:p w14:paraId="22DC7EC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2030-31</w:t>
            </w:r>
          </w:p>
        </w:tc>
      </w:tr>
      <w:tr w:rsidR="00723C05" w:rsidRPr="00D44CF2" w14:paraId="12B4BBDC" w14:textId="77777777" w:rsidTr="3AD74A67">
        <w:trPr>
          <w:cantSplit/>
          <w:trHeight w:val="20"/>
        </w:trPr>
        <w:tc>
          <w:tcPr>
            <w:cnfStyle w:val="001000000000" w:firstRow="0" w:lastRow="0" w:firstColumn="1" w:lastColumn="0" w:oddVBand="0" w:evenVBand="0" w:oddHBand="0" w:evenHBand="0" w:firstRowFirstColumn="0" w:firstRowLastColumn="0" w:lastRowFirstColumn="0" w:lastRowLastColumn="0"/>
            <w:tcW w:w="709" w:type="dxa"/>
          </w:tcPr>
          <w:p w14:paraId="794DB360" w14:textId="77777777" w:rsidR="00A9731B" w:rsidRPr="00D44CF2" w:rsidRDefault="00A9731B" w:rsidP="001A3F5B">
            <w:pPr>
              <w:pStyle w:val="TableText"/>
              <w:rPr>
                <w:bCs/>
              </w:rPr>
            </w:pPr>
            <w:r w:rsidRPr="00D44CF2">
              <w:rPr>
                <w:bCs/>
              </w:rPr>
              <w:t>12</w:t>
            </w:r>
          </w:p>
        </w:tc>
        <w:tc>
          <w:tcPr>
            <w:tcW w:w="2693" w:type="dxa"/>
          </w:tcPr>
          <w:p w14:paraId="34E7551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Haunted Gully to Moorabool </w:t>
            </w:r>
          </w:p>
          <w:p w14:paraId="29B8773A"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And Mortlake to Moorabool Voltage collapse</w:t>
            </w:r>
          </w:p>
          <w:p w14:paraId="24C2A910"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V^^V_NIL_SWVIC</w:t>
            </w:r>
          </w:p>
        </w:tc>
        <w:tc>
          <w:tcPr>
            <w:tcW w:w="5245" w:type="dxa"/>
          </w:tcPr>
          <w:p w14:paraId="5ADC9F1B"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To manage flow towards Moorabool across Haunted Gully to Moorabool and Mortlake to Moorabool 500 kV lines due to the loss of Haunted Gully to Moorabool 500 kV line and both Alcoa Portland (APD) potlines. </w:t>
            </w:r>
          </w:p>
        </w:tc>
        <w:tc>
          <w:tcPr>
            <w:tcW w:w="4820" w:type="dxa"/>
          </w:tcPr>
          <w:p w14:paraId="5CD0B5E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Mortlake Power Station (MOPS) turn-in project, as a part of the Victorian Government’s RDP and the new terminal station at Cressy, will reduce the impact of this constraint.</w:t>
            </w:r>
          </w:p>
        </w:tc>
        <w:tc>
          <w:tcPr>
            <w:tcW w:w="1559" w:type="dxa"/>
          </w:tcPr>
          <w:p w14:paraId="4DDF8316"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Completed July 2025</w:t>
            </w:r>
          </w:p>
        </w:tc>
      </w:tr>
      <w:tr w:rsidR="00723C05" w:rsidRPr="00D44CF2" w14:paraId="655E9315" w14:textId="77777777" w:rsidTr="3AD74A67">
        <w:trPr>
          <w:cantSplit/>
          <w:trHeight w:val="20"/>
        </w:trPr>
        <w:tc>
          <w:tcPr>
            <w:cnfStyle w:val="001000000000" w:firstRow="0" w:lastRow="0" w:firstColumn="1" w:lastColumn="0" w:oddVBand="0" w:evenVBand="0" w:oddHBand="0" w:evenHBand="0" w:firstRowFirstColumn="0" w:firstRowLastColumn="0" w:lastRowFirstColumn="0" w:lastRowLastColumn="0"/>
            <w:tcW w:w="709" w:type="dxa"/>
          </w:tcPr>
          <w:p w14:paraId="3A97AABC" w14:textId="77777777" w:rsidR="00A9731B" w:rsidRPr="00D44CF2" w:rsidRDefault="00A9731B" w:rsidP="001A3F5B">
            <w:pPr>
              <w:pStyle w:val="TableText"/>
            </w:pPr>
            <w:r w:rsidRPr="00D44CF2">
              <w:rPr>
                <w:bCs/>
              </w:rPr>
              <w:t>13</w:t>
            </w:r>
          </w:p>
        </w:tc>
        <w:tc>
          <w:tcPr>
            <w:tcW w:w="2693" w:type="dxa"/>
          </w:tcPr>
          <w:p w14:paraId="677DB08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Moorabool to Geelong thermal</w:t>
            </w:r>
          </w:p>
          <w:p w14:paraId="5BEA411F"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V&gt;&gt;XGTML2_KTTX2_1_R2</w:t>
            </w:r>
          </w:p>
          <w:p w14:paraId="44D13BCC"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rPr>
                <w:vertAlign w:val="superscript"/>
              </w:rPr>
            </w:pPr>
          </w:p>
        </w:tc>
        <w:tc>
          <w:tcPr>
            <w:tcW w:w="5245" w:type="dxa"/>
          </w:tcPr>
          <w:p w14:paraId="29EFCC6A"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This is a multiple outage thermal constraint. Outages are of Geelong to Moorabool No. 2 220 kV line and Keilor A2 500/220 kV transformer. This constraint is formulated to avoid overloading on the remaining Moorabool to Geelong 220 kV line on trip of Sydenham to Keilor 500 kV line. </w:t>
            </w:r>
          </w:p>
        </w:tc>
        <w:tc>
          <w:tcPr>
            <w:tcW w:w="4820" w:type="dxa"/>
          </w:tcPr>
          <w:p w14:paraId="6F81C70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The Western Metropolitan Melbourne Reinforcement project is expected to reduce the impact of this constraint. In the VicGrid VTP, there is a proposed project to increase the rating of these lines which is expected to reduce the impact of this constraint.</w:t>
            </w:r>
          </w:p>
        </w:tc>
        <w:tc>
          <w:tcPr>
            <w:tcW w:w="1559" w:type="dxa"/>
          </w:tcPr>
          <w:p w14:paraId="60BD9DE0" w14:textId="60B1E9D0"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RIT-T in progress, refer to Section </w:t>
            </w:r>
            <w:r w:rsidRPr="00D44CF2">
              <w:fldChar w:fldCharType="begin"/>
            </w:r>
            <w:r w:rsidRPr="00D44CF2">
              <w:instrText xml:space="preserve"> REF _Ref177639803 \r \h  \* MERGEFORMAT </w:instrText>
            </w:r>
            <w:r w:rsidRPr="00D44CF2">
              <w:fldChar w:fldCharType="separate"/>
            </w:r>
            <w:r w:rsidR="004973D2">
              <w:t>3.1.5</w:t>
            </w:r>
            <w:r w:rsidRPr="00D44CF2">
              <w:fldChar w:fldCharType="end"/>
            </w:r>
          </w:p>
        </w:tc>
      </w:tr>
    </w:tbl>
    <w:p w14:paraId="783D7E5E" w14:textId="77777777" w:rsidR="00A9731B" w:rsidRPr="00D44CF2" w:rsidRDefault="00A9731B" w:rsidP="00A9731B">
      <w:pPr>
        <w:pStyle w:val="CaptionTable"/>
      </w:pPr>
      <w:bookmarkStart w:id="200" w:name="_Toc177574625"/>
      <w:bookmarkStart w:id="201" w:name="_Ref175840438"/>
      <w:bookmarkStart w:id="202" w:name="_Toc180655835"/>
      <w:bookmarkStart w:id="203" w:name="_Toc212023315"/>
      <w:bookmarkEnd w:id="200"/>
      <w:r w:rsidRPr="00D44CF2">
        <w:lastRenderedPageBreak/>
        <w:t>Impact of planned projects on existing limitations – Eastern Victoria, Victoria – New South Wales Interconnector and Latrobe Valley</w:t>
      </w:r>
      <w:bookmarkEnd w:id="201"/>
      <w:bookmarkEnd w:id="202"/>
      <w:bookmarkEnd w:id="203"/>
    </w:p>
    <w:tbl>
      <w:tblPr>
        <w:tblStyle w:val="AEMO-Table4"/>
        <w:tblW w:w="15026" w:type="dxa"/>
        <w:tblLayout w:type="fixed"/>
        <w:tblLook w:val="04A0" w:firstRow="1" w:lastRow="0" w:firstColumn="1" w:lastColumn="0" w:noHBand="0" w:noVBand="1"/>
      </w:tblPr>
      <w:tblGrid>
        <w:gridCol w:w="709"/>
        <w:gridCol w:w="2693"/>
        <w:gridCol w:w="5245"/>
        <w:gridCol w:w="4820"/>
        <w:gridCol w:w="1559"/>
      </w:tblGrid>
      <w:tr w:rsidR="00121000" w:rsidRPr="00D44CF2" w14:paraId="0EE7D2C2" w14:textId="77777777" w:rsidTr="3AD74A6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tcPr>
          <w:p w14:paraId="6A25D202" w14:textId="77777777" w:rsidR="00A9731B" w:rsidRPr="00D44CF2" w:rsidRDefault="00A9731B" w:rsidP="001A3F5B">
            <w:pPr>
              <w:pStyle w:val="TableText"/>
            </w:pPr>
            <w:r w:rsidRPr="00D44CF2">
              <w:t>Rank</w:t>
            </w:r>
          </w:p>
        </w:tc>
        <w:tc>
          <w:tcPr>
            <w:tcW w:w="0" w:type="dxa"/>
          </w:tcPr>
          <w:p w14:paraId="47F68C4A"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Equation</w:t>
            </w:r>
          </w:p>
        </w:tc>
        <w:tc>
          <w:tcPr>
            <w:tcW w:w="0" w:type="dxa"/>
          </w:tcPr>
          <w:p w14:paraId="5870CC7F"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Description</w:t>
            </w:r>
          </w:p>
        </w:tc>
        <w:tc>
          <w:tcPr>
            <w:tcW w:w="0" w:type="dxa"/>
          </w:tcPr>
          <w:p w14:paraId="7A620743" w14:textId="77777777" w:rsidR="00A9731B" w:rsidRPr="00D44CF2" w:rsidRDefault="00A9731B" w:rsidP="001A3F5B">
            <w:pPr>
              <w:pStyle w:val="TableText"/>
              <w:cnfStyle w:val="100000000000" w:firstRow="1" w:lastRow="0" w:firstColumn="0" w:lastColumn="0" w:oddVBand="0" w:evenVBand="0" w:oddHBand="0" w:evenHBand="0" w:firstRowFirstColumn="0" w:firstRowLastColumn="0" w:lastRowFirstColumn="0" w:lastRowLastColumn="0"/>
            </w:pPr>
            <w:r w:rsidRPr="00D44CF2">
              <w:t>Upcoming projects</w:t>
            </w:r>
          </w:p>
        </w:tc>
        <w:tc>
          <w:tcPr>
            <w:tcW w:w="0" w:type="dxa"/>
          </w:tcPr>
          <w:p w14:paraId="1DBDA175" w14:textId="225E7D1E" w:rsidR="00A9731B" w:rsidRPr="00D44CF2" w:rsidRDefault="2213F925" w:rsidP="001A3F5B">
            <w:pPr>
              <w:pStyle w:val="TableText"/>
              <w:cnfStyle w:val="100000000000" w:firstRow="1" w:lastRow="0" w:firstColumn="0" w:lastColumn="0" w:oddVBand="0" w:evenVBand="0" w:oddHBand="0" w:evenHBand="0" w:firstRowFirstColumn="0" w:firstRowLastColumn="0" w:lastRowFirstColumn="0" w:lastRowLastColumn="0"/>
            </w:pPr>
            <w:r w:rsidRPr="00D44CF2">
              <w:t xml:space="preserve">Planned </w:t>
            </w:r>
            <w:r w:rsidR="00A9731B" w:rsidRPr="00D44CF2">
              <w:t>completion date</w:t>
            </w:r>
          </w:p>
        </w:tc>
      </w:tr>
      <w:tr w:rsidR="00723C05" w:rsidRPr="00D44CF2" w14:paraId="4B03AB3A" w14:textId="77777777" w:rsidTr="3AD74A67">
        <w:trPr>
          <w:trHeight w:val="70"/>
        </w:trPr>
        <w:tc>
          <w:tcPr>
            <w:cnfStyle w:val="001000000000" w:firstRow="0" w:lastRow="0" w:firstColumn="1" w:lastColumn="0" w:oddVBand="0" w:evenVBand="0" w:oddHBand="0" w:evenHBand="0" w:firstRowFirstColumn="0" w:firstRowLastColumn="0" w:lastRowFirstColumn="0" w:lastRowLastColumn="0"/>
            <w:tcW w:w="709" w:type="dxa"/>
          </w:tcPr>
          <w:p w14:paraId="6E8D1A5D" w14:textId="77777777" w:rsidR="00A9731B" w:rsidRPr="00D44CF2" w:rsidRDefault="00A9731B" w:rsidP="001A3F5B">
            <w:pPr>
              <w:pStyle w:val="TableText"/>
            </w:pPr>
            <w:r w:rsidRPr="00D44CF2">
              <w:t>4</w:t>
            </w:r>
          </w:p>
        </w:tc>
        <w:tc>
          <w:tcPr>
            <w:tcW w:w="2693" w:type="dxa"/>
          </w:tcPr>
          <w:p w14:paraId="36396356"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VNI export voltage collapse during outages</w:t>
            </w:r>
          </w:p>
          <w:p w14:paraId="52A4B654"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V^^N_xxx</w:t>
            </w:r>
          </w:p>
        </w:tc>
        <w:tc>
          <w:tcPr>
            <w:tcW w:w="5245" w:type="dxa"/>
          </w:tcPr>
          <w:p w14:paraId="13F3976D"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Avoid voltage collapse around Murray for loss of all APD potlines during planned transmission equipment outages. </w:t>
            </w:r>
          </w:p>
          <w:p w14:paraId="0304DB16"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These constraints each behave similarly to their system normal counterpart V^^N_NIL_1. </w:t>
            </w:r>
          </w:p>
          <w:p w14:paraId="6C558E17"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These constraints are invoked during outages of any line in, or connecting to, the 330 kV corridor between Victorian and New South Wales capital city load centres. Outages of other significant lines including 500 kV Latrobe Valley lines in Victoria and 220 kV lines in south-west new South Wales also may require such constraints to be invoked.</w:t>
            </w:r>
          </w:p>
        </w:tc>
        <w:tc>
          <w:tcPr>
            <w:tcW w:w="4820" w:type="dxa"/>
          </w:tcPr>
          <w:p w14:paraId="293903EB"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Completion of VNI West is expected to reduce the impact of this constraint.</w:t>
            </w:r>
          </w:p>
        </w:tc>
        <w:tc>
          <w:tcPr>
            <w:tcW w:w="1559" w:type="dxa"/>
          </w:tcPr>
          <w:p w14:paraId="0B5806A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2031-32</w:t>
            </w:r>
          </w:p>
        </w:tc>
      </w:tr>
      <w:tr w:rsidR="00723C05" w:rsidRPr="00D44CF2" w14:paraId="2D181C3A" w14:textId="77777777" w:rsidTr="3AD74A67">
        <w:trPr>
          <w:trHeight w:val="786"/>
        </w:trPr>
        <w:tc>
          <w:tcPr>
            <w:cnfStyle w:val="001000000000" w:firstRow="0" w:lastRow="0" w:firstColumn="1" w:lastColumn="0" w:oddVBand="0" w:evenVBand="0" w:oddHBand="0" w:evenHBand="0" w:firstRowFirstColumn="0" w:firstRowLastColumn="0" w:lastRowFirstColumn="0" w:lastRowLastColumn="0"/>
            <w:tcW w:w="709" w:type="dxa"/>
          </w:tcPr>
          <w:p w14:paraId="66CCAE41" w14:textId="77777777" w:rsidR="00A9731B" w:rsidRPr="00D44CF2" w:rsidRDefault="00A9731B" w:rsidP="001A3F5B">
            <w:pPr>
              <w:pStyle w:val="TableText"/>
            </w:pPr>
            <w:r w:rsidRPr="00D44CF2">
              <w:t>11</w:t>
            </w:r>
          </w:p>
        </w:tc>
        <w:tc>
          <w:tcPr>
            <w:tcW w:w="2693" w:type="dxa"/>
          </w:tcPr>
          <w:p w14:paraId="5545D9D1"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VNI voltage collapse </w:t>
            </w:r>
          </w:p>
          <w:p w14:paraId="73C1F77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V^^N_NIL_1</w:t>
            </w:r>
          </w:p>
        </w:tc>
        <w:tc>
          <w:tcPr>
            <w:tcW w:w="5245" w:type="dxa"/>
          </w:tcPr>
          <w:p w14:paraId="733FC0E9"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To avoid voltage collapse in northern Victoria and southern New South Wales for loss of APD potlines following fault on one of the 500 kV lines in Southwest Victoria. </w:t>
            </w:r>
          </w:p>
        </w:tc>
        <w:tc>
          <w:tcPr>
            <w:tcW w:w="4820" w:type="dxa"/>
          </w:tcPr>
          <w:p w14:paraId="6FD8907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AVP is investigating the possible causes of APD tripping due to failure to ride through 500 kV faults and is exploring options to avoid tripping.</w:t>
            </w:r>
          </w:p>
          <w:p w14:paraId="622B461A"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Completion of EnergyConnect Stage 2, WRL and VNI West is expected to reduce the impact of this constraint.</w:t>
            </w:r>
          </w:p>
        </w:tc>
        <w:tc>
          <w:tcPr>
            <w:tcW w:w="1559" w:type="dxa"/>
          </w:tcPr>
          <w:p w14:paraId="312D2CB0"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2031-32</w:t>
            </w:r>
          </w:p>
        </w:tc>
      </w:tr>
      <w:tr w:rsidR="0017564B" w:rsidRPr="00D44CF2" w14:paraId="42E460BB" w14:textId="77777777" w:rsidTr="3AD74A67">
        <w:tc>
          <w:tcPr>
            <w:cnfStyle w:val="001000000000" w:firstRow="0" w:lastRow="0" w:firstColumn="1" w:lastColumn="0" w:oddVBand="0" w:evenVBand="0" w:oddHBand="0" w:evenHBand="0" w:firstRowFirstColumn="0" w:firstRowLastColumn="0" w:lastRowFirstColumn="0" w:lastRowLastColumn="0"/>
            <w:tcW w:w="709" w:type="dxa"/>
          </w:tcPr>
          <w:p w14:paraId="10FFB111" w14:textId="77777777" w:rsidR="00A9731B" w:rsidRPr="00D44CF2" w:rsidRDefault="00A9731B" w:rsidP="001A3F5B">
            <w:pPr>
              <w:pStyle w:val="TableText"/>
            </w:pPr>
            <w:r w:rsidRPr="00D44CF2">
              <w:t>15</w:t>
            </w:r>
          </w:p>
        </w:tc>
        <w:tc>
          <w:tcPr>
            <w:tcW w:w="2693" w:type="dxa"/>
          </w:tcPr>
          <w:p w14:paraId="3C38A468"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VNI export transient stability during outages</w:t>
            </w:r>
          </w:p>
          <w:p w14:paraId="6407EB57"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V::N_xxx</w:t>
            </w:r>
          </w:p>
        </w:tc>
        <w:tc>
          <w:tcPr>
            <w:tcW w:w="5245" w:type="dxa"/>
          </w:tcPr>
          <w:p w14:paraId="1EDC6656"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Prevent transient instability for fault and trip of Hazelwood to South Morang line during planned transmission equipment outages. </w:t>
            </w:r>
          </w:p>
          <w:p w14:paraId="084EC324"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p>
        </w:tc>
        <w:tc>
          <w:tcPr>
            <w:tcW w:w="4820" w:type="dxa"/>
          </w:tcPr>
          <w:p w14:paraId="50A10402"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AVP is investigating the possible causes of APD tripping due to failure to ride through 500 kV faults and is exploring options to avoid tripping.</w:t>
            </w:r>
          </w:p>
          <w:p w14:paraId="4C23A8F4"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Completion of EnergyConnect Stage 2, WRL and VNI West is expected to reduce the impact of this constraint.</w:t>
            </w:r>
          </w:p>
        </w:tc>
        <w:tc>
          <w:tcPr>
            <w:tcW w:w="1559" w:type="dxa"/>
          </w:tcPr>
          <w:p w14:paraId="0F156585" w14:textId="77777777" w:rsidR="00A9731B" w:rsidRPr="00D44CF2" w:rsidRDefault="00A9731B"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2031-32</w:t>
            </w:r>
          </w:p>
        </w:tc>
      </w:tr>
    </w:tbl>
    <w:p w14:paraId="4E5FAF5D" w14:textId="77777777" w:rsidR="00A9731B" w:rsidRPr="00D44CF2" w:rsidRDefault="00A9731B" w:rsidP="00A9731B">
      <w:pPr>
        <w:pStyle w:val="BodyText"/>
      </w:pPr>
    </w:p>
    <w:p w14:paraId="47D75CEC" w14:textId="77777777" w:rsidR="00A9731B" w:rsidRPr="00D44CF2" w:rsidRDefault="00A9731B" w:rsidP="00A9731B">
      <w:pPr>
        <w:pStyle w:val="BodyText"/>
        <w:sectPr w:rsidR="00A9731B" w:rsidRPr="00D44CF2" w:rsidSect="00A9731B">
          <w:headerReference w:type="default" r:id="rId77"/>
          <w:footerReference w:type="default" r:id="rId78"/>
          <w:pgSz w:w="16840" w:h="11907" w:orient="landscape" w:code="9"/>
          <w:pgMar w:top="1985" w:right="907" w:bottom="1418" w:left="907" w:header="788" w:footer="471" w:gutter="0"/>
          <w:cols w:space="708"/>
          <w:docGrid w:linePitch="360"/>
        </w:sectPr>
      </w:pPr>
    </w:p>
    <w:p w14:paraId="2C14B748" w14:textId="77777777" w:rsidR="00A9731B" w:rsidRPr="00D44CF2" w:rsidRDefault="00A9731B" w:rsidP="00A9731B">
      <w:pPr>
        <w:pStyle w:val="Heading3"/>
      </w:pPr>
      <w:bookmarkStart w:id="204" w:name="_Ref177639803"/>
      <w:r w:rsidRPr="00D44CF2">
        <w:lastRenderedPageBreak/>
        <w:t>Ongoing regulatory tests and feasibility studies for future developments</w:t>
      </w:r>
      <w:bookmarkEnd w:id="204"/>
    </w:p>
    <w:p w14:paraId="31C80E10" w14:textId="77777777" w:rsidR="00A9731B" w:rsidRPr="00D44CF2" w:rsidRDefault="00A9731B" w:rsidP="00A9731B">
      <w:pPr>
        <w:pStyle w:val="Heading4"/>
      </w:pPr>
      <w:r w:rsidRPr="00D44CF2">
        <w:t>What is a regulatory investment test?</w:t>
      </w:r>
    </w:p>
    <w:p w14:paraId="62D04B89" w14:textId="77777777" w:rsidR="00A9731B" w:rsidRPr="00D44CF2" w:rsidRDefault="00A9731B" w:rsidP="00A9731B">
      <w:pPr>
        <w:pStyle w:val="Heading5"/>
      </w:pPr>
      <w:r w:rsidRPr="00D44CF2">
        <w:t>Purpose of a RIT-T</w:t>
      </w:r>
    </w:p>
    <w:p w14:paraId="6BEEAACC" w14:textId="77777777" w:rsidR="00A9731B" w:rsidRPr="00D44CF2" w:rsidRDefault="00A9731B" w:rsidP="00A9731B">
      <w:pPr>
        <w:pStyle w:val="BodyText"/>
      </w:pPr>
      <w:r w:rsidRPr="00D44CF2">
        <w:t xml:space="preserve">Strategic planning of the power system is crucial to making informed decisions in the long-term interests of Australian energy consumers. Under the NEL, AVP is responsible for planning and directing augmentation for the Victorian electricity transmission DSN. </w:t>
      </w:r>
    </w:p>
    <w:p w14:paraId="3E1B40C1" w14:textId="77777777" w:rsidR="00A9731B" w:rsidRPr="00D44CF2" w:rsidRDefault="00A9731B" w:rsidP="00A9731B">
      <w:pPr>
        <w:pStyle w:val="BodyText"/>
      </w:pPr>
      <w:r w:rsidRPr="00D44CF2">
        <w:t>The RIT-T process is a regulatory mechanism under the NER that applies an economic cost-benefit test on proposed investments for the shared transmission network of the NEM. It is designed to identify the most economically efficient investment to all those that produce, consume or transport electricity in the NEM, including for changes in Australia’s greenhouse gas emissions, whether or not the net benefit of changes in emissions is to those that produce, consume or transport electricity in the NEM.</w:t>
      </w:r>
    </w:p>
    <w:p w14:paraId="369014A4" w14:textId="77777777" w:rsidR="00A9731B" w:rsidRPr="00D44CF2" w:rsidRDefault="00A9731B" w:rsidP="00A9731B">
      <w:pPr>
        <w:pStyle w:val="BodyText"/>
      </w:pPr>
      <w:r w:rsidRPr="00D44CF2">
        <w:t xml:space="preserve">As the RIT-T proponent, AVP follows one of two RIT-T processes outlined in the NER, depending on the nature of the investment. Where the investment is not an Actionable ISP Project the process of NER 5.16 applies, and for an ISP Actionable Project the RIT-T process of NER 5.16A applies. </w:t>
      </w:r>
    </w:p>
    <w:p w14:paraId="507499F7" w14:textId="77777777" w:rsidR="00A9731B" w:rsidRPr="00D44CF2" w:rsidRDefault="00A9731B" w:rsidP="00A9731B">
      <w:pPr>
        <w:pStyle w:val="Heading5"/>
      </w:pPr>
      <w:r w:rsidRPr="00D44CF2">
        <w:t>Stages involved in a RIT-T</w:t>
      </w:r>
    </w:p>
    <w:p w14:paraId="24437006" w14:textId="77777777" w:rsidR="00A9731B" w:rsidRPr="00D44CF2" w:rsidRDefault="00A9731B" w:rsidP="00A9731B">
      <w:pPr>
        <w:pStyle w:val="BodyText"/>
      </w:pPr>
      <w:r w:rsidRPr="00D44CF2">
        <w:t>The RIT-T process generally has three stages and requires transmission network planners considering significant investment for the transmission network to publish a report at each stage:</w:t>
      </w:r>
    </w:p>
    <w:p w14:paraId="4A2D611C" w14:textId="77777777" w:rsidR="00A9731B" w:rsidRPr="00D44CF2" w:rsidRDefault="00A9731B" w:rsidP="00A9731B">
      <w:pPr>
        <w:pStyle w:val="ListBullet"/>
        <w:numPr>
          <w:ilvl w:val="0"/>
          <w:numId w:val="52"/>
        </w:numPr>
      </w:pPr>
      <w:r w:rsidRPr="00D44CF2">
        <w:rPr>
          <w:b/>
        </w:rPr>
        <w:t>Project Specification Consultation Report (PSCR)</w:t>
      </w:r>
      <w:r w:rsidRPr="00D44CF2">
        <w:rPr>
          <w:b/>
          <w:bCs/>
        </w:rPr>
        <w:t xml:space="preserve"> </w:t>
      </w:r>
      <w:r w:rsidRPr="00D44CF2">
        <w:t>–</w:t>
      </w:r>
      <w:r w:rsidRPr="00D44CF2">
        <w:rPr>
          <w:b/>
          <w:bCs/>
        </w:rPr>
        <w:t xml:space="preserve"> </w:t>
      </w:r>
      <w:r w:rsidRPr="00D44CF2">
        <w:t>the first report</w:t>
      </w:r>
      <w:r w:rsidRPr="00D44CF2">
        <w:rPr>
          <w:b/>
          <w:bCs/>
        </w:rPr>
        <w:t xml:space="preserve"> </w:t>
      </w:r>
      <w:r w:rsidRPr="00D44CF2">
        <w:t>seeks feedback and advice on the identified need for investment as well as credible options that look at both network and non-network solutions to address the identified need. The consultation period for the PSCR is a minimum of 12 weeks from the publication date of the PSCR. Where a proposed investment is an Actionable ISP project, the PSCR stage is not required, as consultation is managed through the ISP publication.</w:t>
      </w:r>
    </w:p>
    <w:p w14:paraId="49F33B39" w14:textId="77777777" w:rsidR="00A9731B" w:rsidRPr="00D44CF2" w:rsidRDefault="00A9731B" w:rsidP="00A9731B">
      <w:pPr>
        <w:pStyle w:val="ListBullet"/>
        <w:numPr>
          <w:ilvl w:val="0"/>
          <w:numId w:val="52"/>
        </w:numPr>
      </w:pPr>
      <w:r w:rsidRPr="00D44CF2">
        <w:rPr>
          <w:b/>
        </w:rPr>
        <w:t xml:space="preserve">Project Assessment Draft Report (PADR) </w:t>
      </w:r>
      <w:r w:rsidRPr="00D44CF2">
        <w:rPr>
          <w:bCs/>
        </w:rPr>
        <w:t>–</w:t>
      </w:r>
      <w:r w:rsidRPr="00D44CF2">
        <w:rPr>
          <w:b/>
        </w:rPr>
        <w:t xml:space="preserve"> </w:t>
      </w:r>
      <w:r w:rsidRPr="00D44CF2">
        <w:t xml:space="preserve">the second report of the process considers feedback on the PSCR and identifies and seeks feedback on the proposed preferred option and assessment methodology. The PADR must be published within 12 months of the end of the consultation period for the corresponding PSCR, unless an extension is requested and granted by the Australian Energy Regulator (AER). The consultation period must not be less than six weeks from the publication date of the PADR. </w:t>
      </w:r>
    </w:p>
    <w:p w14:paraId="1333E190" w14:textId="77777777" w:rsidR="00A9731B" w:rsidRPr="00D44CF2" w:rsidRDefault="00A9731B" w:rsidP="00A9731B">
      <w:pPr>
        <w:pStyle w:val="ListBullet"/>
        <w:numPr>
          <w:ilvl w:val="0"/>
          <w:numId w:val="52"/>
        </w:numPr>
      </w:pPr>
      <w:r w:rsidRPr="00D44CF2">
        <w:rPr>
          <w:b/>
        </w:rPr>
        <w:t>Project Assessment Conclusions Report (PACR)</w:t>
      </w:r>
      <w:r w:rsidRPr="00D44CF2">
        <w:t xml:space="preserve"> – the final report of the RIT-T considers feedback on the PADR and presents the transmission planner’s recommended solution (preferred option) to deliver the highest net economic benefit and intended course of action. The PACR must be published as soon as practical after the end date of the consultation period for the corresponding PADR. </w:t>
      </w:r>
    </w:p>
    <w:p w14:paraId="4860FB59" w14:textId="77777777" w:rsidR="00A9731B" w:rsidRPr="00D44CF2" w:rsidRDefault="00A9731B" w:rsidP="00A9731B">
      <w:pPr>
        <w:pStyle w:val="BodyText"/>
      </w:pPr>
      <w:r w:rsidRPr="00D44CF2">
        <w:t>The end-to-end timing for undertaking a RIT-T can vary significantly depending on the complexity of potential credible options and the drivers of the identified need, but typically takes between 12 and 18 months from publication of the PSCR to completion of the PACR.</w:t>
      </w:r>
    </w:p>
    <w:p w14:paraId="4B975B59" w14:textId="77777777" w:rsidR="00A9731B" w:rsidRPr="00D44CF2" w:rsidRDefault="00A9731B" w:rsidP="00A9731B">
      <w:pPr>
        <w:pStyle w:val="BodyText"/>
      </w:pPr>
      <w:r w:rsidRPr="00D44CF2">
        <w:t xml:space="preserve">AVP is currently working on the RIT-Ts outlined in the sections below. </w:t>
      </w:r>
    </w:p>
    <w:p w14:paraId="08985341" w14:textId="77777777" w:rsidR="00A9731B" w:rsidRPr="00D44CF2" w:rsidRDefault="00A9731B" w:rsidP="00A9731B">
      <w:pPr>
        <w:pStyle w:val="CaptionFigure"/>
      </w:pPr>
      <w:bookmarkStart w:id="205" w:name="_Toc212023360"/>
      <w:r w:rsidRPr="00D44CF2">
        <w:lastRenderedPageBreak/>
        <w:t>Regulatory tests and feasibility studies in progress</w:t>
      </w:r>
      <w:bookmarkEnd w:id="205"/>
    </w:p>
    <w:p w14:paraId="56BEA9FF" w14:textId="77777777" w:rsidR="00A9731B" w:rsidRPr="00D44CF2" w:rsidRDefault="00A9731B" w:rsidP="00A9731B">
      <w:pPr>
        <w:pStyle w:val="BodyText"/>
      </w:pPr>
      <w:r w:rsidRPr="00D44CF2">
        <w:rPr>
          <w:noProof/>
        </w:rPr>
        <w:drawing>
          <wp:inline distT="0" distB="0" distL="0" distR="0" wp14:anchorId="59071E21" wp14:editId="011BBD98">
            <wp:extent cx="6409055" cy="4174155"/>
            <wp:effectExtent l="0" t="0" r="0" b="0"/>
            <wp:docPr id="65530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02775" name=""/>
                    <pic:cNvPicPr/>
                  </pic:nvPicPr>
                  <pic:blipFill rotWithShape="1">
                    <a:blip r:embed="rId79"/>
                    <a:srcRect t="3587"/>
                    <a:stretch/>
                  </pic:blipFill>
                  <pic:spPr bwMode="auto">
                    <a:xfrm>
                      <a:off x="0" y="0"/>
                      <a:ext cx="6409055" cy="4174155"/>
                    </a:xfrm>
                    <a:prstGeom prst="rect">
                      <a:avLst/>
                    </a:prstGeom>
                    <a:ln>
                      <a:noFill/>
                    </a:ln>
                    <a:extLst>
                      <a:ext uri="{53640926-AAD7-44D8-BBD7-CCE9431645EC}">
                        <a14:shadowObscured xmlns:a14="http://schemas.microsoft.com/office/drawing/2010/main"/>
                      </a:ext>
                    </a:extLst>
                  </pic:spPr>
                </pic:pic>
              </a:graphicData>
            </a:graphic>
          </wp:inline>
        </w:drawing>
      </w:r>
    </w:p>
    <w:p w14:paraId="6B8C7D1E" w14:textId="77777777" w:rsidR="00A9731B" w:rsidRPr="00D44CF2" w:rsidRDefault="00A9731B" w:rsidP="00A9731B">
      <w:pPr>
        <w:pStyle w:val="Heading4"/>
      </w:pPr>
      <w:bookmarkStart w:id="206" w:name="_Ref176865897"/>
      <w:r w:rsidRPr="00D44CF2">
        <w:t>Eastern Victorian Grid Reinforcement RIT-T</w:t>
      </w:r>
      <w:bookmarkEnd w:id="206"/>
    </w:p>
    <w:p w14:paraId="07A8CDCE" w14:textId="23472CA5" w:rsidR="00A9731B" w:rsidRPr="00D44CF2" w:rsidRDefault="00A9731B" w:rsidP="00A9731B">
      <w:pPr>
        <w:pStyle w:val="BodyText"/>
      </w:pPr>
      <w:r w:rsidRPr="00D44CF2">
        <w:t xml:space="preserve">Significant changes in the eastern metropolitan Melbourne network are starting to occur and are anticipated to continue over the next decade. These changes include the retirement of YWPS in 2028 and forecast demand growth projected to exceed the capacity of the eastern metropolitan network. The Latrobe Valley reconfiguration project (see Section </w:t>
      </w:r>
      <w:r w:rsidRPr="00D44CF2">
        <w:fldChar w:fldCharType="begin"/>
      </w:r>
      <w:r w:rsidRPr="00D44CF2">
        <w:instrText xml:space="preserve"> REF _Ref177639861 \n \h  \* MERGEFORMAT </w:instrText>
      </w:r>
      <w:r w:rsidRPr="00D44CF2">
        <w:fldChar w:fldCharType="separate"/>
      </w:r>
      <w:r w:rsidR="004973D2">
        <w:t>3.1.2</w:t>
      </w:r>
      <w:r w:rsidRPr="00D44CF2">
        <w:fldChar w:fldCharType="end"/>
      </w:r>
      <w:r w:rsidRPr="00D44CF2">
        <w:t xml:space="preserve">) will ensure the 220 kV lines from the Latrobe Valley to Rowville remain fully utilised post-retirement of YWPS. However, due to the forecast demand growth in the eastern metropolitan area, additional investment is required to address anticipated forecast demand in the eastern metropolitan Melbourne area over the next 10 years. </w:t>
      </w:r>
    </w:p>
    <w:p w14:paraId="71EC0C82" w14:textId="77777777" w:rsidR="00A9731B" w:rsidRPr="00D44CF2" w:rsidRDefault="00A9731B" w:rsidP="00A9731B">
      <w:pPr>
        <w:pStyle w:val="BodyText"/>
      </w:pPr>
      <w:r w:rsidRPr="00D44CF2">
        <w:t>If no action is taken to increase the eastern metropolitan Melbourne network capacity, then operational measures, such as dispatch constraints or load shedding, may be required to manage network loading within the thermal limits of the following assets:</w:t>
      </w:r>
    </w:p>
    <w:p w14:paraId="07A8CBAB" w14:textId="77777777" w:rsidR="00A9731B" w:rsidRPr="00D44CF2" w:rsidRDefault="00A9731B" w:rsidP="00A9731B">
      <w:pPr>
        <w:pStyle w:val="ListBullet"/>
        <w:numPr>
          <w:ilvl w:val="0"/>
          <w:numId w:val="55"/>
        </w:numPr>
      </w:pPr>
      <w:r w:rsidRPr="00D44CF2">
        <w:t xml:space="preserve">Eildon – Thomastown 220 kV line, </w:t>
      </w:r>
    </w:p>
    <w:p w14:paraId="719A1D16" w14:textId="77777777" w:rsidR="00A9731B" w:rsidRPr="00D44CF2" w:rsidRDefault="00A9731B" w:rsidP="00A9731B">
      <w:pPr>
        <w:pStyle w:val="ListBullet"/>
        <w:numPr>
          <w:ilvl w:val="0"/>
          <w:numId w:val="55"/>
        </w:numPr>
      </w:pPr>
      <w:r w:rsidRPr="00D44CF2">
        <w:t>Rowville A1 500/220 kV transformer during system normal, and</w:t>
      </w:r>
    </w:p>
    <w:p w14:paraId="405AB726" w14:textId="77777777" w:rsidR="00A9731B" w:rsidRPr="00D44CF2" w:rsidRDefault="00A9731B" w:rsidP="00A9731B">
      <w:pPr>
        <w:pStyle w:val="ListBullet"/>
        <w:numPr>
          <w:ilvl w:val="0"/>
          <w:numId w:val="55"/>
        </w:numPr>
      </w:pPr>
      <w:r w:rsidRPr="00D44CF2">
        <w:t>Thomastown – Ringwood and Rowville – Yallourn 220 kV lines for loss of the Rowville A1 transformer.</w:t>
      </w:r>
    </w:p>
    <w:p w14:paraId="733104D8" w14:textId="77777777" w:rsidR="00A9731B" w:rsidRPr="00D44CF2" w:rsidRDefault="00A9731B" w:rsidP="00A9731B">
      <w:pPr>
        <w:pStyle w:val="BodyText"/>
      </w:pPr>
      <w:r w:rsidRPr="00D44CF2">
        <w:lastRenderedPageBreak/>
        <w:t>AVP published the PSCR</w:t>
      </w:r>
      <w:r w:rsidRPr="00D44CF2">
        <w:rPr>
          <w:rStyle w:val="FootnoteReference"/>
        </w:rPr>
        <w:footnoteReference w:id="80"/>
      </w:r>
      <w:r w:rsidRPr="00D44CF2">
        <w:t xml:space="preserve"> for this project in November 2024, outlining credible network options and technical characteristics required from non-network options to meet the identified need, being to support the forecast demand growth in the eastern metropolitan area. Network options that are being considered for the PSCR include, but are not limited to:</w:t>
      </w:r>
    </w:p>
    <w:p w14:paraId="3A93BCB8" w14:textId="77777777" w:rsidR="00A9731B" w:rsidRPr="00D44CF2" w:rsidRDefault="00A9731B" w:rsidP="00A9731B">
      <w:pPr>
        <w:pStyle w:val="ListBullet"/>
        <w:numPr>
          <w:ilvl w:val="0"/>
          <w:numId w:val="56"/>
        </w:numPr>
      </w:pPr>
      <w:r w:rsidRPr="00D44CF2">
        <w:t>bringing forward already planned VNI West works to cut the Eildon – Thomastown 220 kV line into South Morang Terminal Station, to address the forecast line overloads,</w:t>
      </w:r>
    </w:p>
    <w:p w14:paraId="50BBA833" w14:textId="77777777" w:rsidR="00A9731B" w:rsidRPr="00D44CF2" w:rsidRDefault="00A9731B" w:rsidP="00A9731B">
      <w:pPr>
        <w:pStyle w:val="ListBullet"/>
        <w:numPr>
          <w:ilvl w:val="0"/>
          <w:numId w:val="56"/>
        </w:numPr>
      </w:pPr>
      <w:r w:rsidRPr="00D44CF2">
        <w:t>installing a third 500/220 kV transformer at Rowville in parallel with the existing No. 1 500/220 kV transformer providing supply to the Rowville No. 3-4 220 kV Bus Group,</w:t>
      </w:r>
    </w:p>
    <w:p w14:paraId="4A307FB3" w14:textId="77777777" w:rsidR="00A9731B" w:rsidRPr="00D44CF2" w:rsidRDefault="00A9731B" w:rsidP="00A9731B">
      <w:pPr>
        <w:pStyle w:val="ListBullet"/>
        <w:numPr>
          <w:ilvl w:val="0"/>
          <w:numId w:val="56"/>
        </w:numPr>
      </w:pPr>
      <w:r w:rsidRPr="00D44CF2">
        <w:t>installing a second 500/220 kV transformer at Cranbourne in parallel with the existing transformer and provide supply to the Rowville No. 1-2 220 kV Bus Group and transferring the Rowville No. 2 500/220 kV transformer to the Rowville No. 3-4 220 kV Bus Group in parallel with the Rowville No. 1 500/220 kV transformer, and</w:t>
      </w:r>
    </w:p>
    <w:p w14:paraId="419FC155" w14:textId="77777777" w:rsidR="00A9731B" w:rsidRPr="00D44CF2" w:rsidRDefault="00A9731B" w:rsidP="00A9731B">
      <w:pPr>
        <w:pStyle w:val="ListBullet"/>
      </w:pPr>
      <w:r w:rsidRPr="00D44CF2">
        <w:t xml:space="preserve">replacing equipment at metropolitan terminal stations that have fault level exceedances, expected to be Keilor, Rowville, South Morang or Thomastown 220 kV assets and Templestowe and Thomastown 66 kV assets. </w:t>
      </w:r>
    </w:p>
    <w:p w14:paraId="28C8A269" w14:textId="77777777" w:rsidR="00A9731B" w:rsidRPr="00D44CF2" w:rsidRDefault="00A9731B" w:rsidP="00A9731B">
      <w:pPr>
        <w:pStyle w:val="BodyText"/>
      </w:pPr>
      <w:r w:rsidRPr="00D44CF2">
        <w:t xml:space="preserve">AVP has commenced next steps in the cost-benefit assessment process for eastern Victoria grid reinforcement. A high-level overview of next steps includes progressing: </w:t>
      </w:r>
    </w:p>
    <w:p w14:paraId="340B6964" w14:textId="77777777" w:rsidR="00A9731B" w:rsidRPr="00D44CF2" w:rsidRDefault="00A9731B" w:rsidP="00A9731B">
      <w:pPr>
        <w:pStyle w:val="ListBullet"/>
        <w:numPr>
          <w:ilvl w:val="0"/>
          <w:numId w:val="55"/>
        </w:numPr>
      </w:pPr>
      <w:r w:rsidRPr="00D44CF2">
        <w:t>engineering studies to assess and identify the preferred credible options to meet the identified need, and</w:t>
      </w:r>
    </w:p>
    <w:p w14:paraId="34D6F39A" w14:textId="77777777" w:rsidR="00A9731B" w:rsidRPr="00D44CF2" w:rsidRDefault="00A9731B" w:rsidP="00A9731B">
      <w:pPr>
        <w:pStyle w:val="ListBullet"/>
        <w:numPr>
          <w:ilvl w:val="0"/>
          <w:numId w:val="55"/>
        </w:numPr>
      </w:pPr>
      <w:r w:rsidRPr="00D44CF2">
        <w:t xml:space="preserve">cost-benefit analysis to estimate the net market benefits and rank the feasible options to determine the option that maximises the net economic benefit, as well as the optimal timing of implementation. </w:t>
      </w:r>
    </w:p>
    <w:p w14:paraId="354C1F5B" w14:textId="77777777" w:rsidR="00A9731B" w:rsidRPr="00D44CF2" w:rsidRDefault="00A9731B" w:rsidP="00A9731B">
      <w:pPr>
        <w:pStyle w:val="Heading4"/>
      </w:pPr>
      <w:bookmarkStart w:id="207" w:name="_Toc117266154"/>
      <w:bookmarkStart w:id="208" w:name="_Ref176865908"/>
      <w:bookmarkEnd w:id="207"/>
      <w:r w:rsidRPr="00D44CF2">
        <w:t>Western Metropolitan Melbourne Reinforcement RIT-T</w:t>
      </w:r>
      <w:bookmarkEnd w:id="208"/>
    </w:p>
    <w:p w14:paraId="445BB9AE" w14:textId="77777777" w:rsidR="00A9731B" w:rsidRPr="00D44CF2" w:rsidRDefault="00A9731B" w:rsidP="00A9731B">
      <w:pPr>
        <w:pStyle w:val="BodyText"/>
      </w:pPr>
      <w:r w:rsidRPr="00D44CF2">
        <w:t xml:space="preserve">The 2023 VAPR highlighted that at times of high demand in the western metropolitan area and high wind generation in and around the Western and South West Victoria REZs, the 220 kV transmission corridor between Moorabool, Geelong, Deer Park, and Keilor is becoming constrained and is anticipated to become heavily constrained over the coming decade. The main driver of this limitation is growing contribution of wind generation meeting peak demand, coupled with forecast demand growth in the Geelong and Deer Park areas. This is leading to an inability to supply loads to the western metropolitan Melbourne load centres in Geelong and Deer Park due thermal capacity limitations in the Moorabool – Geelong – Deer Park – Keilor 220 kV corridor during contingent conditions. </w:t>
      </w:r>
    </w:p>
    <w:p w14:paraId="0DEF16F7" w14:textId="77777777" w:rsidR="00A9731B" w:rsidRPr="00D44CF2" w:rsidRDefault="00A9731B" w:rsidP="00A9731B">
      <w:pPr>
        <w:pStyle w:val="BodyText"/>
      </w:pPr>
      <w:r w:rsidRPr="00D44CF2">
        <w:t>The identified limitations include:</w:t>
      </w:r>
    </w:p>
    <w:p w14:paraId="2850B189" w14:textId="77777777" w:rsidR="00A9731B" w:rsidRPr="00D44CF2" w:rsidRDefault="00A9731B" w:rsidP="00A9731B">
      <w:pPr>
        <w:pStyle w:val="ListBullet"/>
        <w:numPr>
          <w:ilvl w:val="0"/>
          <w:numId w:val="55"/>
        </w:numPr>
      </w:pPr>
      <w:r w:rsidRPr="00D44CF2">
        <w:t xml:space="preserve">thermal overloading of Moorabool – Geelong 220 kV circuits, </w:t>
      </w:r>
    </w:p>
    <w:p w14:paraId="3AB7AA43" w14:textId="77777777" w:rsidR="00A9731B" w:rsidRPr="00D44CF2" w:rsidRDefault="00A9731B" w:rsidP="00A9731B">
      <w:pPr>
        <w:pStyle w:val="ListBullet"/>
        <w:numPr>
          <w:ilvl w:val="0"/>
          <w:numId w:val="55"/>
        </w:numPr>
      </w:pPr>
      <w:r w:rsidRPr="00D44CF2">
        <w:t>thermal overloading of Geelong – Deer Park and Geelong – Keilor lines, and</w:t>
      </w:r>
    </w:p>
    <w:p w14:paraId="330BAFD9" w14:textId="77777777" w:rsidR="00A9731B" w:rsidRPr="00D44CF2" w:rsidRDefault="00A9731B" w:rsidP="00A9731B">
      <w:pPr>
        <w:pStyle w:val="ListBullet"/>
        <w:numPr>
          <w:ilvl w:val="0"/>
          <w:numId w:val="55"/>
        </w:numPr>
      </w:pPr>
      <w:r w:rsidRPr="00D44CF2">
        <w:t>thermal overloading of Keilor 500/220 kV transformers.</w:t>
      </w:r>
    </w:p>
    <w:p w14:paraId="6265D3B3" w14:textId="77777777" w:rsidR="00A9731B" w:rsidRPr="00D44CF2" w:rsidRDefault="00A9731B" w:rsidP="00A9731B">
      <w:pPr>
        <w:pStyle w:val="BodyText"/>
        <w:spacing w:after="0"/>
      </w:pPr>
      <w:r w:rsidRPr="00D44CF2">
        <w:lastRenderedPageBreak/>
        <w:t>AVP published the PSCR</w:t>
      </w:r>
      <w:r w:rsidRPr="00D44CF2">
        <w:rPr>
          <w:rStyle w:val="FootnoteReference"/>
        </w:rPr>
        <w:footnoteReference w:id="81"/>
      </w:r>
      <w:r w:rsidRPr="00D44CF2">
        <w:t xml:space="preserve"> in March 2025, outlining credible network options and technical characteristics required from non-network options to meet the identified need, being to support forecast demand growth in the western metropolitan Melbourne area. </w:t>
      </w:r>
    </w:p>
    <w:p w14:paraId="777758E2" w14:textId="77777777" w:rsidR="00A9731B" w:rsidRPr="00D44CF2" w:rsidRDefault="00A9731B" w:rsidP="00A9731B">
      <w:pPr>
        <w:pStyle w:val="BodyText"/>
        <w:spacing w:after="0"/>
      </w:pPr>
      <w:r w:rsidRPr="00D44CF2">
        <w:t>Network options that are being considered include, but are not limited to:</w:t>
      </w:r>
    </w:p>
    <w:p w14:paraId="3899D4A8" w14:textId="77777777" w:rsidR="00A9731B" w:rsidRPr="00D44CF2" w:rsidRDefault="00A9731B" w:rsidP="00A9731B">
      <w:pPr>
        <w:pStyle w:val="ListBullet"/>
        <w:numPr>
          <w:ilvl w:val="0"/>
          <w:numId w:val="57"/>
        </w:numPr>
      </w:pPr>
      <w:r w:rsidRPr="00D44CF2">
        <w:t>cutting Geelong – Keilor No.1 and No.3 220 kV lines into Deer Park, and potentially operating the Deer Park – Keilor circuits as normally open,</w:t>
      </w:r>
    </w:p>
    <w:p w14:paraId="008002EF" w14:textId="77777777" w:rsidR="00A9731B" w:rsidRPr="00D44CF2" w:rsidRDefault="00A9731B" w:rsidP="00A9731B">
      <w:pPr>
        <w:pStyle w:val="ListBullet"/>
        <w:numPr>
          <w:ilvl w:val="0"/>
          <w:numId w:val="57"/>
        </w:numPr>
      </w:pPr>
      <w:r w:rsidRPr="00D44CF2">
        <w:t xml:space="preserve">performing works to increase line rating of existing Geelong – Moorabool 220 kV lines (replace limiting plant and install wind monitoring),  </w:t>
      </w:r>
    </w:p>
    <w:p w14:paraId="49FD2C64" w14:textId="77777777" w:rsidR="00A9731B" w:rsidRPr="00D44CF2" w:rsidRDefault="00A9731B" w:rsidP="00A9731B">
      <w:pPr>
        <w:pStyle w:val="ListBullet"/>
        <w:numPr>
          <w:ilvl w:val="0"/>
          <w:numId w:val="57"/>
        </w:numPr>
      </w:pPr>
      <w:r w:rsidRPr="00D44CF2">
        <w:t>constructing a third Geelong – Moorabool 220 kV line, and</w:t>
      </w:r>
    </w:p>
    <w:p w14:paraId="109CE08F" w14:textId="77777777" w:rsidR="00A9731B" w:rsidRPr="00D44CF2" w:rsidRDefault="00A9731B" w:rsidP="00A9731B">
      <w:pPr>
        <w:pStyle w:val="ListBullet"/>
        <w:numPr>
          <w:ilvl w:val="0"/>
          <w:numId w:val="57"/>
        </w:numPr>
      </w:pPr>
      <w:r w:rsidRPr="00D44CF2">
        <w:t xml:space="preserve">like-for-like replacement or replacement with 1,000 MVA transformers for three Keilor 500/220 kV transformers, and associated replacement of limiting equipment. </w:t>
      </w:r>
    </w:p>
    <w:p w14:paraId="6D5F7FED" w14:textId="77777777" w:rsidR="00A9731B" w:rsidRPr="00D44CF2" w:rsidRDefault="00A9731B" w:rsidP="00A9731B">
      <w:pPr>
        <w:pStyle w:val="BodyText"/>
      </w:pPr>
      <w:r w:rsidRPr="00D44CF2">
        <w:t xml:space="preserve">AVP is progressing next steps in the cost-benefit assessment process for western metropolitan Melbourne reinforcement. A high-level overview of next steps includes progressing: </w:t>
      </w:r>
    </w:p>
    <w:p w14:paraId="03BB86DC" w14:textId="77777777" w:rsidR="00A9731B" w:rsidRPr="00D44CF2" w:rsidRDefault="00A9731B" w:rsidP="00A9731B">
      <w:pPr>
        <w:pStyle w:val="ListBullet"/>
        <w:numPr>
          <w:ilvl w:val="0"/>
          <w:numId w:val="55"/>
        </w:numPr>
      </w:pPr>
      <w:r w:rsidRPr="00D44CF2">
        <w:t xml:space="preserve">engineering studies to assess and identify the credible options able to meet the identified need, and </w:t>
      </w:r>
    </w:p>
    <w:p w14:paraId="4C315ECB" w14:textId="77777777" w:rsidR="00A9731B" w:rsidRPr="00D44CF2" w:rsidRDefault="00A9731B" w:rsidP="00A9731B">
      <w:pPr>
        <w:pStyle w:val="ListBullet"/>
        <w:numPr>
          <w:ilvl w:val="0"/>
          <w:numId w:val="55"/>
        </w:numPr>
      </w:pPr>
      <w:r w:rsidRPr="00D44CF2">
        <w:t xml:space="preserve">cost-benefit analysis to estimate the net market benefits and rank the feasible options to determine the option that maximises the net economic benefit, as well as the optimal timing of implementation. </w:t>
      </w:r>
    </w:p>
    <w:p w14:paraId="1D0E666B" w14:textId="77777777" w:rsidR="00A9731B" w:rsidRPr="00D44CF2" w:rsidRDefault="00A9731B" w:rsidP="00A9731B">
      <w:pPr>
        <w:pStyle w:val="BodyText"/>
      </w:pPr>
      <w:r w:rsidRPr="00D44CF2">
        <w:t>AusNet Services commenced a RIT-T to investigate options to replace three 500/220 kV transformers at Keilor Terminal Station to ensure safe and reliable transmission services</w:t>
      </w:r>
      <w:r w:rsidRPr="00D44CF2">
        <w:rPr>
          <w:rStyle w:val="FootnoteReference"/>
        </w:rPr>
        <w:footnoteReference w:id="82"/>
      </w:r>
      <w:r w:rsidRPr="00D44CF2">
        <w:t xml:space="preserve">. AusNet published the PADR in May 2025, which identifies the preferred option to replace the 750 MVA transformers with higher capacity 1,000 MVA transformers, planned to be commissioned by the end of 2030. The higher capacity Keilor Terminal Station transformers are an integral part of the Western Metropolitan Melbourne Reinforcement options being considered. </w:t>
      </w:r>
    </w:p>
    <w:p w14:paraId="4C7BD416" w14:textId="77777777" w:rsidR="00A9731B" w:rsidRPr="00D44CF2" w:rsidRDefault="00A9731B" w:rsidP="00A9731B">
      <w:pPr>
        <w:pStyle w:val="BodyText"/>
      </w:pPr>
      <w:r w:rsidRPr="00D44CF2">
        <w:t>In the 2024 Victorian Transmission Connection Planning Report, Powercor identified an emerging network limitation at Deer Park Terminal Station and indicated that it would be assessing options to address the limitation. Powercor published the RIT-T PSCR in June 2025 identifying one credible option to install a third 225 MVA 220/66 kV transformer and cut in the Geelong – Keilor No.1 and No.3 220 kV transmission circuits</w:t>
      </w:r>
      <w:r w:rsidRPr="00D44CF2">
        <w:rPr>
          <w:rStyle w:val="FootnoteReference"/>
        </w:rPr>
        <w:footnoteReference w:id="83"/>
      </w:r>
      <w:r w:rsidRPr="00D44CF2">
        <w:t xml:space="preserve"> at Deer Park Terminal Station. This project is integral in addressing the thermal limitations associated with demand growth at Deer Park.</w:t>
      </w:r>
    </w:p>
    <w:p w14:paraId="45843931" w14:textId="77777777" w:rsidR="00A9731B" w:rsidRPr="00D44CF2" w:rsidRDefault="00A9731B" w:rsidP="00A9731B">
      <w:pPr>
        <w:pStyle w:val="BodyText"/>
      </w:pPr>
      <w:r w:rsidRPr="00D44CF2">
        <w:t xml:space="preserve">AVP will continue working closely with AusNet Services and Powercor in progressing this cost-benefit assessment. </w:t>
      </w:r>
    </w:p>
    <w:p w14:paraId="7C92E789" w14:textId="77777777" w:rsidR="00A9731B" w:rsidRPr="00D44CF2" w:rsidDel="007B42B3" w:rsidRDefault="00A9731B" w:rsidP="00A9731B">
      <w:pPr>
        <w:pStyle w:val="Heading4"/>
      </w:pPr>
      <w:r w:rsidRPr="00D44CF2" w:rsidDel="007B42B3">
        <w:lastRenderedPageBreak/>
        <w:t>Red Cliffs</w:t>
      </w:r>
      <w:r w:rsidRPr="00D44CF2">
        <w:t xml:space="preserve"> – </w:t>
      </w:r>
      <w:r w:rsidRPr="00D44CF2" w:rsidDel="007B42B3">
        <w:t>Wemen</w:t>
      </w:r>
      <w:r w:rsidRPr="00D44CF2">
        <w:t xml:space="preserve"> – </w:t>
      </w:r>
      <w:r w:rsidRPr="00D44CF2" w:rsidDel="007B42B3">
        <w:t xml:space="preserve">Kerang Transfer Capacity </w:t>
      </w:r>
    </w:p>
    <w:p w14:paraId="2AC971B3" w14:textId="1DF29BC0" w:rsidR="00A9731B" w:rsidRPr="00D44CF2" w:rsidRDefault="00A9731B" w:rsidP="00A9731B">
      <w:pPr>
        <w:pStyle w:val="BodyText"/>
      </w:pPr>
      <w:r w:rsidRPr="00D44CF2">
        <w:t xml:space="preserve">The 2024 VAPR reclassified the previously identified Red Cliffs </w:t>
      </w:r>
      <w:r w:rsidRPr="00D44CF2">
        <w:rPr>
          <w:rFonts w:hint="cs"/>
        </w:rPr>
        <w:t>–</w:t>
      </w:r>
      <w:r w:rsidRPr="00D44CF2">
        <w:t xml:space="preserve"> Wemen </w:t>
      </w:r>
      <w:r w:rsidRPr="00D44CF2">
        <w:rPr>
          <w:rFonts w:hint="cs"/>
        </w:rPr>
        <w:t>–</w:t>
      </w:r>
      <w:r w:rsidRPr="00D44CF2">
        <w:t xml:space="preserve"> Kerang 220 kV line thermal limitation from a monitored limitation to a priority limitation, driven by:  </w:t>
      </w:r>
    </w:p>
    <w:p w14:paraId="0D1BAE7B" w14:textId="77777777" w:rsidR="00A9731B" w:rsidRPr="00D44CF2" w:rsidRDefault="00A9731B" w:rsidP="00A9731B">
      <w:pPr>
        <w:pStyle w:val="ListBullet"/>
        <w:numPr>
          <w:ilvl w:val="0"/>
          <w:numId w:val="57"/>
        </w:numPr>
      </w:pPr>
      <w:r w:rsidRPr="00D44CF2">
        <w:t>increased power transfer capacity from New South Wales into Victoria, following upgrade of the 220 kV network between Buronga and Red Cliffs, as part of EnergyConnect, and retirement of Yallourn in mid-2028, which results in Victoria’s greater reliance on imports from New South Wales during high demand periods, and</w:t>
      </w:r>
      <w:r w:rsidRPr="00D44CF2">
        <w:rPr>
          <w:rFonts w:hint="cs"/>
        </w:rPr>
        <w:t>  </w:t>
      </w:r>
    </w:p>
    <w:p w14:paraId="7A015EF9" w14:textId="77777777" w:rsidR="00A9731B" w:rsidRPr="00D44CF2" w:rsidRDefault="00A9731B" w:rsidP="00A9731B">
      <w:pPr>
        <w:pStyle w:val="ListBullet"/>
        <w:numPr>
          <w:ilvl w:val="0"/>
          <w:numId w:val="57"/>
        </w:numPr>
      </w:pPr>
      <w:r w:rsidRPr="00D44CF2">
        <w:t>increased maximum demand forecasts used in the 2024 VAPR assessment.</w:t>
      </w:r>
      <w:r w:rsidRPr="00D44CF2">
        <w:rPr>
          <w:rFonts w:hint="cs"/>
        </w:rPr>
        <w:t>  </w:t>
      </w:r>
    </w:p>
    <w:p w14:paraId="21A582CD" w14:textId="77777777" w:rsidR="00A9731B" w:rsidRPr="00D44CF2" w:rsidRDefault="00A9731B" w:rsidP="00A9731B">
      <w:pPr>
        <w:pStyle w:val="BodyText"/>
      </w:pPr>
      <w:r w:rsidRPr="00D44CF2">
        <w:t>It was observed in the 2024 VAPR assessment that VNI West significantly reduces the scale of this risk, so the timing and size of this limitation is dependent on VNI West’s commissioning timing.</w:t>
      </w:r>
    </w:p>
    <w:p w14:paraId="6597AE30" w14:textId="77777777" w:rsidR="00A9731B" w:rsidRPr="00D44CF2" w:rsidRDefault="00A9731B" w:rsidP="00A9731B">
      <w:pPr>
        <w:pStyle w:val="BodyText"/>
      </w:pPr>
      <w:r w:rsidRPr="00D44CF2">
        <w:t xml:space="preserve">Since the 2024 VAPR, AVP has commenced more detailed feasibility studies to determine credible network and non-network options capable of economically meeting the identified need. As part of these more detailed feasibility studies, AVP is also considering the voltage stability limitations and other relevant thermal limitations in the area. </w:t>
      </w:r>
    </w:p>
    <w:p w14:paraId="07025EBA" w14:textId="77777777" w:rsidR="00A9731B" w:rsidRPr="00D44CF2" w:rsidRDefault="00A9731B" w:rsidP="00A9731B">
      <w:pPr>
        <w:pStyle w:val="BodyText"/>
      </w:pPr>
      <w:r w:rsidRPr="00D44CF2">
        <w:t>Network and non-network options currently being considered include, but are not limited to:</w:t>
      </w:r>
    </w:p>
    <w:p w14:paraId="00F8BFA5" w14:textId="77777777" w:rsidR="00A9731B" w:rsidRPr="00D44CF2" w:rsidRDefault="00A9731B" w:rsidP="00A9731B">
      <w:pPr>
        <w:pStyle w:val="ListBullet"/>
        <w:numPr>
          <w:ilvl w:val="0"/>
          <w:numId w:val="57"/>
        </w:numPr>
      </w:pPr>
      <w:r w:rsidRPr="00D44CF2">
        <w:t xml:space="preserve">installing power flow management assets, such as series reactors, on the Red Cliffs – Wemen – Kerang 220 kV line to manage thermal loading on these circuits, </w:t>
      </w:r>
    </w:p>
    <w:p w14:paraId="61DCC7A6" w14:textId="77777777" w:rsidR="00A9731B" w:rsidRPr="00D44CF2" w:rsidRDefault="00A9731B" w:rsidP="00A9731B">
      <w:pPr>
        <w:pStyle w:val="ListBullet"/>
      </w:pPr>
      <w:r w:rsidRPr="00D44CF2">
        <w:t>contracting BESS to charge or discharge, as required, to manage thermal loading on the Red Cliffs – Wemen – Kerang 220 kV line during peak loading periods, and</w:t>
      </w:r>
    </w:p>
    <w:p w14:paraId="6DE419AC" w14:textId="77777777" w:rsidR="00A9731B" w:rsidRPr="00D44CF2" w:rsidRDefault="00A9731B" w:rsidP="00A9731B">
      <w:pPr>
        <w:pStyle w:val="ListBullet"/>
        <w:numPr>
          <w:ilvl w:val="0"/>
          <w:numId w:val="57"/>
        </w:numPr>
      </w:pPr>
      <w:r w:rsidRPr="00D44CF2">
        <w:t xml:space="preserve">constructing a second Red Cliffs – Wemen – Kerang 220 kV line. </w:t>
      </w:r>
    </w:p>
    <w:p w14:paraId="62B9D624" w14:textId="77777777" w:rsidR="00A9731B" w:rsidRPr="00D44CF2" w:rsidDel="007B42B3" w:rsidRDefault="00A9731B" w:rsidP="00A9731B">
      <w:pPr>
        <w:pStyle w:val="BodyText"/>
      </w:pPr>
      <w:r w:rsidRPr="00D44CF2">
        <w:t>The ongoing feasibility studies will determine the technical and economic credibility of potential options and therefore the need for any future cost-benefit assessment or RIT-T for investments required to manage the identified limitations. In parallel to the ongoing feasibility studies, the VTP has proposed a project to upgrade the existing circuit to double-circuit in the CDP 2</w:t>
      </w:r>
      <w:r w:rsidRPr="00D44CF2">
        <w:rPr>
          <w:rStyle w:val="FootnoteReference"/>
        </w:rPr>
        <w:footnoteReference w:id="84"/>
      </w:r>
      <w:r w:rsidRPr="00D44CF2">
        <w:t xml:space="preserve"> program of work.</w:t>
      </w:r>
    </w:p>
    <w:p w14:paraId="0E590A42" w14:textId="77777777" w:rsidR="00A9731B" w:rsidRPr="00D44CF2" w:rsidRDefault="00A9731B" w:rsidP="00A9731B">
      <w:pPr>
        <w:pStyle w:val="BodyText"/>
      </w:pPr>
      <w:bookmarkStart w:id="209" w:name="_Toc177574347"/>
      <w:bookmarkStart w:id="210" w:name="_Toc177574353"/>
      <w:bookmarkStart w:id="211" w:name="_Toc177574356"/>
      <w:bookmarkEnd w:id="209"/>
      <w:bookmarkEnd w:id="210"/>
      <w:bookmarkEnd w:id="211"/>
    </w:p>
    <w:p w14:paraId="27D08EA6" w14:textId="77777777" w:rsidR="00A9731B" w:rsidRPr="00D44CF2" w:rsidRDefault="00A9731B" w:rsidP="00C70B3F">
      <w:pPr>
        <w:pStyle w:val="BodyText"/>
        <w:sectPr w:rsidR="00A9731B" w:rsidRPr="00D44CF2" w:rsidSect="00AE5141">
          <w:headerReference w:type="default" r:id="rId80"/>
          <w:footerReference w:type="default" r:id="rId81"/>
          <w:pgSz w:w="11907" w:h="16840" w:code="9"/>
          <w:pgMar w:top="1985" w:right="907" w:bottom="1418" w:left="907" w:header="788" w:footer="471" w:gutter="0"/>
          <w:cols w:space="708"/>
          <w:docGrid w:linePitch="360"/>
        </w:sectPr>
      </w:pPr>
    </w:p>
    <w:p w14:paraId="0DAACFF2" w14:textId="77777777" w:rsidR="0087182A" w:rsidRPr="00D44CF2" w:rsidRDefault="0087182A" w:rsidP="0087182A">
      <w:pPr>
        <w:pStyle w:val="Heading1"/>
      </w:pPr>
      <w:bookmarkStart w:id="212" w:name="_Ref178778418"/>
      <w:bookmarkStart w:id="213" w:name="_Ref178951230"/>
      <w:bookmarkStart w:id="214" w:name="_Toc180159691"/>
      <w:bookmarkStart w:id="215" w:name="_Toc212023282"/>
      <w:r w:rsidRPr="00D44CF2">
        <w:lastRenderedPageBreak/>
        <w:t>Future outlook of the DSN</w:t>
      </w:r>
      <w:bookmarkEnd w:id="212"/>
      <w:bookmarkEnd w:id="213"/>
      <w:bookmarkEnd w:id="214"/>
      <w:bookmarkEnd w:id="215"/>
    </w:p>
    <w:p w14:paraId="6CF83314" w14:textId="77777777" w:rsidR="0087182A" w:rsidRPr="00D44CF2" w:rsidRDefault="0087182A" w:rsidP="0087182A">
      <w:pPr>
        <w:pStyle w:val="HeadlineStatement"/>
      </w:pPr>
      <w:r w:rsidRPr="00D44CF2">
        <w:t>This</w:t>
      </w:r>
      <w:r w:rsidRPr="00D44CF2" w:rsidDel="00732726">
        <w:t xml:space="preserve"> </w:t>
      </w:r>
      <w:r w:rsidRPr="00D44CF2">
        <w:t>section presents the outcome of the 2025 Annual Planning Review undertaken by AVP to assess network capability and identify potential new limitations that may impact supply reliability or reduce system performance over the next 10 years.</w:t>
      </w:r>
    </w:p>
    <w:p w14:paraId="08CC8100" w14:textId="77777777" w:rsidR="0087182A" w:rsidRPr="00D44CF2" w:rsidRDefault="0087182A" w:rsidP="0087182A">
      <w:pPr>
        <w:pStyle w:val="HeadlineStatement"/>
      </w:pPr>
      <w:r w:rsidRPr="00D44CF2">
        <w:t xml:space="preserve">This section also provides information on other planning activities – such as system security planning, review of existing and proposed control schemes for the DSN, and Joint Planning with DTSOs and NSPs – undertaken by AVP as the jurisdictional planner for the Victorian DSN. </w:t>
      </w:r>
    </w:p>
    <w:tbl>
      <w:tblPr>
        <w:tblW w:w="0" w:type="auto"/>
        <w:tblLook w:val="04A0" w:firstRow="1" w:lastRow="0" w:firstColumn="1" w:lastColumn="0" w:noHBand="0" w:noVBand="1"/>
      </w:tblPr>
      <w:tblGrid>
        <w:gridCol w:w="9412"/>
      </w:tblGrid>
      <w:tr w:rsidR="0087182A" w:rsidRPr="00D44CF2" w14:paraId="4E59D1BC" w14:textId="77777777" w:rsidTr="001A3F5B">
        <w:tc>
          <w:tcPr>
            <w:tcW w:w="9412" w:type="dxa"/>
            <w:shd w:val="clear" w:color="auto" w:fill="EEDBF8" w:themeFill="text2" w:themeFillTint="1A"/>
            <w:hideMark/>
          </w:tcPr>
          <w:p w14:paraId="287DA4DC" w14:textId="77777777" w:rsidR="0087182A" w:rsidRPr="00D44CF2" w:rsidRDefault="0087182A" w:rsidP="001A3F5B">
            <w:pPr>
              <w:pStyle w:val="BreakoutBoxHeading"/>
              <w:rPr>
                <w:b w:val="0"/>
              </w:rPr>
            </w:pPr>
            <w:r w:rsidRPr="00D44CF2">
              <w:t xml:space="preserve">Key outcomes of the Annual Planning Review </w:t>
            </w:r>
          </w:p>
          <w:p w14:paraId="772A46D0" w14:textId="77777777" w:rsidR="0087182A" w:rsidRPr="00D44CF2" w:rsidRDefault="0087182A" w:rsidP="001A3F5B">
            <w:pPr>
              <w:pStyle w:val="BodyText"/>
              <w:rPr>
                <w:lang w:val="en-GB"/>
              </w:rPr>
            </w:pPr>
            <w:r w:rsidRPr="00D44CF2">
              <w:rPr>
                <w:b/>
                <w:lang w:val="en-GB"/>
              </w:rPr>
              <w:t>Projected network limitations</w:t>
            </w:r>
          </w:p>
          <w:p w14:paraId="2BEB90ED" w14:textId="77777777" w:rsidR="0087182A" w:rsidRPr="00D44CF2" w:rsidRDefault="0087182A" w:rsidP="001A3F5B">
            <w:pPr>
              <w:pStyle w:val="ListBullet"/>
              <w:rPr>
                <w:lang w:val="en-GB"/>
              </w:rPr>
            </w:pPr>
            <w:r w:rsidRPr="00D44CF2">
              <w:rPr>
                <w:lang w:val="en-GB"/>
              </w:rPr>
              <w:t xml:space="preserve">Key outcomes of the past three VAPRs consistently demonstrate emerging network limitations and urgency of the delivery of identified augmentation projects. </w:t>
            </w:r>
          </w:p>
          <w:p w14:paraId="07239537" w14:textId="0170568A" w:rsidR="0087182A" w:rsidRPr="00D44CF2" w:rsidRDefault="0087182A" w:rsidP="001A3F5B">
            <w:pPr>
              <w:pStyle w:val="ListBullet"/>
              <w:rPr>
                <w:szCs w:val="20"/>
                <w:lang w:val="en-GB"/>
              </w:rPr>
            </w:pPr>
            <w:r w:rsidRPr="00D44CF2">
              <w:rPr>
                <w:lang w:val="en-GB"/>
              </w:rPr>
              <w:t>The 2025 VAPR concludes network limitations are largely consistent with those reported in the 2024 VAPR, except one new priority limitation which is mainly driven by changing connection point demand forecasts:</w:t>
            </w:r>
          </w:p>
          <w:p w14:paraId="7B200C89" w14:textId="77777777" w:rsidR="0087182A" w:rsidRPr="00D44CF2" w:rsidRDefault="0087182A" w:rsidP="001A3F5B">
            <w:pPr>
              <w:pStyle w:val="ListBullet2"/>
              <w:rPr>
                <w:lang w:val="en-GB"/>
              </w:rPr>
            </w:pPr>
            <w:r w:rsidRPr="00D44CF2">
              <w:rPr>
                <w:lang w:val="en-GB"/>
              </w:rPr>
              <w:t xml:space="preserve">Increased demand in Western Metropolitan Melbourne is driving a new priority thermal capacity limitation on the </w:t>
            </w:r>
            <w:r w:rsidRPr="00D44CF2">
              <w:rPr>
                <w:rFonts w:ascii="Arial Nova" w:eastAsia="Arial Nova" w:hAnsi="Arial Nova" w:cs="Arial Nova"/>
                <w:sz w:val="19"/>
                <w:szCs w:val="19"/>
              </w:rPr>
              <w:t>Keilor 500/220 kV transformers A2 and A4 which could lead to a risk of load shedding.</w:t>
            </w:r>
            <w:r w:rsidRPr="00D44CF2">
              <w:rPr>
                <w:lang w:val="en-GB"/>
              </w:rPr>
              <w:t xml:space="preserve"> It is </w:t>
            </w:r>
            <w:r w:rsidRPr="00D44CF2">
              <w:rPr>
                <w:rFonts w:ascii="Arial Nova" w:eastAsia="Arial Nova" w:hAnsi="Arial Nova" w:cs="Arial Nova"/>
              </w:rPr>
              <w:t>anticipated that remediation of this limitation can be included in the Ausnet transformer replacement RIT-T for these transformers.</w:t>
            </w:r>
          </w:p>
          <w:p w14:paraId="178DCE65" w14:textId="77777777" w:rsidR="0087182A" w:rsidRPr="00D44CF2" w:rsidRDefault="0087182A" w:rsidP="001A3F5B">
            <w:pPr>
              <w:pStyle w:val="BodyText"/>
              <w:rPr>
                <w:b/>
              </w:rPr>
            </w:pPr>
            <w:r w:rsidRPr="00D44CF2">
              <w:rPr>
                <w:b/>
              </w:rPr>
              <w:t>System security planning activities</w:t>
            </w:r>
          </w:p>
          <w:p w14:paraId="3633BE73" w14:textId="77777777" w:rsidR="0087182A" w:rsidRPr="00D44CF2" w:rsidRDefault="0087182A" w:rsidP="001A3F5B">
            <w:pPr>
              <w:pStyle w:val="ListBullet"/>
            </w:pPr>
            <w:r w:rsidRPr="00D44CF2">
              <w:t>System strength:</w:t>
            </w:r>
          </w:p>
          <w:p w14:paraId="7A1E1FBC" w14:textId="77777777" w:rsidR="0087182A" w:rsidRPr="00D44CF2" w:rsidRDefault="0087182A" w:rsidP="001A3F5B">
            <w:pPr>
              <w:pStyle w:val="ListBullet2"/>
            </w:pPr>
            <w:r w:rsidRPr="00D44CF2">
              <w:t xml:space="preserve">AVP has extended existing system strength remediation contracts to address system strength needs at Red Cliffs from 2025-26, which were identified in the 2024 </w:t>
            </w:r>
            <w:r w:rsidRPr="00D44CF2">
              <w:rPr>
                <w:i/>
              </w:rPr>
              <w:t>System Strength Report</w:t>
            </w:r>
            <w:r w:rsidRPr="00D44CF2">
              <w:rPr>
                <w:rStyle w:val="FootnoteReference"/>
                <w:iCs/>
              </w:rPr>
              <w:footnoteReference w:id="85"/>
            </w:r>
            <w:r w:rsidRPr="00D44CF2">
              <w:t>.</w:t>
            </w:r>
          </w:p>
          <w:p w14:paraId="70B466F4" w14:textId="77777777" w:rsidR="0087182A" w:rsidRPr="00D44CF2" w:rsidRDefault="0087182A" w:rsidP="001A3F5B">
            <w:pPr>
              <w:pStyle w:val="ListBullet2"/>
            </w:pPr>
            <w:r w:rsidRPr="00D44CF2">
              <w:t xml:space="preserve">AVP has completed the Victorian System Strength Requirement RIT-T, which has outlined the preferred portfolio to meet the system strength requirements. Procurement of system strength service agreements is ongoing and is expected to meet the forecast shortfalls of 517 MVA at Moorabool, 1,963 MVA at Hazelwood, and 561 MVA at Thomastown from 2027-28 identified in the 2024 </w:t>
            </w:r>
            <w:r w:rsidRPr="00D44CF2">
              <w:rPr>
                <w:i/>
                <w:iCs/>
              </w:rPr>
              <w:t>System Strength Report</w:t>
            </w:r>
            <w:r w:rsidRPr="00D44CF2">
              <w:t>.</w:t>
            </w:r>
          </w:p>
          <w:p w14:paraId="53DEA1FD" w14:textId="77777777" w:rsidR="0087182A" w:rsidRPr="00D44CF2" w:rsidRDefault="0087182A" w:rsidP="001A3F5B">
            <w:pPr>
              <w:pStyle w:val="ListBullet"/>
            </w:pPr>
            <w:r w:rsidRPr="00D44CF2">
              <w:t>Inertia:</w:t>
            </w:r>
          </w:p>
          <w:p w14:paraId="1EF950C9" w14:textId="77777777" w:rsidR="0087182A" w:rsidRPr="00D44CF2" w:rsidRDefault="0087182A" w:rsidP="001A3F5B">
            <w:pPr>
              <w:pStyle w:val="ListBullet2"/>
            </w:pPr>
            <w:r w:rsidRPr="00D44CF2">
              <w:lastRenderedPageBreak/>
              <w:t xml:space="preserve">AEMO’s 2024 </w:t>
            </w:r>
            <w:r w:rsidRPr="00D44CF2">
              <w:rPr>
                <w:i/>
                <w:iCs/>
              </w:rPr>
              <w:t>Inertia Report</w:t>
            </w:r>
            <w:r w:rsidRPr="00D44CF2">
              <w:rPr>
                <w:rStyle w:val="FootnoteReference"/>
              </w:rPr>
              <w:footnoteReference w:id="86"/>
            </w:r>
            <w:r w:rsidRPr="00D44CF2">
              <w:t xml:space="preserve"> projected the level of inertia in Victoria falling below the inertia sub-network allocation, but did not declare an inertia gap. AVP anticipates that, following procurement of services in line with its Victorian System Strength RIT-T, it may be able to meet the majority of its obligations to provide the inertia sub-network allocation from 2 December 2027 using the solutions identified in the RIT</w:t>
            </w:r>
            <w:r w:rsidRPr="00D44CF2">
              <w:noBreakHyphen/>
              <w:t xml:space="preserve">T.  </w:t>
            </w:r>
          </w:p>
          <w:p w14:paraId="5D9CFBBF" w14:textId="77777777" w:rsidR="0087182A" w:rsidRPr="00D44CF2" w:rsidRDefault="0087182A" w:rsidP="001A3F5B">
            <w:pPr>
              <w:pStyle w:val="ListBullet2"/>
            </w:pPr>
            <w:r w:rsidRPr="00D44CF2">
              <w:t>AVP is investigating the least-cost options available to meet its inertia requirements to make available the inertia sub-network allocation of 11,800 megawatt seconds (MWs) from 2 December 2027.</w:t>
            </w:r>
          </w:p>
          <w:p w14:paraId="6A72A839" w14:textId="77777777" w:rsidR="0087182A" w:rsidRPr="00D44CF2" w:rsidRDefault="0087182A" w:rsidP="001A3F5B">
            <w:pPr>
              <w:pStyle w:val="ListBullet2"/>
            </w:pPr>
            <w:r w:rsidRPr="00D44CF2">
              <w:t>Procurement of system strength services, in line with the Victorian System Strength Requirement RIT-T preferred option, will also consider the level of inertia these services can provide to ensure the holistically efficient procurement of system security services.</w:t>
            </w:r>
          </w:p>
          <w:p w14:paraId="4BAC8ABE" w14:textId="77777777" w:rsidR="0087182A" w:rsidRPr="00D44CF2" w:rsidRDefault="0087182A" w:rsidP="000D65CE">
            <w:pPr>
              <w:pStyle w:val="ListBullet"/>
            </w:pPr>
            <w:r w:rsidRPr="00D44CF2">
              <w:t>Previously declared thermal overloading and voltage control gaps on the 220 kV network near Deer Park:</w:t>
            </w:r>
          </w:p>
          <w:p w14:paraId="3553746A" w14:textId="2099700E" w:rsidR="0087182A" w:rsidRPr="00D44CF2" w:rsidRDefault="0087182A" w:rsidP="000D65CE">
            <w:pPr>
              <w:pStyle w:val="ListBullet2"/>
            </w:pPr>
            <w:r w:rsidRPr="00D44CF2">
              <w:t>AVP commissioned a control scheme to enable higher pre-contingent loading in this area to address the thermal overloading gap</w:t>
            </w:r>
            <w:r w:rsidR="00F135C2" w:rsidRPr="00D44CF2">
              <w:t>,</w:t>
            </w:r>
            <w:r w:rsidRPr="00D44CF2">
              <w:t xml:space="preserve"> and the 2024 </w:t>
            </w:r>
            <w:r w:rsidRPr="00D44CF2">
              <w:rPr>
                <w:i/>
                <w:iCs/>
              </w:rPr>
              <w:t>NSCAS Report</w:t>
            </w:r>
            <w:r w:rsidRPr="00D44CF2">
              <w:rPr>
                <w:rStyle w:val="FootnoteReference"/>
              </w:rPr>
              <w:footnoteReference w:id="87"/>
            </w:r>
            <w:r w:rsidRPr="00D44CF2">
              <w:t xml:space="preserve"> confirmed that this mitigates the previously declared thermal overloading gap.</w:t>
            </w:r>
          </w:p>
          <w:p w14:paraId="5DA5D4BB" w14:textId="77777777" w:rsidR="0087182A" w:rsidRPr="00D44CF2" w:rsidRDefault="0087182A" w:rsidP="000D65CE">
            <w:pPr>
              <w:pStyle w:val="ListBullet2"/>
            </w:pPr>
            <w:r w:rsidRPr="00D44CF2">
              <w:t>AVP has commenced the Western Metropolitan Melbourne Reinforcement RIT-T to identify a longer</w:t>
            </w:r>
            <w:r w:rsidRPr="00D44CF2">
              <w:noBreakHyphen/>
              <w:t>term solution to manage the risk of the thermal overload limitations reemerging.</w:t>
            </w:r>
          </w:p>
          <w:p w14:paraId="3DDEFC0D" w14:textId="77777777" w:rsidR="0087182A" w:rsidRPr="00D44CF2" w:rsidRDefault="0087182A" w:rsidP="000D65CE">
            <w:pPr>
              <w:pStyle w:val="ListBullet2"/>
            </w:pPr>
            <w:r w:rsidRPr="00D44CF2">
              <w:t>AVP has separately completed a Metropolitan Melbourne Voltage Management RIT-T, which has confirmed the preferred option includes installation of a new 220 kV 100 MVAr shunt capacitor at Deer Park Terminal Station to address voltage control needs in the Deer Park area.</w:t>
            </w:r>
          </w:p>
          <w:p w14:paraId="2E784AB4" w14:textId="2A6322A5" w:rsidR="0087182A" w:rsidRPr="00D44CF2" w:rsidRDefault="0087182A" w:rsidP="000D65CE">
            <w:pPr>
              <w:pStyle w:val="ListBullet"/>
            </w:pPr>
            <w:r w:rsidRPr="00D44CF2">
              <w:t xml:space="preserve">Thermal overloading risks following </w:t>
            </w:r>
            <w:r w:rsidR="00633274" w:rsidRPr="00D44CF2">
              <w:t>YWPS</w:t>
            </w:r>
            <w:r w:rsidRPr="00D44CF2">
              <w:t xml:space="preserve"> </w:t>
            </w:r>
            <w:r w:rsidR="00173965" w:rsidRPr="00D44CF2">
              <w:t>retirement</w:t>
            </w:r>
            <w:r w:rsidRPr="00D44CF2">
              <w:t>:</w:t>
            </w:r>
          </w:p>
          <w:p w14:paraId="57D695E9" w14:textId="0820177F" w:rsidR="0087182A" w:rsidRPr="00D44CF2" w:rsidRDefault="0087182A" w:rsidP="000D65CE">
            <w:pPr>
              <w:pStyle w:val="ListBullet2"/>
            </w:pPr>
            <w:r w:rsidRPr="00D44CF2">
              <w:t xml:space="preserve">To manage overloading risks for transformers between the 500 kV and 220 kV network supplying Metropolitan Melbourne following </w:t>
            </w:r>
            <w:r w:rsidR="00633274" w:rsidRPr="00D44CF2">
              <w:t>YWPS r</w:t>
            </w:r>
            <w:r w:rsidRPr="00D44CF2">
              <w:t xml:space="preserve">etirement in 2028-29, which </w:t>
            </w:r>
            <w:r w:rsidR="00173965" w:rsidRPr="00D44CF2">
              <w:t>were</w:t>
            </w:r>
            <w:r w:rsidRPr="00D44CF2">
              <w:t xml:space="preserve"> identified as emerging risks but not declared as gaps in the 2024 </w:t>
            </w:r>
            <w:r w:rsidRPr="00D44CF2">
              <w:rPr>
                <w:i/>
                <w:iCs/>
              </w:rPr>
              <w:t>NSCAS Report</w:t>
            </w:r>
            <w:r w:rsidRPr="00D44CF2">
              <w:t xml:space="preserve">, AVP has developed an operational solution, and is considering longer-term remediation options. </w:t>
            </w:r>
          </w:p>
          <w:p w14:paraId="5E41E02A" w14:textId="77777777" w:rsidR="0087182A" w:rsidRPr="00D44CF2" w:rsidRDefault="0087182A" w:rsidP="001A3F5B">
            <w:pPr>
              <w:pStyle w:val="BodyText"/>
              <w:rPr>
                <w:b/>
                <w:bCs/>
                <w:lang w:val="en-GB"/>
              </w:rPr>
            </w:pPr>
            <w:r w:rsidRPr="00D44CF2">
              <w:rPr>
                <w:b/>
              </w:rPr>
              <w:t>Joint planning</w:t>
            </w:r>
          </w:p>
          <w:p w14:paraId="204180E7" w14:textId="77777777" w:rsidR="0087182A" w:rsidRPr="00D44CF2" w:rsidRDefault="0087182A" w:rsidP="001A3F5B">
            <w:pPr>
              <w:pStyle w:val="ListBullet"/>
            </w:pPr>
            <w:r w:rsidRPr="00D44CF2">
              <w:t>AusNet Services’ 2025 asset replacement and refurbishment plans are largely consistent with those presented in the 2024 VAPR.</w:t>
            </w:r>
          </w:p>
          <w:p w14:paraId="0BFAE900" w14:textId="77777777" w:rsidR="0087182A" w:rsidRPr="00D44CF2" w:rsidRDefault="0087182A" w:rsidP="001A3F5B">
            <w:pPr>
              <w:pStyle w:val="ListBullet"/>
            </w:pPr>
            <w:r w:rsidRPr="00D44CF2">
              <w:t xml:space="preserve">AVP continues timely and effective joint planning with AusNet Services to coordinate activities associated with DSN asset replacement, retirement, derating and augmentation, to achieve optimal planning outcomes. </w:t>
            </w:r>
          </w:p>
          <w:p w14:paraId="33C958A0" w14:textId="77777777" w:rsidR="0087182A" w:rsidRPr="00D44CF2" w:rsidRDefault="0087182A" w:rsidP="001A3F5B">
            <w:pPr>
              <w:pStyle w:val="ListBullet"/>
            </w:pPr>
            <w:r w:rsidRPr="00D44CF2">
              <w:lastRenderedPageBreak/>
              <w:t>AVP continues to work with other DTSOs and DBs to identify credible and cost</w:t>
            </w:r>
            <w:r w:rsidRPr="00D44CF2">
              <w:noBreakHyphen/>
              <w:t>effective solutions to the emerging challenges caused by increased fault levels across the DSN, due to the growing generation portfolio, and managing system security at times of low demand.</w:t>
            </w:r>
          </w:p>
        </w:tc>
      </w:tr>
    </w:tbl>
    <w:p w14:paraId="66CFEA71" w14:textId="77777777" w:rsidR="0087182A" w:rsidRPr="00D44CF2" w:rsidRDefault="0087182A" w:rsidP="0087182A">
      <w:pPr>
        <w:pStyle w:val="Heading2"/>
        <w:pageBreakBefore/>
      </w:pPr>
      <w:bookmarkStart w:id="216" w:name="_Toc177574601"/>
      <w:bookmarkStart w:id="217" w:name="_Ref115443843"/>
      <w:bookmarkStart w:id="218" w:name="_Toc117695866"/>
      <w:bookmarkStart w:id="219" w:name="_Toc149230027"/>
      <w:bookmarkStart w:id="220" w:name="_Toc149638093"/>
      <w:bookmarkStart w:id="221" w:name="_Toc180159692"/>
      <w:bookmarkStart w:id="222" w:name="_Toc212023283"/>
      <w:bookmarkEnd w:id="216"/>
      <w:r w:rsidRPr="00D44CF2">
        <w:lastRenderedPageBreak/>
        <w:t>Annual Planning Review methodology</w:t>
      </w:r>
      <w:bookmarkEnd w:id="217"/>
      <w:bookmarkEnd w:id="218"/>
      <w:bookmarkEnd w:id="219"/>
      <w:bookmarkEnd w:id="220"/>
      <w:bookmarkEnd w:id="221"/>
      <w:bookmarkEnd w:id="222"/>
    </w:p>
    <w:p w14:paraId="5161E663" w14:textId="1CA4ECFB" w:rsidR="0087182A" w:rsidRPr="00D44CF2" w:rsidRDefault="0087182A" w:rsidP="0087182A">
      <w:pPr>
        <w:pStyle w:val="BodyText"/>
      </w:pPr>
      <w:r w:rsidRPr="00D44CF2">
        <w:t>The VAPR identifies opportunities to address transmission network limitations emerging over the next 10 years, where credible solutions are likely to deliver positive net market benefits. The overall planning approach is described in Appendix </w:t>
      </w:r>
      <w:r w:rsidR="00670AFF" w:rsidRPr="00D44CF2">
        <w:fldChar w:fldCharType="begin"/>
      </w:r>
      <w:r w:rsidR="00670AFF" w:rsidRPr="00D44CF2">
        <w:instrText xml:space="preserve"> REF _Ref210806064 \r \h </w:instrText>
      </w:r>
      <w:r w:rsidR="00D44CF2">
        <w:instrText xml:space="preserve"> \* MERGEFORMAT </w:instrText>
      </w:r>
      <w:r w:rsidR="00670AFF" w:rsidRPr="00D44CF2">
        <w:fldChar w:fldCharType="separate"/>
      </w:r>
      <w:r w:rsidR="004973D2">
        <w:t>A2</w:t>
      </w:r>
      <w:r w:rsidR="00670AFF" w:rsidRPr="00D44CF2">
        <w:fldChar w:fldCharType="end"/>
      </w:r>
      <w:r w:rsidRPr="00D44CF2">
        <w:rPr>
          <w:rStyle w:val="FootnoteReference"/>
        </w:rPr>
        <w:footnoteReference w:id="88"/>
      </w:r>
      <w:r w:rsidRPr="00D44CF2">
        <w:t xml:space="preserve"> and the identified limitations are discussed in the following sections. </w:t>
      </w:r>
    </w:p>
    <w:p w14:paraId="33D04F0A" w14:textId="77777777" w:rsidR="0087182A" w:rsidRPr="00D44CF2" w:rsidRDefault="0087182A" w:rsidP="0087182A">
      <w:pPr>
        <w:pStyle w:val="Heading3"/>
      </w:pPr>
      <w:bookmarkStart w:id="223" w:name="_Ref180652023"/>
      <w:r w:rsidRPr="00D44CF2">
        <w:t>Categorisation of limitations</w:t>
      </w:r>
      <w:bookmarkEnd w:id="223"/>
      <w:r w:rsidRPr="00D44CF2">
        <w:t xml:space="preserve"> </w:t>
      </w:r>
    </w:p>
    <w:p w14:paraId="5974FBC3" w14:textId="77777777" w:rsidR="0087182A" w:rsidRPr="00D44CF2" w:rsidRDefault="0087182A" w:rsidP="0087182A">
      <w:pPr>
        <w:pStyle w:val="BodyText"/>
      </w:pPr>
      <w:r w:rsidRPr="00D44CF2">
        <w:t xml:space="preserve">For each network element, screening studies are typically undertaken for a base case and a worst case scenario, to capture a wide range of limitations. The worst case scenario differs, depending on the transmission network element under consideration, and is a variation on the base case scenario designed to test that specific network element. For example, in a particular location the worst case scenario may be 100% VRE output, while in another the worst case may be 0% VRE. </w:t>
      </w:r>
    </w:p>
    <w:p w14:paraId="77EB4C77" w14:textId="47F541D8" w:rsidR="0087182A" w:rsidRPr="00D44CF2" w:rsidRDefault="0087182A" w:rsidP="0087182A">
      <w:pPr>
        <w:pStyle w:val="BodyText"/>
      </w:pPr>
      <w:r w:rsidRPr="00D44CF2">
        <w:t xml:space="preserve">AVP identifies credible options to address the identified limitations and estimates the costs of the options. Options are then assessed to determine if they are likely to deliver positive net market benefits (where applicable). Based on these assessments, the limitations are categorised as shown in </w:t>
      </w:r>
      <w:r w:rsidRPr="00D44CF2">
        <w:rPr>
          <w:b/>
          <w:bCs/>
        </w:rPr>
        <w:fldChar w:fldCharType="begin"/>
      </w:r>
      <w:r w:rsidRPr="00D44CF2">
        <w:rPr>
          <w:b/>
          <w:bCs/>
        </w:rPr>
        <w:instrText xml:space="preserve"> REF _Ref176509051 \r \h  \* MERGEFORMAT </w:instrText>
      </w:r>
      <w:r w:rsidRPr="00D44CF2">
        <w:rPr>
          <w:b/>
          <w:bCs/>
        </w:rPr>
      </w:r>
      <w:r w:rsidRPr="00D44CF2">
        <w:rPr>
          <w:b/>
          <w:bCs/>
        </w:rPr>
        <w:fldChar w:fldCharType="separate"/>
      </w:r>
      <w:r w:rsidR="004973D2">
        <w:rPr>
          <w:b/>
          <w:bCs/>
        </w:rPr>
        <w:t>Figure 27</w:t>
      </w:r>
      <w:r w:rsidRPr="00D44CF2">
        <w:rPr>
          <w:b/>
          <w:bCs/>
        </w:rPr>
        <w:fldChar w:fldCharType="end"/>
      </w:r>
      <w:r w:rsidRPr="00D44CF2">
        <w:t xml:space="preserve"> and described below:</w:t>
      </w:r>
    </w:p>
    <w:p w14:paraId="18E16F43" w14:textId="77777777" w:rsidR="0087182A" w:rsidRPr="00D44CF2" w:rsidRDefault="0087182A" w:rsidP="0087182A">
      <w:pPr>
        <w:pStyle w:val="ListBullet"/>
      </w:pPr>
      <w:r w:rsidRPr="00D44CF2">
        <w:rPr>
          <w:b/>
          <w:bCs/>
        </w:rPr>
        <w:t>Priority limitations</w:t>
      </w:r>
      <w:r w:rsidRPr="00D44CF2">
        <w:t xml:space="preserve"> – AVP will commence detailed analysis on options to alleviate this limitation</w:t>
      </w:r>
      <w:r w:rsidRPr="00D44CF2">
        <w:rPr>
          <w:vertAlign w:val="superscript"/>
        </w:rPr>
        <w:footnoteReference w:id="89"/>
      </w:r>
      <w:r w:rsidRPr="00D44CF2">
        <w:t>. Priority limitations have credible options to be delivered within the next 10 years that are anticipated to deliver positive net market benefits.</w:t>
      </w:r>
    </w:p>
    <w:p w14:paraId="1B7624E6" w14:textId="4F3C1886" w:rsidR="0087182A" w:rsidRPr="00D44CF2" w:rsidRDefault="0087182A" w:rsidP="0087182A">
      <w:pPr>
        <w:pStyle w:val="ListBullet"/>
      </w:pPr>
      <w:r w:rsidRPr="00D44CF2">
        <w:rPr>
          <w:b/>
          <w:bCs/>
        </w:rPr>
        <w:t>Monitored limitations</w:t>
      </w:r>
      <w:r w:rsidRPr="00D44CF2">
        <w:t xml:space="preserve"> – AVP will continue to monitor this limitation, and either reassess it as part of the next </w:t>
      </w:r>
      <w:r w:rsidR="00FC5328" w:rsidRPr="00D44CF2">
        <w:t>Annual Planning Review</w:t>
      </w:r>
      <w:r w:rsidRPr="00D44CF2">
        <w:t xml:space="preserve"> or commence detailed analysis if triggered by a new market development.</w:t>
      </w:r>
    </w:p>
    <w:p w14:paraId="1E7250F1" w14:textId="77777777" w:rsidR="0087182A" w:rsidRPr="00D44CF2" w:rsidRDefault="0087182A" w:rsidP="0087182A">
      <w:pPr>
        <w:pStyle w:val="CaptionFigure"/>
      </w:pPr>
      <w:bookmarkStart w:id="224" w:name="_Ref176509051"/>
      <w:bookmarkStart w:id="225" w:name="_Toc180159800"/>
      <w:bookmarkStart w:id="226" w:name="_Toc212023361"/>
      <w:r w:rsidRPr="00D44CF2">
        <w:lastRenderedPageBreak/>
        <w:t>Identification of network limitations – the planning cycle</w:t>
      </w:r>
      <w:bookmarkEnd w:id="224"/>
      <w:bookmarkEnd w:id="225"/>
      <w:bookmarkEnd w:id="226"/>
    </w:p>
    <w:p w14:paraId="2297E8AC" w14:textId="06555D1D" w:rsidR="0087182A" w:rsidRPr="00D44CF2" w:rsidRDefault="00FC5328" w:rsidP="0087182A">
      <w:pPr>
        <w:pStyle w:val="BodyText"/>
      </w:pPr>
      <w:r w:rsidRPr="00D44CF2">
        <w:rPr>
          <w:noProof/>
        </w:rPr>
        <w:drawing>
          <wp:inline distT="0" distB="0" distL="0" distR="0" wp14:anchorId="13E1C2E2" wp14:editId="5E3BD3D9">
            <wp:extent cx="6409055" cy="2859405"/>
            <wp:effectExtent l="0" t="0" r="0" b="0"/>
            <wp:docPr id="389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583" name=""/>
                    <pic:cNvPicPr/>
                  </pic:nvPicPr>
                  <pic:blipFill>
                    <a:blip r:embed="rId82"/>
                    <a:stretch>
                      <a:fillRect/>
                    </a:stretch>
                  </pic:blipFill>
                  <pic:spPr>
                    <a:xfrm>
                      <a:off x="0" y="0"/>
                      <a:ext cx="6409055" cy="2859405"/>
                    </a:xfrm>
                    <a:prstGeom prst="rect">
                      <a:avLst/>
                    </a:prstGeom>
                  </pic:spPr>
                </pic:pic>
              </a:graphicData>
            </a:graphic>
          </wp:inline>
        </w:drawing>
      </w:r>
    </w:p>
    <w:p w14:paraId="38C5CE06" w14:textId="77777777" w:rsidR="0087182A" w:rsidRPr="00D44CF2" w:rsidRDefault="0087182A" w:rsidP="0087182A">
      <w:pPr>
        <w:pStyle w:val="TableFigureFootnote"/>
      </w:pPr>
    </w:p>
    <w:p w14:paraId="177D9738" w14:textId="77777777" w:rsidR="0087182A" w:rsidRPr="00D44CF2" w:rsidRDefault="0087182A" w:rsidP="0087182A">
      <w:pPr>
        <w:pStyle w:val="BodyText"/>
      </w:pPr>
      <w:r w:rsidRPr="00D44CF2">
        <w:t>AVP performs high-level economic assessments in determining priority limitations. This analysis and categorisation can provide signals for potential non-network development opportunities, such as localised generation or demand response. Priority limitations may also include limitations needing reliability corrective actions where credible solutions are not required to deliver positive net market benefits.</w:t>
      </w:r>
    </w:p>
    <w:p w14:paraId="481F0D6B" w14:textId="77777777" w:rsidR="0087182A" w:rsidRPr="00D44CF2" w:rsidRDefault="0087182A" w:rsidP="0087182A">
      <w:pPr>
        <w:pStyle w:val="BodyText"/>
      </w:pPr>
      <w:r w:rsidRPr="00D44CF2">
        <w:t>To address transmission limitations,</w:t>
      </w:r>
      <w:r w:rsidRPr="00D44CF2" w:rsidDel="003B42CF">
        <w:t xml:space="preserve"> </w:t>
      </w:r>
      <w:r w:rsidRPr="00D44CF2">
        <w:t xml:space="preserve">challenges, and opportunities, AVP undertakes joint planning with AEMO in its function as National Transmission Planner under the NER (ISP and System Security Planning process), other TNSPs, and Victorian DNSPs. Victorian joint planning outcomes have been incorporated into the limitation summaries presented in this section. </w:t>
      </w:r>
    </w:p>
    <w:bookmarkStart w:id="227" w:name="_Ref146897768"/>
    <w:p w14:paraId="6A52A60C" w14:textId="42CD8A1B" w:rsidR="0087182A" w:rsidRPr="00D44CF2" w:rsidRDefault="0087182A" w:rsidP="0087182A">
      <w:pPr>
        <w:pStyle w:val="BodyText"/>
      </w:pPr>
      <w:r w:rsidRPr="00D44CF2">
        <w:rPr>
          <w:b/>
        </w:rPr>
        <w:fldChar w:fldCharType="begin"/>
      </w:r>
      <w:r w:rsidRPr="00D44CF2">
        <w:rPr>
          <w:b/>
        </w:rPr>
        <w:instrText xml:space="preserve"> REF _Ref148444759 \r \h  \* MERGEFORMAT </w:instrText>
      </w:r>
      <w:r w:rsidRPr="00D44CF2">
        <w:rPr>
          <w:b/>
        </w:rPr>
      </w:r>
      <w:r w:rsidRPr="00D44CF2">
        <w:rPr>
          <w:b/>
        </w:rPr>
        <w:fldChar w:fldCharType="separate"/>
      </w:r>
      <w:r w:rsidR="004973D2">
        <w:rPr>
          <w:b/>
        </w:rPr>
        <w:t>Figure 28</w:t>
      </w:r>
      <w:r w:rsidRPr="00D44CF2">
        <w:fldChar w:fldCharType="end"/>
      </w:r>
      <w:r w:rsidRPr="00D44CF2">
        <w:t xml:space="preserve"> shows the priority limitations under investigation in this Annual Planning Review, assuming the network developments already progressing and discussed in Section </w:t>
      </w:r>
      <w:r w:rsidR="003032BF" w:rsidRPr="00D44CF2">
        <w:fldChar w:fldCharType="begin"/>
      </w:r>
      <w:r w:rsidR="003032BF" w:rsidRPr="00D44CF2">
        <w:instrText xml:space="preserve"> REF _Ref211280443 \r \h  \* MERGEFORMAT </w:instrText>
      </w:r>
      <w:r w:rsidR="003032BF" w:rsidRPr="00D44CF2">
        <w:fldChar w:fldCharType="separate"/>
      </w:r>
      <w:r w:rsidR="004973D2">
        <w:t>3.1</w:t>
      </w:r>
      <w:r w:rsidR="003032BF" w:rsidRPr="00D44CF2">
        <w:fldChar w:fldCharType="end"/>
      </w:r>
      <w:r w:rsidR="003032BF" w:rsidRPr="00D44CF2">
        <w:fldChar w:fldCharType="begin"/>
      </w:r>
      <w:r w:rsidR="003032BF" w:rsidRPr="00D44CF2">
        <w:instrText xml:space="preserve"> REF _Ref211280443 \r \h  \* MERGEFORMAT </w:instrText>
      </w:r>
      <w:r w:rsidR="003032BF" w:rsidRPr="00D44CF2">
        <w:fldChar w:fldCharType="separate"/>
      </w:r>
      <w:r w:rsidR="004973D2">
        <w:t>3.1</w:t>
      </w:r>
      <w:r w:rsidR="003032BF" w:rsidRPr="00D44CF2">
        <w:fldChar w:fldCharType="end"/>
      </w:r>
      <w:r w:rsidR="0089214D" w:rsidRPr="00D44CF2">
        <w:t xml:space="preserve"> </w:t>
      </w:r>
      <w:r w:rsidRPr="00D44CF2">
        <w:t xml:space="preserve">proceed. A complete list of the limitations (both priority and monitored) is in Appendix </w:t>
      </w:r>
      <w:r w:rsidRPr="00D44CF2">
        <w:fldChar w:fldCharType="begin"/>
      </w:r>
      <w:r w:rsidRPr="00D44CF2">
        <w:instrText xml:space="preserve"> REF _Ref148613299 \r \h  \* MERGEFORMAT </w:instrText>
      </w:r>
      <w:r w:rsidRPr="00D44CF2">
        <w:fldChar w:fldCharType="separate"/>
      </w:r>
      <w:r w:rsidR="004973D2" w:rsidRPr="003536AD">
        <w:rPr>
          <w:lang w:val="en-US"/>
        </w:rPr>
        <w:t>A4</w:t>
      </w:r>
      <w:r w:rsidRPr="00D44CF2">
        <w:fldChar w:fldCharType="end"/>
      </w:r>
      <w:r w:rsidRPr="00D44CF2">
        <w:t xml:space="preserve">. Appendix </w:t>
      </w:r>
      <w:r w:rsidRPr="00D44CF2">
        <w:fldChar w:fldCharType="begin"/>
      </w:r>
      <w:r w:rsidRPr="00D44CF2">
        <w:instrText xml:space="preserve"> REF _Ref177639679 \r \h  \* MERGEFORMAT </w:instrText>
      </w:r>
      <w:r w:rsidRPr="00D44CF2">
        <w:fldChar w:fldCharType="separate"/>
      </w:r>
      <w:r w:rsidR="001949D8">
        <w:rPr>
          <w:lang w:val="en-US"/>
        </w:rPr>
        <w:fldChar w:fldCharType="begin"/>
      </w:r>
      <w:r w:rsidR="001949D8">
        <w:instrText xml:space="preserve"> REF _Ref210751541 \r \h </w:instrText>
      </w:r>
      <w:r w:rsidR="001949D8">
        <w:rPr>
          <w:lang w:val="en-US"/>
        </w:rPr>
      </w:r>
      <w:r w:rsidR="001949D8">
        <w:rPr>
          <w:lang w:val="en-US"/>
        </w:rPr>
        <w:fldChar w:fldCharType="separate"/>
      </w:r>
      <w:r w:rsidR="001949D8">
        <w:t>A2</w:t>
      </w:r>
      <w:r w:rsidR="001949D8">
        <w:rPr>
          <w:lang w:val="en-US"/>
        </w:rPr>
        <w:fldChar w:fldCharType="end"/>
      </w:r>
      <w:r w:rsidRPr="00D44CF2">
        <w:fldChar w:fldCharType="end"/>
      </w:r>
      <w:r w:rsidRPr="00D44CF2">
        <w:t xml:space="preserve"> has more information on AVP’s approach to transmission network limitation reviews.</w:t>
      </w:r>
      <w:bookmarkEnd w:id="227"/>
      <w:r w:rsidRPr="00D44CF2">
        <w:t xml:space="preserve"> </w:t>
      </w:r>
    </w:p>
    <w:p w14:paraId="7FB914F0" w14:textId="71B33DD6" w:rsidR="0087182A" w:rsidRPr="00D44CF2" w:rsidRDefault="0087182A" w:rsidP="0087182A">
      <w:pPr>
        <w:pStyle w:val="BodyText"/>
      </w:pPr>
      <w:r w:rsidRPr="00D44CF2">
        <w:t>Note that the numbering of the limitations in this section does not reflect the ranking of most significant Victorian transmission constraints observed in 2024-25. They relate to future limitations that are forecast over the next decade that may justify network augmentation.</w:t>
      </w:r>
    </w:p>
    <w:p w14:paraId="7A6541AE" w14:textId="77777777" w:rsidR="0087182A" w:rsidRPr="00D44CF2" w:rsidRDefault="0087182A" w:rsidP="0087182A">
      <w:pPr>
        <w:pStyle w:val="CaptionFigure"/>
      </w:pPr>
      <w:bookmarkStart w:id="228" w:name="_Toc149638173"/>
      <w:bookmarkStart w:id="229" w:name="_Ref177639534"/>
      <w:bookmarkStart w:id="230" w:name="_Toc180159801"/>
      <w:bookmarkStart w:id="231" w:name="_Ref180481472"/>
      <w:bookmarkStart w:id="232" w:name="_Toc212023362"/>
      <w:bookmarkStart w:id="233" w:name="_Ref148444759"/>
      <w:r w:rsidRPr="00D44CF2">
        <w:lastRenderedPageBreak/>
        <w:t>Priority limitations under investigation</w:t>
      </w:r>
      <w:bookmarkEnd w:id="228"/>
      <w:bookmarkEnd w:id="229"/>
      <w:bookmarkEnd w:id="230"/>
      <w:bookmarkEnd w:id="231"/>
      <w:bookmarkEnd w:id="232"/>
    </w:p>
    <w:bookmarkEnd w:id="233"/>
    <w:p w14:paraId="1995B237" w14:textId="592E651D" w:rsidR="0087182A" w:rsidRPr="00D44CF2" w:rsidRDefault="00FF14B4" w:rsidP="0087182A">
      <w:pPr>
        <w:pStyle w:val="BodyText"/>
      </w:pPr>
      <w:r w:rsidRPr="00D44CF2">
        <w:rPr>
          <w:noProof/>
        </w:rPr>
        <w:drawing>
          <wp:inline distT="0" distB="0" distL="0" distR="0" wp14:anchorId="1349D01F" wp14:editId="7B51448F">
            <wp:extent cx="6408000" cy="4693920"/>
            <wp:effectExtent l="0" t="0" r="0" b="0"/>
            <wp:docPr id="20282619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8261958" name=""/>
                    <pic:cNvPicPr/>
                  </pic:nvPicPr>
                  <pic:blipFill rotWithShape="1">
                    <a:blip r:embed="rId83"/>
                    <a:srcRect l="1390"/>
                    <a:stretch/>
                  </pic:blipFill>
                  <pic:spPr bwMode="auto">
                    <a:xfrm>
                      <a:off x="0" y="0"/>
                      <a:ext cx="6408000" cy="4693920"/>
                    </a:xfrm>
                    <a:prstGeom prst="rect">
                      <a:avLst/>
                    </a:prstGeom>
                    <a:ln>
                      <a:noFill/>
                    </a:ln>
                    <a:extLst>
                      <a:ext uri="{53640926-AAD7-44D8-BBD7-CCE9431645EC}">
                        <a14:shadowObscured xmlns:a14="http://schemas.microsoft.com/office/drawing/2010/main"/>
                      </a:ext>
                    </a:extLst>
                  </pic:spPr>
                </pic:pic>
              </a:graphicData>
            </a:graphic>
          </wp:inline>
        </w:drawing>
      </w:r>
    </w:p>
    <w:p w14:paraId="1EE2A127" w14:textId="77777777" w:rsidR="0087182A" w:rsidRPr="00D44CF2" w:rsidRDefault="0087182A" w:rsidP="0087182A">
      <w:pPr>
        <w:pStyle w:val="Heading2"/>
      </w:pPr>
      <w:bookmarkStart w:id="234" w:name="_Toc177574604"/>
      <w:bookmarkStart w:id="235" w:name="_Toc177574605"/>
      <w:bookmarkStart w:id="236" w:name="_Toc180159693"/>
      <w:bookmarkStart w:id="237" w:name="_Ref180480656"/>
      <w:bookmarkStart w:id="238" w:name="_Ref180479800"/>
      <w:bookmarkStart w:id="239" w:name="_Toc212023284"/>
      <w:bookmarkEnd w:id="234"/>
      <w:bookmarkEnd w:id="235"/>
      <w:r w:rsidRPr="00D44CF2">
        <w:t>Projection of network limitations in the planning horizon</w:t>
      </w:r>
      <w:bookmarkEnd w:id="236"/>
      <w:bookmarkEnd w:id="237"/>
      <w:bookmarkEnd w:id="238"/>
      <w:bookmarkEnd w:id="239"/>
    </w:p>
    <w:p w14:paraId="774D1F58" w14:textId="77777777" w:rsidR="0087182A" w:rsidRPr="00D44CF2" w:rsidRDefault="0087182A" w:rsidP="0087182A">
      <w:pPr>
        <w:pStyle w:val="Heading3"/>
      </w:pPr>
      <w:r w:rsidRPr="00D44CF2">
        <w:t>Priority limitations identified in the 2024 VAPR</w:t>
      </w:r>
    </w:p>
    <w:p w14:paraId="64B86C6D" w14:textId="6521CFF0" w:rsidR="0087182A" w:rsidRPr="00D44CF2" w:rsidRDefault="0087182A" w:rsidP="0087182A">
      <w:pPr>
        <w:pStyle w:val="BodyText"/>
      </w:pPr>
      <w:r w:rsidRPr="00D44CF2">
        <w:t xml:space="preserve">The 2024 VAPR identified eight </w:t>
      </w:r>
      <w:r w:rsidRPr="00D44CF2">
        <w:rPr>
          <w:i/>
        </w:rPr>
        <w:t>priority limitations</w:t>
      </w:r>
      <w:r w:rsidRPr="00D44CF2">
        <w:t xml:space="preserve"> for which AVP commenced feasibility studies and regulatory investment tests. </w:t>
      </w:r>
      <w:r w:rsidRPr="00D44CF2">
        <w:rPr>
          <w:b/>
        </w:rPr>
        <w:fldChar w:fldCharType="begin"/>
      </w:r>
      <w:r w:rsidRPr="00D44CF2">
        <w:rPr>
          <w:b/>
        </w:rPr>
        <w:instrText xml:space="preserve"> REF _Ref210740949 \r \h </w:instrText>
      </w:r>
      <w:r w:rsidR="00D44CF2">
        <w:rPr>
          <w:b/>
        </w:rPr>
        <w:instrText xml:space="preserve"> \* MERGEFORMAT </w:instrText>
      </w:r>
      <w:r w:rsidRPr="00D44CF2">
        <w:rPr>
          <w:b/>
        </w:rPr>
      </w:r>
      <w:r w:rsidRPr="00D44CF2">
        <w:rPr>
          <w:b/>
        </w:rPr>
        <w:fldChar w:fldCharType="separate"/>
      </w:r>
      <w:r w:rsidR="004973D2">
        <w:rPr>
          <w:b/>
        </w:rPr>
        <w:t>Table 12</w:t>
      </w:r>
      <w:r w:rsidRPr="00D44CF2">
        <w:rPr>
          <w:b/>
        </w:rPr>
        <w:fldChar w:fldCharType="end"/>
      </w:r>
      <w:r w:rsidRPr="00D44CF2">
        <w:rPr>
          <w:b/>
        </w:rPr>
        <w:t xml:space="preserve"> </w:t>
      </w:r>
      <w:r w:rsidRPr="00D44CF2">
        <w:t xml:space="preserve">summarises progress made by AVP on these limitations, with further details in Section </w:t>
      </w:r>
      <w:r w:rsidRPr="00D44CF2">
        <w:fldChar w:fldCharType="begin"/>
      </w:r>
      <w:r w:rsidRPr="00D44CF2">
        <w:instrText xml:space="preserve"> REF _Ref177639457 \r \h  \* MERGEFORMAT </w:instrText>
      </w:r>
      <w:r w:rsidRPr="00D44CF2">
        <w:fldChar w:fldCharType="separate"/>
      </w:r>
      <w:r w:rsidR="004973D2" w:rsidRPr="003536AD">
        <w:rPr>
          <w:lang w:val="en-US"/>
        </w:rPr>
        <w:t>3</w:t>
      </w:r>
      <w:r w:rsidRPr="00D44CF2">
        <w:fldChar w:fldCharType="end"/>
      </w:r>
      <w:r w:rsidRPr="00D44CF2">
        <w:t xml:space="preserve"> of this report</w:t>
      </w:r>
      <w:r w:rsidRPr="00D44CF2">
        <w:rPr>
          <w:vertAlign w:val="superscript"/>
        </w:rPr>
        <w:footnoteReference w:id="90"/>
      </w:r>
      <w:r w:rsidRPr="00D44CF2">
        <w:t>.</w:t>
      </w:r>
    </w:p>
    <w:p w14:paraId="12247C60" w14:textId="5BB9EEA4" w:rsidR="0087182A" w:rsidRPr="00D44CF2" w:rsidRDefault="0087182A" w:rsidP="0087182A">
      <w:pPr>
        <w:pStyle w:val="CaptionTable"/>
      </w:pPr>
      <w:bookmarkStart w:id="240" w:name="_Toc212023316"/>
      <w:bookmarkStart w:id="241" w:name="_Ref210740949"/>
      <w:r w:rsidRPr="00D44CF2">
        <w:t xml:space="preserve">Priority limitations from </w:t>
      </w:r>
      <w:r w:rsidR="0089214D" w:rsidRPr="00D44CF2">
        <w:t xml:space="preserve">2024 </w:t>
      </w:r>
      <w:r w:rsidRPr="00D44CF2">
        <w:t>VAPR</w:t>
      </w:r>
      <w:bookmarkEnd w:id="240"/>
      <w:r w:rsidRPr="00D44CF2">
        <w:t xml:space="preserve"> </w:t>
      </w:r>
      <w:bookmarkEnd w:id="241"/>
    </w:p>
    <w:tbl>
      <w:tblPr>
        <w:tblStyle w:val="AEMO-Table4"/>
        <w:tblW w:w="10068" w:type="dxa"/>
        <w:tblLook w:val="04A0" w:firstRow="1" w:lastRow="0" w:firstColumn="1" w:lastColumn="0" w:noHBand="0" w:noVBand="1"/>
      </w:tblPr>
      <w:tblGrid>
        <w:gridCol w:w="308"/>
        <w:gridCol w:w="3524"/>
        <w:gridCol w:w="3118"/>
        <w:gridCol w:w="3118"/>
      </w:tblGrid>
      <w:tr w:rsidR="00AD7F6E" w:rsidRPr="00D44CF2" w14:paraId="4860BC8C"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 w:type="dxa"/>
          </w:tcPr>
          <w:p w14:paraId="1CC41C22" w14:textId="77777777" w:rsidR="0087182A" w:rsidRPr="00D44CF2" w:rsidRDefault="0087182A" w:rsidP="001A3F5B">
            <w:pPr>
              <w:pStyle w:val="TableText"/>
            </w:pPr>
            <w:r w:rsidRPr="00D44CF2">
              <w:t>#</w:t>
            </w:r>
          </w:p>
        </w:tc>
        <w:tc>
          <w:tcPr>
            <w:tcW w:w="3524" w:type="dxa"/>
          </w:tcPr>
          <w:p w14:paraId="2A78131A"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(estimated constraint date)</w:t>
            </w:r>
          </w:p>
        </w:tc>
        <w:tc>
          <w:tcPr>
            <w:tcW w:w="3118" w:type="dxa"/>
          </w:tcPr>
          <w:p w14:paraId="5B81A29D"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Description</w:t>
            </w:r>
          </w:p>
        </w:tc>
        <w:tc>
          <w:tcPr>
            <w:tcW w:w="3118" w:type="dxa"/>
          </w:tcPr>
          <w:p w14:paraId="17483688"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Status/next steps</w:t>
            </w:r>
          </w:p>
        </w:tc>
      </w:tr>
      <w:tr w:rsidR="0017564B" w:rsidRPr="00D44CF2" w14:paraId="55661F1B"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08" w:type="dxa"/>
          </w:tcPr>
          <w:p w14:paraId="422E2917" w14:textId="77777777" w:rsidR="0087182A" w:rsidRPr="00D44CF2" w:rsidRDefault="0087182A" w:rsidP="001A3F5B">
            <w:pPr>
              <w:pStyle w:val="TableText"/>
            </w:pPr>
            <w:r w:rsidRPr="00D44CF2">
              <w:t>1</w:t>
            </w:r>
          </w:p>
        </w:tc>
        <w:tc>
          <w:tcPr>
            <w:tcW w:w="3524" w:type="dxa"/>
          </w:tcPr>
          <w:p w14:paraId="7FEB363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rPr>
                <w:b/>
              </w:rPr>
              <w:t>Thermal capacity limitation – Overloading of the Moorabool – Geelong 220 kV lines for trip of the parallel line (existing)</w:t>
            </w:r>
          </w:p>
        </w:tc>
        <w:tc>
          <w:tcPr>
            <w:tcW w:w="3118" w:type="dxa"/>
          </w:tcPr>
          <w:p w14:paraId="7D8BB42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This limitation is due to commitment of additional renewable generation and storage capacity in South West Victoria (V4), coupled with higher demand growth in the metropolitan area and generation retirement in Latrobe Valley.</w:t>
            </w:r>
          </w:p>
        </w:tc>
        <w:tc>
          <w:tcPr>
            <w:tcW w:w="3118" w:type="dxa"/>
            <w:vMerge w:val="restart"/>
            <w:vAlign w:val="center"/>
          </w:tcPr>
          <w:p w14:paraId="738BCDE1" w14:textId="32922518"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AVP published the Western Metropolitan Melbourne Reinforcement RIT-T PSCR in March 2025 and further work is underway to provide</w:t>
            </w:r>
            <w:r w:rsidRPr="00D44CF2" w:rsidDel="00A3226A">
              <w:t xml:space="preserve"> </w:t>
            </w:r>
            <w:r w:rsidRPr="00D44CF2">
              <w:t xml:space="preserve">a holistic solution that will address limitations #1, #2 and #3. More detail about the options </w:t>
            </w:r>
            <w:r w:rsidRPr="00D44CF2">
              <w:lastRenderedPageBreak/>
              <w:t xml:space="preserve">considered in the RIT-T is in Section </w:t>
            </w:r>
            <w:r w:rsidRPr="00D44CF2">
              <w:fldChar w:fldCharType="begin"/>
            </w:r>
            <w:r w:rsidRPr="00D44CF2">
              <w:instrText xml:space="preserve"> REF _Ref177639803 \r \h  \* MERGEFORMAT </w:instrText>
            </w:r>
            <w:r w:rsidRPr="00D44CF2">
              <w:fldChar w:fldCharType="separate"/>
            </w:r>
            <w:r w:rsidR="004973D2" w:rsidRPr="003536AD">
              <w:rPr>
                <w:lang w:val="en-US"/>
              </w:rPr>
              <w:t>3.1.5</w:t>
            </w:r>
            <w:r w:rsidRPr="00D44CF2">
              <w:fldChar w:fldCharType="end"/>
            </w:r>
            <w:r w:rsidR="00752A64" w:rsidRPr="00D44CF2">
              <w:t>.</w:t>
            </w:r>
          </w:p>
        </w:tc>
      </w:tr>
      <w:tr w:rsidR="0087182A" w:rsidRPr="00D44CF2" w14:paraId="28716C81"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08" w:type="dxa"/>
          </w:tcPr>
          <w:p w14:paraId="49C43E14" w14:textId="77777777" w:rsidR="0087182A" w:rsidRPr="00D44CF2" w:rsidRDefault="0087182A" w:rsidP="001A3F5B">
            <w:pPr>
              <w:pStyle w:val="TableText"/>
            </w:pPr>
            <w:r w:rsidRPr="00D44CF2">
              <w:lastRenderedPageBreak/>
              <w:t>2</w:t>
            </w:r>
          </w:p>
        </w:tc>
        <w:tc>
          <w:tcPr>
            <w:tcW w:w="3524" w:type="dxa"/>
          </w:tcPr>
          <w:p w14:paraId="088E54FE"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rPr>
                <w:b/>
              </w:rPr>
              <w:t>Thermal capacity limitation – Overloading of the Geelong – Deer Park line for trip of the Deer Park – Keilor line, or the Deer Park – Keilor 220 kV line for trip of the Geelong – Deer Park line (existing)</w:t>
            </w:r>
          </w:p>
        </w:tc>
        <w:tc>
          <w:tcPr>
            <w:tcW w:w="3118" w:type="dxa"/>
            <w:vMerge w:val="restart"/>
          </w:tcPr>
          <w:p w14:paraId="575F51F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p>
          <w:p w14:paraId="7ED750D4"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sz w:val="12"/>
                <w:szCs w:val="20"/>
              </w:rPr>
            </w:pPr>
          </w:p>
          <w:p w14:paraId="2544E3C2"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These limitations are due to demand growth in the western metropolitan area supplied from Geelong, Deer Park and Keilor terminal stations. </w:t>
            </w:r>
          </w:p>
        </w:tc>
        <w:tc>
          <w:tcPr>
            <w:tcW w:w="3118" w:type="dxa"/>
            <w:vMerge/>
          </w:tcPr>
          <w:p w14:paraId="5EE23E0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p>
        </w:tc>
      </w:tr>
      <w:tr w:rsidR="0087182A" w:rsidRPr="00D44CF2" w14:paraId="1757BE3D"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08" w:type="dxa"/>
          </w:tcPr>
          <w:p w14:paraId="225C56EC" w14:textId="77777777" w:rsidR="0087182A" w:rsidRPr="00D44CF2" w:rsidRDefault="0087182A" w:rsidP="001A3F5B">
            <w:pPr>
              <w:pStyle w:val="TableText"/>
            </w:pPr>
            <w:r w:rsidRPr="00D44CF2">
              <w:t>3</w:t>
            </w:r>
          </w:p>
        </w:tc>
        <w:tc>
          <w:tcPr>
            <w:tcW w:w="3524" w:type="dxa"/>
          </w:tcPr>
          <w:p w14:paraId="4B7F6F34"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rPr>
                <w:b/>
              </w:rPr>
              <w:t>Thermal capacity limitation – overloading Geelong – Keilor 220 kV lines for post credible contingencies (existing)</w:t>
            </w:r>
          </w:p>
        </w:tc>
        <w:tc>
          <w:tcPr>
            <w:tcW w:w="3118" w:type="dxa"/>
            <w:vMerge/>
          </w:tcPr>
          <w:p w14:paraId="72DA051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3118" w:type="dxa"/>
            <w:vMerge/>
          </w:tcPr>
          <w:p w14:paraId="31013B9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lang w:val="en-GB"/>
              </w:rPr>
            </w:pPr>
          </w:p>
        </w:tc>
      </w:tr>
      <w:tr w:rsidR="0087182A" w:rsidRPr="00D44CF2" w14:paraId="0AAA7123"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08" w:type="dxa"/>
          </w:tcPr>
          <w:p w14:paraId="1C29EE59" w14:textId="77777777" w:rsidR="0087182A" w:rsidRPr="00D44CF2" w:rsidRDefault="0087182A" w:rsidP="001A3F5B">
            <w:pPr>
              <w:pStyle w:val="TableText"/>
            </w:pPr>
            <w:r w:rsidRPr="00D44CF2">
              <w:t>4</w:t>
            </w:r>
          </w:p>
        </w:tc>
        <w:tc>
          <w:tcPr>
            <w:tcW w:w="3524" w:type="dxa"/>
          </w:tcPr>
          <w:p w14:paraId="0FA98B0D"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b/>
                <w:lang w:val="en-GB"/>
              </w:rPr>
            </w:pPr>
            <w:r w:rsidRPr="00D44CF2">
              <w:rPr>
                <w:b/>
              </w:rPr>
              <w:t>Thermal capacity limitations – Transfer capacity from Latrobe Valley to Melbourne post YWPS retirement (July 2029)</w:t>
            </w:r>
          </w:p>
        </w:tc>
        <w:tc>
          <w:tcPr>
            <w:tcW w:w="3118" w:type="dxa"/>
          </w:tcPr>
          <w:p w14:paraId="76482678"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t>This limitation is primarily due to changing flow sharing of the 500 kV and 220 kV networks from the Latrobe Valley to metropolitan Melbourne following retirement of YWPS.</w:t>
            </w:r>
          </w:p>
        </w:tc>
        <w:tc>
          <w:tcPr>
            <w:tcW w:w="3118" w:type="dxa"/>
          </w:tcPr>
          <w:p w14:paraId="48F8C500" w14:textId="5C562DAF"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t>AVP has identified a new switching arrangement at Hazelwood Power Station 220 kV (the modified parallel mode), for post-YWPS retirement to utilise the eastern 220 kV corridor. Changing the Latrobe Valley configuration to modified parallel mode significantly reduces the short-term risks in supplying metropolitan Melbourne. AVP is continuing to work through the delivery of this project with asset owners. More detail</w:t>
            </w:r>
            <w:r w:rsidRPr="00D44CF2" w:rsidDel="003C5431">
              <w:t xml:space="preserve"> </w:t>
            </w:r>
            <w:r w:rsidRPr="00D44CF2">
              <w:t xml:space="preserve">about this solution is in Section </w:t>
            </w:r>
            <w:r w:rsidRPr="00D44CF2">
              <w:fldChar w:fldCharType="begin"/>
            </w:r>
            <w:r w:rsidRPr="00D44CF2">
              <w:instrText xml:space="preserve"> REF _Ref177639861 \r \h  \* MERGEFORMAT </w:instrText>
            </w:r>
            <w:r w:rsidRPr="00D44CF2">
              <w:fldChar w:fldCharType="separate"/>
            </w:r>
            <w:r w:rsidR="004973D2" w:rsidRPr="003536AD">
              <w:rPr>
                <w:lang w:val="en-US"/>
              </w:rPr>
              <w:t>3.1.2</w:t>
            </w:r>
            <w:r w:rsidRPr="00D44CF2">
              <w:fldChar w:fldCharType="end"/>
            </w:r>
            <w:r w:rsidRPr="00D44CF2">
              <w:t>.</w:t>
            </w:r>
          </w:p>
        </w:tc>
      </w:tr>
      <w:tr w:rsidR="0087182A" w:rsidRPr="00D44CF2" w14:paraId="567588DC"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08" w:type="dxa"/>
          </w:tcPr>
          <w:p w14:paraId="47C300EA" w14:textId="77777777" w:rsidR="0087182A" w:rsidRPr="00D44CF2" w:rsidRDefault="0087182A" w:rsidP="001A3F5B">
            <w:pPr>
              <w:pStyle w:val="TableText"/>
            </w:pPr>
            <w:r w:rsidRPr="00D44CF2">
              <w:t>5</w:t>
            </w:r>
          </w:p>
        </w:tc>
        <w:tc>
          <w:tcPr>
            <w:tcW w:w="3524" w:type="dxa"/>
          </w:tcPr>
          <w:p w14:paraId="1F06E98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b/>
              </w:rPr>
            </w:pPr>
            <w:r w:rsidRPr="00D44CF2">
              <w:rPr>
                <w:b/>
              </w:rPr>
              <w:t>Thermal capacity limitation – Overloading of the Rowville A1 500/220 kV transformer during system normal (July 2032)</w:t>
            </w:r>
          </w:p>
        </w:tc>
        <w:tc>
          <w:tcPr>
            <w:tcW w:w="3118" w:type="dxa"/>
            <w:vMerge w:val="restart"/>
          </w:tcPr>
          <w:p w14:paraId="67389AD4"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p>
          <w:p w14:paraId="0198B43A"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p>
          <w:p w14:paraId="5A46B63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sz w:val="10"/>
                <w:szCs w:val="18"/>
              </w:rPr>
            </w:pPr>
          </w:p>
          <w:p w14:paraId="65C83437" w14:textId="33713052" w:rsidR="0087182A" w:rsidRPr="00D44CF2" w:rsidRDefault="00F11EA0" w:rsidP="001A3F5B">
            <w:pPr>
              <w:pStyle w:val="TableText"/>
              <w:cnfStyle w:val="000000000000" w:firstRow="0" w:lastRow="0" w:firstColumn="0" w:lastColumn="0" w:oddVBand="0" w:evenVBand="0" w:oddHBand="0" w:evenHBand="0" w:firstRowFirstColumn="0" w:firstRowLastColumn="0" w:lastRowFirstColumn="0" w:lastRowLastColumn="0"/>
            </w:pPr>
            <w:r w:rsidRPr="00D44CF2">
              <w:t>These limitations are</w:t>
            </w:r>
            <w:r w:rsidR="0087182A" w:rsidRPr="00D44CF2">
              <w:t xml:space="preserve"> primarily due to higher demand growth in the Melbourne metropolitan area, which is further exacerbated by retirement of YWPS. </w:t>
            </w:r>
          </w:p>
          <w:p w14:paraId="4C88130C"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3118" w:type="dxa"/>
            <w:vMerge w:val="restart"/>
          </w:tcPr>
          <w:p w14:paraId="1B4F90DF" w14:textId="3C2C2B26"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lang w:val="en-GB"/>
              </w:rPr>
            </w:pPr>
            <w:r w:rsidRPr="00D44CF2">
              <w:t>AVP published the Eastern Victoria Grid Reinforcement RIT-T PSCR in November 2024 and further work is underway to provide holistic solution that will address these limitations as well as limitation #7 (Eildon – Thomastown thermal limitation). This project is to address the residual risk that exists after modified parallel mode discussed in limitation #4 is implemented. More detail about the options considered in the RIT</w:t>
            </w:r>
            <w:r w:rsidRPr="00D44CF2">
              <w:noBreakHyphen/>
              <w:t xml:space="preserve">T is in Section </w:t>
            </w:r>
            <w:r w:rsidRPr="00D44CF2">
              <w:fldChar w:fldCharType="begin"/>
            </w:r>
            <w:r w:rsidRPr="00D44CF2">
              <w:instrText xml:space="preserve"> REF _Ref177639803 \r \h  \* MERGEFORMAT </w:instrText>
            </w:r>
            <w:r w:rsidRPr="00D44CF2">
              <w:fldChar w:fldCharType="separate"/>
            </w:r>
            <w:r w:rsidR="004973D2" w:rsidRPr="003536AD">
              <w:rPr>
                <w:lang w:val="en-US"/>
              </w:rPr>
              <w:t>3.1.5</w:t>
            </w:r>
            <w:r w:rsidRPr="00D44CF2">
              <w:fldChar w:fldCharType="end"/>
            </w:r>
            <w:r w:rsidRPr="00D44CF2">
              <w:t xml:space="preserve">. </w:t>
            </w:r>
          </w:p>
        </w:tc>
      </w:tr>
      <w:tr w:rsidR="0087182A" w:rsidRPr="00D44CF2" w14:paraId="7612538E"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08" w:type="dxa"/>
          </w:tcPr>
          <w:p w14:paraId="7610558E" w14:textId="77777777" w:rsidR="0087182A" w:rsidRPr="00D44CF2" w:rsidRDefault="0087182A" w:rsidP="001A3F5B">
            <w:pPr>
              <w:pStyle w:val="TableText"/>
            </w:pPr>
            <w:r w:rsidRPr="00D44CF2">
              <w:t>6</w:t>
            </w:r>
          </w:p>
        </w:tc>
        <w:tc>
          <w:tcPr>
            <w:tcW w:w="3524" w:type="dxa"/>
          </w:tcPr>
          <w:p w14:paraId="6BAF2F88"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b/>
              </w:rPr>
            </w:pPr>
            <w:r w:rsidRPr="00D44CF2">
              <w:rPr>
                <w:b/>
              </w:rPr>
              <w:t>Thermal capacity limitation – Overloading of Thomastown – Ringwood 220 kV line for loss of the Rowville A1 transformer (</w:t>
            </w:r>
            <w:r w:rsidRPr="00D44CF2">
              <w:rPr>
                <w:b/>
                <w:bCs/>
              </w:rPr>
              <w:t>December</w:t>
            </w:r>
            <w:r w:rsidRPr="00D44CF2">
              <w:rPr>
                <w:b/>
              </w:rPr>
              <w:t xml:space="preserve"> </w:t>
            </w:r>
            <w:r w:rsidRPr="00D44CF2">
              <w:rPr>
                <w:b/>
                <w:bCs/>
              </w:rPr>
              <w:t>2025</w:t>
            </w:r>
            <w:r w:rsidRPr="00D44CF2">
              <w:rPr>
                <w:b/>
              </w:rPr>
              <w:t>)</w:t>
            </w:r>
          </w:p>
        </w:tc>
        <w:tc>
          <w:tcPr>
            <w:tcW w:w="3118" w:type="dxa"/>
            <w:vMerge/>
          </w:tcPr>
          <w:p w14:paraId="3ABF537E"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lang w:val="en-GB"/>
              </w:rPr>
            </w:pPr>
          </w:p>
        </w:tc>
        <w:tc>
          <w:tcPr>
            <w:tcW w:w="3118" w:type="dxa"/>
            <w:vMerge/>
          </w:tcPr>
          <w:p w14:paraId="58F2CF94"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lang w:val="en-GB"/>
              </w:rPr>
            </w:pPr>
          </w:p>
        </w:tc>
      </w:tr>
      <w:tr w:rsidR="0087182A" w:rsidRPr="00D44CF2" w14:paraId="35CF037F"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08" w:type="dxa"/>
          </w:tcPr>
          <w:p w14:paraId="381C52EA" w14:textId="77777777" w:rsidR="0087182A" w:rsidRPr="00D44CF2" w:rsidRDefault="0087182A" w:rsidP="001A3F5B">
            <w:pPr>
              <w:pStyle w:val="TableText"/>
            </w:pPr>
            <w:r w:rsidRPr="00D44CF2">
              <w:t>7</w:t>
            </w:r>
          </w:p>
        </w:tc>
        <w:tc>
          <w:tcPr>
            <w:tcW w:w="3524" w:type="dxa"/>
          </w:tcPr>
          <w:p w14:paraId="31A5BD3D"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b/>
                <w:bCs/>
              </w:rPr>
            </w:pPr>
            <w:r w:rsidRPr="00D44CF2">
              <w:rPr>
                <w:b/>
                <w:bCs/>
              </w:rPr>
              <w:t>Thermal capacity limitation – Overloading of Eildon – Thomastown 220 kV line for the loss of 330 kV transmission line between Dederang to South Morang (July 2029)</w:t>
            </w:r>
          </w:p>
        </w:tc>
        <w:tc>
          <w:tcPr>
            <w:tcW w:w="3118" w:type="dxa"/>
          </w:tcPr>
          <w:p w14:paraId="3E59AC05" w14:textId="59AE7026"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This limitation is caused by increased demand growth in the Melbourne metropolitan area, which is further exacerbated by changes in how power flows around the network following retirement of YWPS. These changes tend to increase VNI import into Victoria, and thus flow on the Eildon – Thomastown 220 kV line.</w:t>
            </w:r>
          </w:p>
        </w:tc>
        <w:tc>
          <w:tcPr>
            <w:tcW w:w="3118" w:type="dxa"/>
          </w:tcPr>
          <w:p w14:paraId="11291403"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rFonts w:eastAsiaTheme="minorEastAsia"/>
                <w:szCs w:val="16"/>
              </w:rPr>
            </w:pPr>
            <w:r w:rsidRPr="00D44CF2">
              <w:t>To manage loading on the Eildon – T</w:t>
            </w:r>
            <w:r w:rsidRPr="00D44CF2">
              <w:rPr>
                <w:rFonts w:eastAsiaTheme="minorEastAsia"/>
                <w:szCs w:val="16"/>
              </w:rPr>
              <w:t>homastown 220 kV line, as part of VNI West AVP will cut the Eildon – Thomastown 220 kV line in at South Morang Terminal Station.</w:t>
            </w:r>
          </w:p>
          <w:p w14:paraId="6FF1628C"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AVP has also commenced the Eastern Victoria Grid Reinforcement RIT-T to provide a holistic solution that will address this limitation in addition to the limitations #5 (Rowville A1 transformer thermal limitation) and #6 (Ringwood – Thomastown line thermal limitation). The Eastern Victoria Grid Reinforcement RIT</w:t>
            </w:r>
            <w:r w:rsidRPr="00D44CF2">
              <w:noBreakHyphen/>
              <w:t>T</w:t>
            </w:r>
            <w:r w:rsidRPr="00D44CF2">
              <w:rPr>
                <w:rFonts w:eastAsiaTheme="minorEastAsia"/>
                <w:szCs w:val="16"/>
              </w:rPr>
              <w:t xml:space="preserve"> will assess the benefits of advancing the South Morang cut-in works to manage this network limitation ahead of VNI West’s planned in service date. </w:t>
            </w:r>
          </w:p>
          <w:p w14:paraId="1A5E7C3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More detail about the options considered in the RIT-T is in Section 3.1.5.</w:t>
            </w:r>
          </w:p>
        </w:tc>
      </w:tr>
      <w:tr w:rsidR="0087182A" w:rsidRPr="00D44CF2" w14:paraId="72F9BD6F"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08" w:type="dxa"/>
          </w:tcPr>
          <w:p w14:paraId="61C5F29B" w14:textId="77777777" w:rsidR="0087182A" w:rsidRPr="00D44CF2" w:rsidRDefault="0087182A" w:rsidP="001A3F5B">
            <w:pPr>
              <w:pStyle w:val="TableText"/>
            </w:pPr>
            <w:r w:rsidRPr="00D44CF2">
              <w:t>8</w:t>
            </w:r>
          </w:p>
        </w:tc>
        <w:tc>
          <w:tcPr>
            <w:tcW w:w="3524" w:type="dxa"/>
          </w:tcPr>
          <w:p w14:paraId="01F90B7D"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b/>
                <w:bCs/>
                <w:szCs w:val="16"/>
              </w:rPr>
            </w:pPr>
            <w:r w:rsidRPr="00D44CF2">
              <w:rPr>
                <w:rFonts w:ascii="Arial Nova" w:eastAsia="Arial Nova" w:hAnsi="Arial Nova"/>
                <w:b/>
                <w:bCs/>
                <w:szCs w:val="16"/>
              </w:rPr>
              <w:t>Thermal capacity limitation – Overloading of the Red Cliffs – Wemen – Kerang corridor during periods of high demand (December 2025)</w:t>
            </w:r>
          </w:p>
        </w:tc>
        <w:tc>
          <w:tcPr>
            <w:tcW w:w="3118" w:type="dxa"/>
          </w:tcPr>
          <w:p w14:paraId="4A3A7275"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szCs w:val="16"/>
              </w:rPr>
            </w:pPr>
            <w:r w:rsidRPr="00D44CF2">
              <w:rPr>
                <w:rFonts w:ascii="Arial Nova" w:eastAsia="Arial Nova" w:hAnsi="Arial Nova"/>
                <w:szCs w:val="16"/>
              </w:rPr>
              <w:t xml:space="preserve">This limitation is elevated primarily due to expected increase in power transfer from New South Wales into Victoria via the upgraded 220 kV network between Buronga and Red Cliffs interconnector at times of maximum demand following completion of the EnergyConnect project. The retirement of YWPS could </w:t>
            </w:r>
            <w:r w:rsidRPr="00D44CF2">
              <w:rPr>
                <w:rFonts w:ascii="Arial Nova" w:eastAsia="Arial Nova" w:hAnsi="Arial Nova"/>
                <w:szCs w:val="16"/>
              </w:rPr>
              <w:lastRenderedPageBreak/>
              <w:t>also increase the need for more import from New South Wales in general.</w:t>
            </w:r>
          </w:p>
        </w:tc>
        <w:tc>
          <w:tcPr>
            <w:tcW w:w="3118" w:type="dxa"/>
          </w:tcPr>
          <w:p w14:paraId="3F45C74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rPr>
            </w:pPr>
            <w:r w:rsidRPr="00D44CF2">
              <w:rPr>
                <w:rFonts w:ascii="Arial Nova" w:eastAsia="Arial Nova" w:hAnsi="Arial Nova"/>
              </w:rPr>
              <w:lastRenderedPageBreak/>
              <w:t xml:space="preserve">AVP has commenced a RIT-T to assess the limitation and identify credible options to address it. As part of this assessment, AVP is also considering the voltage stability limitations in the area. More detail about the project is in Section 3.1.5.  </w:t>
            </w:r>
          </w:p>
        </w:tc>
      </w:tr>
    </w:tbl>
    <w:p w14:paraId="04E2A7F8" w14:textId="75FF6FA9" w:rsidR="0087182A" w:rsidRPr="00D44CF2" w:rsidRDefault="0087182A" w:rsidP="0087182A">
      <w:pPr>
        <w:pStyle w:val="Heading3"/>
      </w:pPr>
      <w:bookmarkStart w:id="242" w:name="_Ref178758338"/>
      <w:r w:rsidRPr="00D44CF2">
        <w:t>New priority limitation</w:t>
      </w:r>
      <w:r w:rsidRPr="00D44CF2" w:rsidDel="00760721">
        <w:t xml:space="preserve"> </w:t>
      </w:r>
      <w:r w:rsidRPr="00D44CF2">
        <w:t>from 2025 VAPR</w:t>
      </w:r>
      <w:bookmarkEnd w:id="242"/>
    </w:p>
    <w:p w14:paraId="065283C7" w14:textId="4F730D1C" w:rsidR="0087182A" w:rsidRPr="00D44CF2" w:rsidRDefault="0087182A" w:rsidP="0087182A">
      <w:pPr>
        <w:pStyle w:val="BodyText"/>
        <w:rPr>
          <w:rFonts w:eastAsiaTheme="minorEastAsia"/>
        </w:rPr>
      </w:pPr>
      <w:r w:rsidRPr="00D44CF2">
        <w:rPr>
          <w:rFonts w:eastAsiaTheme="minorEastAsia"/>
        </w:rPr>
        <w:t xml:space="preserve">AVP’s 2025 Annual Planning Review identified one new priority limitation in the DSN, as listed in </w:t>
      </w:r>
      <w:r w:rsidRPr="00D44CF2">
        <w:rPr>
          <w:b/>
          <w:bCs/>
        </w:rPr>
        <w:fldChar w:fldCharType="begin"/>
      </w:r>
      <w:r w:rsidRPr="00D44CF2">
        <w:rPr>
          <w:b/>
          <w:bCs/>
        </w:rPr>
        <w:instrText xml:space="preserve"> REF _Ref175648922 \r \h  \* MERGEFORMAT </w:instrText>
      </w:r>
      <w:r w:rsidRPr="00D44CF2">
        <w:rPr>
          <w:b/>
          <w:bCs/>
        </w:rPr>
      </w:r>
      <w:r w:rsidRPr="00D44CF2">
        <w:rPr>
          <w:b/>
          <w:bCs/>
        </w:rPr>
        <w:fldChar w:fldCharType="separate"/>
      </w:r>
      <w:r w:rsidR="004973D2">
        <w:rPr>
          <w:b/>
          <w:bCs/>
        </w:rPr>
        <w:t>Table 13</w:t>
      </w:r>
      <w:r w:rsidRPr="00D44CF2">
        <w:fldChar w:fldCharType="end"/>
      </w:r>
      <w:r w:rsidRPr="00D44CF2">
        <w:rPr>
          <w:rFonts w:eastAsiaTheme="minorEastAsia"/>
        </w:rPr>
        <w:t xml:space="preserve">. The main driver for this new limitation is changes in the connection point forecast and increased demand forecast in the western metropolitan Melbourne area over the planning horizon. Changes in the network supply to the western metropolitan area have changed network flow paths which has also contributed to this limitation. </w:t>
      </w:r>
    </w:p>
    <w:p w14:paraId="269622FD" w14:textId="09B4DC24" w:rsidR="0087182A" w:rsidRPr="00D44CF2" w:rsidRDefault="0087182A" w:rsidP="0087182A">
      <w:pPr>
        <w:pStyle w:val="CaptionTable"/>
      </w:pPr>
      <w:bookmarkStart w:id="243" w:name="_Toc180159715"/>
      <w:bookmarkStart w:id="244" w:name="_Ref175648922"/>
      <w:bookmarkStart w:id="245" w:name="_Ref180391495"/>
      <w:bookmarkStart w:id="246" w:name="_Toc180655839"/>
      <w:bookmarkStart w:id="247" w:name="_Toc212023317"/>
      <w:bookmarkEnd w:id="243"/>
      <w:r w:rsidRPr="00D44CF2">
        <w:t>New priority limitation from 2025 VAPR</w:t>
      </w:r>
      <w:bookmarkEnd w:id="244"/>
      <w:bookmarkEnd w:id="245"/>
      <w:bookmarkEnd w:id="246"/>
      <w:bookmarkEnd w:id="247"/>
    </w:p>
    <w:tbl>
      <w:tblPr>
        <w:tblStyle w:val="AEMO-Table4"/>
        <w:tblW w:w="10069" w:type="dxa"/>
        <w:tblLook w:val="04A0" w:firstRow="1" w:lastRow="0" w:firstColumn="1" w:lastColumn="0" w:noHBand="0" w:noVBand="1"/>
      </w:tblPr>
      <w:tblGrid>
        <w:gridCol w:w="308"/>
        <w:gridCol w:w="3525"/>
        <w:gridCol w:w="3118"/>
        <w:gridCol w:w="3118"/>
      </w:tblGrid>
      <w:tr w:rsidR="00422EA2" w:rsidRPr="00D44CF2" w14:paraId="5F82F49E"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 w:type="dxa"/>
          </w:tcPr>
          <w:p w14:paraId="68C91881" w14:textId="77777777" w:rsidR="0087182A" w:rsidRPr="00D44CF2" w:rsidRDefault="0087182A" w:rsidP="001A3F5B">
            <w:pPr>
              <w:pStyle w:val="TableText"/>
            </w:pPr>
            <w:r w:rsidRPr="00D44CF2">
              <w:t>#</w:t>
            </w:r>
          </w:p>
        </w:tc>
        <w:tc>
          <w:tcPr>
            <w:tcW w:w="3525" w:type="dxa"/>
          </w:tcPr>
          <w:p w14:paraId="05BDE97B"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(estimated constraint date)</w:t>
            </w:r>
          </w:p>
        </w:tc>
        <w:tc>
          <w:tcPr>
            <w:tcW w:w="3118" w:type="dxa"/>
          </w:tcPr>
          <w:p w14:paraId="61B2B447"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Description</w:t>
            </w:r>
          </w:p>
        </w:tc>
        <w:tc>
          <w:tcPr>
            <w:tcW w:w="3118" w:type="dxa"/>
          </w:tcPr>
          <w:p w14:paraId="1FBAE229"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Status/Next steps</w:t>
            </w:r>
          </w:p>
        </w:tc>
      </w:tr>
      <w:tr w:rsidR="0087182A" w:rsidRPr="00D44CF2" w14:paraId="4ACFA3E4"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08" w:type="dxa"/>
          </w:tcPr>
          <w:p w14:paraId="3DEF344E" w14:textId="77777777" w:rsidR="0087182A" w:rsidRPr="00D44CF2" w:rsidRDefault="0087182A" w:rsidP="001A3F5B">
            <w:pPr>
              <w:pStyle w:val="TableText"/>
            </w:pPr>
            <w:r w:rsidRPr="00D44CF2">
              <w:t>9</w:t>
            </w:r>
          </w:p>
        </w:tc>
        <w:tc>
          <w:tcPr>
            <w:tcW w:w="3525" w:type="dxa"/>
          </w:tcPr>
          <w:p w14:paraId="1CB66530" w14:textId="515958AF"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b/>
                <w:szCs w:val="16"/>
              </w:rPr>
            </w:pPr>
            <w:r w:rsidRPr="00D44CF2">
              <w:rPr>
                <w:rFonts w:ascii="Arial Nova" w:eastAsia="Arial Nova" w:hAnsi="Arial Nova"/>
                <w:b/>
                <w:szCs w:val="16"/>
              </w:rPr>
              <w:t>Thermal capacity limitation – Overloading of Keilor 500/220 kV Transformer for the loss of other transformer (December 2028) and in system normal (December 2032)</w:t>
            </w:r>
          </w:p>
        </w:tc>
        <w:tc>
          <w:tcPr>
            <w:tcW w:w="3118" w:type="dxa"/>
          </w:tcPr>
          <w:p w14:paraId="1C54958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szCs w:val="16"/>
              </w:rPr>
            </w:pPr>
            <w:r w:rsidRPr="00D44CF2">
              <w:rPr>
                <w:rFonts w:ascii="Arial Nova" w:eastAsia="Arial Nova" w:hAnsi="Arial Nova"/>
                <w:szCs w:val="16"/>
              </w:rPr>
              <w:t>This limitation is primarily due to higher connection point demand growth in the Melbourne western metropolitan area, which is further exacerbated by retirement of YWPS.</w:t>
            </w:r>
          </w:p>
          <w:p w14:paraId="73F9A453"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p>
        </w:tc>
        <w:tc>
          <w:tcPr>
            <w:tcW w:w="3118" w:type="dxa"/>
          </w:tcPr>
          <w:p w14:paraId="4B21F22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szCs w:val="16"/>
              </w:rPr>
            </w:pPr>
            <w:r w:rsidRPr="00D44CF2">
              <w:rPr>
                <w:rFonts w:ascii="Arial Nova" w:eastAsia="Arial Nova" w:hAnsi="Arial Nova"/>
                <w:szCs w:val="16"/>
              </w:rPr>
              <w:t xml:space="preserve">AusNet Services has commenced a replacement RIT-T for the Keilor transformers and is currently proposing replacement with higher capacity 1,000 MVA units. </w:t>
            </w:r>
          </w:p>
          <w:p w14:paraId="7053682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Arial Nova" w:hAnsi="Arial Nova"/>
                <w:szCs w:val="16"/>
              </w:rPr>
            </w:pPr>
            <w:r w:rsidRPr="00D44CF2">
              <w:rPr>
                <w:rFonts w:ascii="Arial Nova" w:eastAsia="Arial Nova" w:hAnsi="Arial Nova"/>
                <w:szCs w:val="16"/>
              </w:rPr>
              <w:t>The higher capacity transformers are integral to AVP’s Western Metropolitan Melbourne Reinforcement RIT-T, as discussed in Section 3.1.5, and AVP will continue working closely with AusNet Services to provide a holistic solution that will address these limitations.</w:t>
            </w:r>
          </w:p>
        </w:tc>
      </w:tr>
    </w:tbl>
    <w:p w14:paraId="1ACF4842" w14:textId="77777777" w:rsidR="0087182A" w:rsidRPr="00D44CF2" w:rsidRDefault="0087182A" w:rsidP="0087182A">
      <w:pPr>
        <w:pStyle w:val="TableFigureFootnote"/>
      </w:pPr>
      <w:r w:rsidRPr="00D44CF2">
        <w:t xml:space="preserve"> </w:t>
      </w:r>
    </w:p>
    <w:p w14:paraId="1D13CB12" w14:textId="3AE2DB0C" w:rsidR="0087182A" w:rsidRPr="00D44CF2" w:rsidRDefault="0087182A" w:rsidP="0087182A">
      <w:pPr>
        <w:pStyle w:val="Heading4"/>
      </w:pPr>
      <w:r w:rsidRPr="00D44CF2">
        <w:rPr>
          <w:rFonts w:ascii="Century Gothic" w:eastAsia="Century Gothic" w:hAnsi="Century Gothic" w:cs="Century Gothic"/>
        </w:rPr>
        <w:t>Keilor 500/220 kV Transformer thermal capacity limitation (limitation #9)</w:t>
      </w:r>
    </w:p>
    <w:p w14:paraId="1B6222C5" w14:textId="7BA1A505" w:rsidR="0087182A" w:rsidRPr="00D44CF2" w:rsidRDefault="0087182A" w:rsidP="0087182A">
      <w:pPr>
        <w:pStyle w:val="BodyText"/>
        <w:rPr>
          <w:rFonts w:eastAsiaTheme="minorEastAsia"/>
        </w:rPr>
      </w:pPr>
      <w:r w:rsidRPr="00D44CF2">
        <w:rPr>
          <w:rFonts w:eastAsiaTheme="minorEastAsia"/>
        </w:rPr>
        <w:t xml:space="preserve">Thermal loading on the Keilor 500/220 kV transformers A2 and A4 has been identified as a priority limitation at times of high demand. The primary driver behind this limitation is increasing demand in the western metropolitan area. </w:t>
      </w:r>
      <w:r w:rsidRPr="00D44CF2">
        <w:rPr>
          <w:rStyle w:val="normaltextrun"/>
          <w:rFonts w:ascii="Arial Nova" w:eastAsiaTheme="majorEastAsia" w:hAnsi="Arial Nova"/>
          <w:color w:val="424242"/>
          <w:szCs w:val="20"/>
        </w:rPr>
        <w:t>The loading on the remaining transformers is forecast to exceed their short-term ratings (810 MVA) from 2028 following a credible contingency of a parallel transformer (N-1 overloads), leading to a risk of pre-contingent load shedding to manage system security. The risk of load shedding is forecast to increase as the loading on the transformers is forecast to exceed their continuous rating (750 MVA) from 2032, even with all three transformers in service (N overloads).</w:t>
      </w:r>
      <w:r w:rsidRPr="00D44CF2">
        <w:rPr>
          <w:rFonts w:eastAsiaTheme="minorEastAsia"/>
        </w:rPr>
        <w:t xml:space="preserve"> See </w:t>
      </w:r>
      <w:r w:rsidRPr="00D44CF2">
        <w:rPr>
          <w:rFonts w:eastAsiaTheme="minorEastAsia"/>
          <w:b/>
        </w:rPr>
        <w:fldChar w:fldCharType="begin"/>
      </w:r>
      <w:r w:rsidRPr="00D44CF2">
        <w:rPr>
          <w:rFonts w:eastAsiaTheme="minorEastAsia"/>
          <w:b/>
        </w:rPr>
        <w:instrText xml:space="preserve"> REF _Ref208233294 \r \h  \* MERGEFORMAT </w:instrText>
      </w:r>
      <w:r w:rsidRPr="00D44CF2">
        <w:rPr>
          <w:rFonts w:eastAsiaTheme="minorEastAsia"/>
          <w:b/>
        </w:rPr>
      </w:r>
      <w:r w:rsidRPr="00D44CF2">
        <w:rPr>
          <w:rFonts w:eastAsiaTheme="minorEastAsia"/>
          <w:b/>
        </w:rPr>
        <w:fldChar w:fldCharType="separate"/>
      </w:r>
      <w:r w:rsidR="004973D2">
        <w:rPr>
          <w:rFonts w:eastAsiaTheme="minorEastAsia"/>
          <w:b/>
        </w:rPr>
        <w:t>Figure 29</w:t>
      </w:r>
      <w:r w:rsidRPr="00D44CF2">
        <w:rPr>
          <w:rFonts w:eastAsiaTheme="minorEastAsia"/>
          <w:b/>
        </w:rPr>
        <w:fldChar w:fldCharType="end"/>
      </w:r>
      <w:r w:rsidRPr="00D44CF2">
        <w:rPr>
          <w:rFonts w:eastAsiaTheme="minorEastAsia"/>
        </w:rPr>
        <w:t xml:space="preserve"> for more details.</w:t>
      </w:r>
    </w:p>
    <w:p w14:paraId="10F3284C" w14:textId="77777777" w:rsidR="0087182A" w:rsidRPr="004230A9" w:rsidRDefault="0087182A" w:rsidP="004230A9">
      <w:pPr>
        <w:pStyle w:val="CaptionFigure"/>
      </w:pPr>
      <w:bookmarkStart w:id="248" w:name="_Toc210745503"/>
      <w:bookmarkStart w:id="249" w:name="_Ref208233294"/>
      <w:bookmarkStart w:id="250" w:name="_Toc212023363"/>
      <w:bookmarkEnd w:id="248"/>
      <w:r w:rsidRPr="004230A9">
        <w:lastRenderedPageBreak/>
        <w:t>Thermal overloading of Keilor 500/220 kV A2 and A4 transformers</w:t>
      </w:r>
      <w:bookmarkEnd w:id="249"/>
      <w:bookmarkEnd w:id="250"/>
      <w:r w:rsidRPr="004230A9">
        <w:t xml:space="preserve"> </w:t>
      </w:r>
    </w:p>
    <w:p w14:paraId="5B5DAE98" w14:textId="77777777" w:rsidR="0087182A" w:rsidRPr="00D44CF2" w:rsidRDefault="0087182A" w:rsidP="0087182A">
      <w:pPr>
        <w:pStyle w:val="BodyText"/>
      </w:pPr>
      <w:r w:rsidRPr="00D44CF2">
        <w:rPr>
          <w:noProof/>
        </w:rPr>
        <w:drawing>
          <wp:inline distT="0" distB="0" distL="0" distR="0" wp14:anchorId="5980A07B" wp14:editId="07906014">
            <wp:extent cx="6407785" cy="3278037"/>
            <wp:effectExtent l="0" t="0" r="0" b="0"/>
            <wp:docPr id="10703610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61072" name=""/>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6408000" cy="3278147"/>
                    </a:xfrm>
                    <a:prstGeom prst="rect">
                      <a:avLst/>
                    </a:prstGeom>
                    <a:ln>
                      <a:noFill/>
                    </a:ln>
                    <a:extLst>
                      <a:ext uri="{53640926-AAD7-44D8-BBD7-CCE9431645EC}">
                        <a14:shadowObscured xmlns:a14="http://schemas.microsoft.com/office/drawing/2010/main"/>
                      </a:ext>
                    </a:extLst>
                  </pic:spPr>
                </pic:pic>
              </a:graphicData>
            </a:graphic>
          </wp:inline>
        </w:drawing>
      </w:r>
    </w:p>
    <w:p w14:paraId="33FFE5E5" w14:textId="77777777" w:rsidR="0087182A" w:rsidRPr="00D44CF2" w:rsidRDefault="0087182A" w:rsidP="0087182A">
      <w:pPr>
        <w:pStyle w:val="TableFigureFootnote"/>
      </w:pPr>
    </w:p>
    <w:p w14:paraId="7B235283" w14:textId="77777777" w:rsidR="0087182A" w:rsidRPr="00D44CF2" w:rsidRDefault="0087182A" w:rsidP="0087182A">
      <w:pPr>
        <w:pStyle w:val="BodyText"/>
        <w:rPr>
          <w:rFonts w:eastAsiaTheme="minorEastAsia"/>
          <w:szCs w:val="20"/>
        </w:rPr>
      </w:pPr>
      <w:r w:rsidRPr="00D44CF2">
        <w:rPr>
          <w:rFonts w:eastAsiaTheme="minorEastAsia"/>
          <w:szCs w:val="20"/>
        </w:rPr>
        <w:t>Potential options to address the overloading of the Keilor 500/220 kV A2 and A4 transformers may include, but are not limited to:</w:t>
      </w:r>
    </w:p>
    <w:p w14:paraId="15216101" w14:textId="77777777" w:rsidR="0087182A" w:rsidRPr="00D44CF2" w:rsidRDefault="0087182A" w:rsidP="0087182A">
      <w:pPr>
        <w:pStyle w:val="ListBullet"/>
      </w:pPr>
      <w:r w:rsidRPr="00D44CF2">
        <w:t xml:space="preserve">replacing </w:t>
      </w:r>
      <w:r w:rsidRPr="00D44CF2">
        <w:rPr>
          <w:rFonts w:eastAsiaTheme="minorEastAsia"/>
        </w:rPr>
        <w:t>the transformers with larger units (the transformers are approaching end of serviceable life)</w:t>
      </w:r>
      <w:r w:rsidRPr="00D44CF2">
        <w:t>,</w:t>
      </w:r>
    </w:p>
    <w:p w14:paraId="3C932F1E" w14:textId="5178F18C" w:rsidR="0087182A" w:rsidRPr="00D44CF2" w:rsidRDefault="0087182A" w:rsidP="0087182A">
      <w:pPr>
        <w:pStyle w:val="ListBullet"/>
        <w:rPr>
          <w:rFonts w:eastAsiaTheme="minorEastAsia"/>
          <w:szCs w:val="20"/>
        </w:rPr>
      </w:pPr>
      <w:r w:rsidRPr="00D44CF2">
        <w:t>installing</w:t>
      </w:r>
      <w:r w:rsidRPr="00D44CF2">
        <w:rPr>
          <w:rFonts w:eastAsiaTheme="minorEastAsia"/>
          <w:szCs w:val="20"/>
        </w:rPr>
        <w:t xml:space="preserve"> additional 500/220 kV transformation at </w:t>
      </w:r>
      <w:r w:rsidR="009F4DA3" w:rsidRPr="00D44CF2">
        <w:rPr>
          <w:rFonts w:eastAsiaTheme="minorEastAsia"/>
          <w:szCs w:val="20"/>
        </w:rPr>
        <w:t>KTS</w:t>
      </w:r>
      <w:r w:rsidRPr="00D44CF2">
        <w:t>, and</w:t>
      </w:r>
    </w:p>
    <w:p w14:paraId="75835DDF" w14:textId="77777777" w:rsidR="0087182A" w:rsidRPr="00D44CF2" w:rsidRDefault="0087182A" w:rsidP="0087182A">
      <w:pPr>
        <w:pStyle w:val="ListBullet"/>
        <w:rPr>
          <w:rFonts w:eastAsiaTheme="minorEastAsia"/>
          <w:szCs w:val="20"/>
        </w:rPr>
      </w:pPr>
      <w:r w:rsidRPr="00D44CF2">
        <w:t>constructing a</w:t>
      </w:r>
      <w:r w:rsidRPr="00D44CF2">
        <w:rPr>
          <w:rFonts w:eastAsiaTheme="minorEastAsia"/>
          <w:szCs w:val="20"/>
        </w:rPr>
        <w:t xml:space="preserve"> new 500/220 kV connection point (potentially at Truganina), including associated 500 kV and 220 kV line works, and </w:t>
      </w:r>
      <w:r w:rsidRPr="00D44CF2">
        <w:t>transferring</w:t>
      </w:r>
      <w:r w:rsidRPr="00D44CF2">
        <w:rPr>
          <w:rFonts w:eastAsiaTheme="minorEastAsia"/>
          <w:szCs w:val="20"/>
        </w:rPr>
        <w:t xml:space="preserve"> load from Keilor to the new connection point.</w:t>
      </w:r>
    </w:p>
    <w:p w14:paraId="4BB53B42" w14:textId="77777777" w:rsidR="0087182A" w:rsidRPr="00D44CF2" w:rsidRDefault="0087182A" w:rsidP="0087182A">
      <w:pPr>
        <w:pStyle w:val="BodyText"/>
        <w:rPr>
          <w:rFonts w:eastAsiaTheme="minorEastAsia"/>
          <w:szCs w:val="20"/>
        </w:rPr>
      </w:pPr>
      <w:r w:rsidRPr="00D44CF2">
        <w:rPr>
          <w:rFonts w:eastAsiaTheme="minorEastAsia"/>
          <w:szCs w:val="20"/>
        </w:rPr>
        <w:t>As there is already a replacement RIT-T process underway to replace the existing transformers, AVP recommends replacing these transformers with larger units. It is anticipated that increasing the size of transformers already planned to be replaced would be the most economic solution.</w:t>
      </w:r>
    </w:p>
    <w:p w14:paraId="02AF2793" w14:textId="77777777" w:rsidR="0087182A" w:rsidRPr="00D44CF2" w:rsidRDefault="0087182A" w:rsidP="0087182A">
      <w:pPr>
        <w:pStyle w:val="Heading3"/>
      </w:pPr>
      <w:r w:rsidRPr="00D44CF2">
        <w:t>Other limitations (monitored)</w:t>
      </w:r>
    </w:p>
    <w:p w14:paraId="148DE8A7" w14:textId="0E2D2371" w:rsidR="0087182A" w:rsidRPr="00D44CF2" w:rsidRDefault="0087182A" w:rsidP="00F3219C">
      <w:pPr>
        <w:pStyle w:val="BodyText"/>
        <w:rPr>
          <w:rFonts w:eastAsiaTheme="minorEastAsia"/>
        </w:rPr>
      </w:pPr>
      <w:r w:rsidRPr="00D44CF2">
        <w:rPr>
          <w:rFonts w:eastAsiaTheme="minorEastAsia"/>
        </w:rPr>
        <w:t xml:space="preserve">AVP continues to monitor transmission network limitations that may result in supply interruptions or constrain generation, but for which either there are no currently identified needs/triggers, or there </w:t>
      </w:r>
      <w:r w:rsidRPr="00D44CF2">
        <w:t xml:space="preserve">are </w:t>
      </w:r>
      <w:r w:rsidRPr="00D44CF2">
        <w:rPr>
          <w:rFonts w:eastAsiaTheme="minorEastAsia"/>
        </w:rPr>
        <w:t>insufficient market benefits expected to justify the cost of relieving the limitation. AVP will</w:t>
      </w:r>
      <w:r w:rsidRPr="00D44CF2">
        <w:t xml:space="preserve"> reassess these limitations as part of the next </w:t>
      </w:r>
      <w:r w:rsidR="009F4DA3" w:rsidRPr="00D44CF2">
        <w:t>V</w:t>
      </w:r>
      <w:r w:rsidRPr="00D44CF2">
        <w:t>APR or commence detailed analysis if triggered by a new market development.</w:t>
      </w:r>
      <w:r w:rsidRPr="00D44CF2">
        <w:rPr>
          <w:rFonts w:eastAsiaTheme="minorEastAsia"/>
        </w:rPr>
        <w:t xml:space="preserve"> </w:t>
      </w:r>
    </w:p>
    <w:p w14:paraId="232315A1" w14:textId="77777777" w:rsidR="0087182A" w:rsidRPr="00D44CF2" w:rsidRDefault="0087182A" w:rsidP="0087182A">
      <w:pPr>
        <w:pStyle w:val="BodyText"/>
        <w:rPr>
          <w:rFonts w:eastAsiaTheme="minorEastAsia"/>
        </w:rPr>
      </w:pPr>
      <w:r w:rsidRPr="00D44CF2">
        <w:rPr>
          <w:rFonts w:eastAsiaTheme="minorEastAsia"/>
        </w:rPr>
        <w:t>The following sections provide more detail on new monitored limitations and existing monitored limitations impacted by new ISP anticipated or committed developments in the DSN announced since the 2024 VAPR. These developments may include announced generator connections, transmission augmentations, load forecasts, changes in historical constraint behaviour, or regulatory changes.</w:t>
      </w:r>
    </w:p>
    <w:p w14:paraId="14018C7F" w14:textId="2BFFCFD9" w:rsidR="0087182A" w:rsidRPr="00D44CF2" w:rsidRDefault="0087182A" w:rsidP="0087182A">
      <w:pPr>
        <w:pStyle w:val="BodyText"/>
      </w:pPr>
      <w:r w:rsidRPr="00D44CF2">
        <w:rPr>
          <w:rFonts w:eastAsiaTheme="minorEastAsia"/>
        </w:rPr>
        <w:lastRenderedPageBreak/>
        <w:t xml:space="preserve">While the monitored limitations reported in this VAPR are identified based on the committed Victorian generation </w:t>
      </w:r>
      <w:r w:rsidR="79377053" w:rsidRPr="00D44CF2">
        <w:rPr>
          <w:rFonts w:eastAsiaTheme="minorEastAsia"/>
        </w:rPr>
        <w:t>planned</w:t>
      </w:r>
      <w:r w:rsidRPr="00D44CF2">
        <w:rPr>
          <w:rFonts w:eastAsiaTheme="minorEastAsia"/>
        </w:rPr>
        <w:t xml:space="preserve"> closure years, AVP has also carried out a sensitivity analysis to assess the impacts on these limitations due to earlier than announced generator retirements and subsequent supply uptake elsewhere, as included in the 2024 ISP </w:t>
      </w:r>
      <w:r w:rsidRPr="00D44CF2">
        <w:rPr>
          <w:rFonts w:eastAsiaTheme="minorEastAsia"/>
          <w:i/>
          <w:iCs/>
        </w:rPr>
        <w:t>Step Change</w:t>
      </w:r>
      <w:r w:rsidRPr="00D44CF2">
        <w:rPr>
          <w:rFonts w:eastAsiaTheme="minorEastAsia"/>
        </w:rPr>
        <w:t xml:space="preserve"> scenario. More information is in Appendix </w:t>
      </w:r>
      <w:r w:rsidRPr="00D44CF2">
        <w:fldChar w:fldCharType="begin"/>
      </w:r>
      <w:r w:rsidRPr="00D44CF2">
        <w:instrText xml:space="preserve"> REF _Ref148613299 \r \h  \* MERGEFORMAT </w:instrText>
      </w:r>
      <w:r w:rsidRPr="00D44CF2">
        <w:fldChar w:fldCharType="separate"/>
      </w:r>
      <w:r w:rsidR="004973D2" w:rsidRPr="003536AD">
        <w:rPr>
          <w:lang w:val="en-US"/>
        </w:rPr>
        <w:t>A4</w:t>
      </w:r>
      <w:r w:rsidRPr="00D44CF2">
        <w:fldChar w:fldCharType="end"/>
      </w:r>
      <w:r w:rsidRPr="00D44CF2">
        <w:t>.</w:t>
      </w:r>
    </w:p>
    <w:p w14:paraId="1A7790CC" w14:textId="77777777" w:rsidR="0087182A" w:rsidRPr="00D44CF2" w:rsidRDefault="0087182A" w:rsidP="0087182A">
      <w:pPr>
        <w:pStyle w:val="CaptionFigure"/>
      </w:pPr>
      <w:bookmarkStart w:id="251" w:name="_Toc180159804"/>
      <w:bookmarkStart w:id="252" w:name="_Toc212023364"/>
      <w:r w:rsidRPr="00D44CF2">
        <w:t>Monitored limitations</w:t>
      </w:r>
      <w:bookmarkEnd w:id="251"/>
      <w:bookmarkEnd w:id="252"/>
    </w:p>
    <w:p w14:paraId="77FA9F79" w14:textId="72CEAE67" w:rsidR="0087182A" w:rsidRPr="00D44CF2" w:rsidRDefault="00FF32E5" w:rsidP="0087182A">
      <w:r w:rsidRPr="00D44CF2">
        <w:rPr>
          <w:noProof/>
        </w:rPr>
        <w:drawing>
          <wp:inline distT="0" distB="0" distL="0" distR="0" wp14:anchorId="7E05A325" wp14:editId="6CD50B00">
            <wp:extent cx="6408000" cy="4678496"/>
            <wp:effectExtent l="0" t="0" r="0" b="8255"/>
            <wp:docPr id="1447731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31076" name=""/>
                    <pic:cNvPicPr/>
                  </pic:nvPicPr>
                  <pic:blipFill rotWithShape="1">
                    <a:blip r:embed="rId85"/>
                    <a:srcRect l="1112"/>
                    <a:stretch/>
                  </pic:blipFill>
                  <pic:spPr bwMode="auto">
                    <a:xfrm>
                      <a:off x="0" y="0"/>
                      <a:ext cx="6408000" cy="4678496"/>
                    </a:xfrm>
                    <a:prstGeom prst="rect">
                      <a:avLst/>
                    </a:prstGeom>
                    <a:ln>
                      <a:noFill/>
                    </a:ln>
                    <a:extLst>
                      <a:ext uri="{53640926-AAD7-44D8-BBD7-CCE9431645EC}">
                        <a14:shadowObscured xmlns:a14="http://schemas.microsoft.com/office/drawing/2010/main"/>
                      </a:ext>
                    </a:extLst>
                  </pic:spPr>
                </pic:pic>
              </a:graphicData>
            </a:graphic>
          </wp:inline>
        </w:drawing>
      </w:r>
    </w:p>
    <w:p w14:paraId="64C4DC17" w14:textId="77777777" w:rsidR="0087182A" w:rsidRPr="00D44CF2" w:rsidRDefault="0087182A" w:rsidP="0087182A">
      <w:pPr>
        <w:pStyle w:val="Heading3"/>
        <w:numPr>
          <w:ilvl w:val="0"/>
          <w:numId w:val="0"/>
        </w:numPr>
        <w:ind w:left="709" w:hanging="709"/>
      </w:pPr>
      <w:bookmarkStart w:id="253" w:name="_Toc12012122"/>
      <w:r w:rsidRPr="00D44CF2">
        <w:t>Thermal limitations</w:t>
      </w:r>
    </w:p>
    <w:p w14:paraId="6F3C575D" w14:textId="77777777" w:rsidR="0087182A" w:rsidRPr="00D44CF2" w:rsidRDefault="0087182A" w:rsidP="0087182A">
      <w:pPr>
        <w:pStyle w:val="BodyText"/>
        <w:rPr>
          <w:rFonts w:eastAsiaTheme="minorEastAsia"/>
          <w:szCs w:val="20"/>
        </w:rPr>
      </w:pPr>
      <w:r w:rsidRPr="00D44CF2">
        <w:rPr>
          <w:rFonts w:eastAsiaTheme="minorEastAsia"/>
          <w:szCs w:val="20"/>
        </w:rPr>
        <w:t xml:space="preserve">The emergence of new thermal limitations and the benefits of addressing them depend heavily on the geography and intermittency of both supply and demand. Patterns of network flow and asset utilisation continue to change in Victoria, due to drivers on the supply side such as a significant amount of new VRE projects, decommitment of large synchronous generation, and strong uptake of distributed PV. </w:t>
      </w:r>
    </w:p>
    <w:p w14:paraId="78F07209" w14:textId="2A2BDF63" w:rsidR="0087182A" w:rsidRPr="00D44CF2" w:rsidRDefault="0087182A" w:rsidP="0087182A">
      <w:pPr>
        <w:pStyle w:val="BodyText"/>
        <w:rPr>
          <w:rFonts w:eastAsiaTheme="minorEastAsia"/>
        </w:rPr>
      </w:pPr>
      <w:r w:rsidRPr="00D44CF2">
        <w:rPr>
          <w:rFonts w:eastAsiaTheme="minorEastAsia"/>
        </w:rPr>
        <w:t>In 2024-25, 840 MW of new generation projects connected in Victoria, and new projects continue to be proposed in regional parts of the state, where high-quality solar and wind resources are abundant (see Section</w:t>
      </w:r>
      <w:r w:rsidR="00D06F1E">
        <w:rPr>
          <w:rFonts w:eastAsiaTheme="minorEastAsia"/>
        </w:rPr>
        <w:t xml:space="preserve"> 2.5)</w:t>
      </w:r>
      <w:r w:rsidRPr="00D44CF2">
        <w:rPr>
          <w:rFonts w:eastAsiaTheme="minorEastAsia"/>
        </w:rPr>
        <w:t xml:space="preserve">. These parts of the network, however, were not originally designed to support such high generation density, and several </w:t>
      </w:r>
      <w:r w:rsidRPr="00D44CF2">
        <w:rPr>
          <w:rFonts w:eastAsiaTheme="minorEastAsia"/>
          <w:lang w:val="en-GB"/>
        </w:rPr>
        <w:t xml:space="preserve">investors have faced </w:t>
      </w:r>
      <w:r w:rsidRPr="00D44CF2">
        <w:rPr>
          <w:rFonts w:eastAsiaTheme="minorEastAsia"/>
        </w:rPr>
        <w:t xml:space="preserve">economic and technical challenges associated with connecting to these areas where sufficient thermal capacity is unavailable. Several projects have been and are being delivered to address these challenges (see Section </w:t>
      </w:r>
      <w:r w:rsidRPr="00D44CF2">
        <w:fldChar w:fldCharType="begin"/>
      </w:r>
      <w:r w:rsidRPr="00D44CF2">
        <w:instrText xml:space="preserve"> REF _Ref178686047 \r \h  \* MERGEFORMAT </w:instrText>
      </w:r>
      <w:r w:rsidRPr="00D44CF2">
        <w:fldChar w:fldCharType="separate"/>
      </w:r>
      <w:r w:rsidR="004973D2" w:rsidRPr="003536AD">
        <w:rPr>
          <w:lang w:val="en-US"/>
        </w:rPr>
        <w:t>3.1.1</w:t>
      </w:r>
      <w:r w:rsidRPr="00D44CF2">
        <w:fldChar w:fldCharType="end"/>
      </w:r>
      <w:r w:rsidRPr="00D44CF2">
        <w:rPr>
          <w:rFonts w:eastAsiaTheme="minorEastAsia"/>
        </w:rPr>
        <w:t xml:space="preserve">). </w:t>
      </w:r>
    </w:p>
    <w:p w14:paraId="3B53A8CC" w14:textId="10BC2145" w:rsidR="0087182A" w:rsidRPr="00D44CF2" w:rsidRDefault="0087182A" w:rsidP="0087182A">
      <w:pPr>
        <w:pStyle w:val="BodyText"/>
        <w:rPr>
          <w:rFonts w:eastAsiaTheme="minorEastAsia"/>
        </w:rPr>
      </w:pPr>
      <w:r w:rsidRPr="00D44CF2">
        <w:rPr>
          <w:rFonts w:eastAsiaTheme="minorEastAsia"/>
        </w:rPr>
        <w:lastRenderedPageBreak/>
        <w:t>In 2024-25, updated connection point forecasts showed a greater proportion of Victorian demand in the Western Metropolitan Melbourne region compared to previous years. The main drivers for this increase in the connection point forecast were continued load growth with the expansion of Melbourne west and with the number of small distribution connected data centres being established. The regional demand forecast also increased for Victoria, particularly in years 5</w:t>
      </w:r>
      <w:r w:rsidRPr="00D44CF2">
        <w:rPr>
          <w:rFonts w:eastAsiaTheme="minorEastAsia"/>
        </w:rPr>
        <w:noBreakHyphen/>
        <w:t>10 of the planning horizon, driven mainly by forecast data centre loads. Both of these changes to the forecasts have contributed to monitored limitations being identified in the Western Metropolitan Melbourne area.</w:t>
      </w:r>
    </w:p>
    <w:p w14:paraId="137F78BF" w14:textId="1E96B471" w:rsidR="0087182A" w:rsidRPr="00D44CF2" w:rsidRDefault="0087182A" w:rsidP="0087182A">
      <w:pPr>
        <w:pStyle w:val="Heading4"/>
        <w:rPr>
          <w:lang w:val="en-GB"/>
        </w:rPr>
      </w:pPr>
      <w:r w:rsidRPr="00D44CF2">
        <w:rPr>
          <w:lang w:val="en-GB"/>
        </w:rPr>
        <w:t>Greater Melbourne – Altona to Keilor 220 kV line and Brooklyn to Keilor 220 kV line</w:t>
      </w:r>
    </w:p>
    <w:p w14:paraId="1C47FAAD" w14:textId="4D7FEA76" w:rsidR="0087182A" w:rsidRPr="00D44CF2" w:rsidRDefault="0087182A" w:rsidP="0087182A">
      <w:pPr>
        <w:pStyle w:val="BodyText"/>
        <w:rPr>
          <w:rFonts w:eastAsiaTheme="minorEastAsia"/>
          <w:szCs w:val="20"/>
          <w:lang w:val="en-GB"/>
        </w:rPr>
      </w:pPr>
      <w:r w:rsidRPr="00D44CF2">
        <w:rPr>
          <w:rFonts w:eastAsiaTheme="minorEastAsia"/>
          <w:szCs w:val="20"/>
          <w:lang w:val="en-GB"/>
        </w:rPr>
        <w:t xml:space="preserve">Slight changes in the connection point forecast have increased demand in the </w:t>
      </w:r>
      <w:r w:rsidR="009F4DA3" w:rsidRPr="00D44CF2">
        <w:rPr>
          <w:rFonts w:eastAsiaTheme="minorEastAsia"/>
          <w:szCs w:val="20"/>
          <w:lang w:val="en-GB"/>
        </w:rPr>
        <w:t xml:space="preserve">Western Metropolitan </w:t>
      </w:r>
      <w:r w:rsidRPr="00D44CF2">
        <w:rPr>
          <w:rFonts w:eastAsiaTheme="minorEastAsia"/>
          <w:szCs w:val="20"/>
          <w:lang w:val="en-GB"/>
        </w:rPr>
        <w:t>area. The higher demand has contributed to two new monitored thermal limitations:</w:t>
      </w:r>
    </w:p>
    <w:p w14:paraId="106876AC" w14:textId="77777777" w:rsidR="0087182A" w:rsidRPr="00D44CF2" w:rsidRDefault="0087182A" w:rsidP="0087182A">
      <w:pPr>
        <w:pStyle w:val="ListBullet"/>
        <w:rPr>
          <w:lang w:val="en-GB"/>
        </w:rPr>
      </w:pPr>
      <w:r w:rsidRPr="00D44CF2">
        <w:rPr>
          <w:lang w:val="en-GB"/>
        </w:rPr>
        <w:t>The Altona to Keilor 220 kV line becomes limited for the loss of the Brooklyn to Keilor 220 kV line during times of maximum demand and high generation.</w:t>
      </w:r>
    </w:p>
    <w:p w14:paraId="129D6454" w14:textId="77777777" w:rsidR="0087182A" w:rsidRPr="00D44CF2" w:rsidRDefault="0087182A" w:rsidP="0087182A">
      <w:pPr>
        <w:pStyle w:val="ListBullet"/>
        <w:rPr>
          <w:lang w:val="en-GB"/>
        </w:rPr>
      </w:pPr>
      <w:r w:rsidRPr="00D44CF2">
        <w:rPr>
          <w:lang w:val="en-GB"/>
        </w:rPr>
        <w:t>The Brooklyn to Keilor 220 kV line becomes limited for the loss of the Altona to Keilor 220 kV line during times of maximum demand and high generation at times of maximum demand and high generation.</w:t>
      </w:r>
    </w:p>
    <w:p w14:paraId="3B1E94B3" w14:textId="77777777" w:rsidR="0087182A" w:rsidRPr="00D44CF2" w:rsidRDefault="0087182A" w:rsidP="0087182A">
      <w:pPr>
        <w:pStyle w:val="BodyText"/>
        <w:rPr>
          <w:rFonts w:eastAsiaTheme="minorEastAsia"/>
          <w:lang w:val="en-GB"/>
        </w:rPr>
      </w:pPr>
      <w:r w:rsidRPr="00D44CF2">
        <w:rPr>
          <w:rFonts w:eastAsiaTheme="minorEastAsia"/>
          <w:lang w:val="en-GB"/>
        </w:rPr>
        <w:t>AVP does not currently have firm plans to address these limitations and will continue to monitor the limitations.</w:t>
      </w:r>
    </w:p>
    <w:p w14:paraId="1F3B7AFC" w14:textId="77777777" w:rsidR="0087182A" w:rsidRPr="00D44CF2" w:rsidRDefault="0087182A" w:rsidP="0087182A">
      <w:pPr>
        <w:pStyle w:val="Heading4"/>
        <w:rPr>
          <w:lang w:val="en-GB"/>
        </w:rPr>
      </w:pPr>
      <w:r w:rsidRPr="00D44CF2">
        <w:rPr>
          <w:lang w:val="en-GB"/>
        </w:rPr>
        <w:t>Northern Corridor – Dederang to South Morang 330 kV line</w:t>
      </w:r>
    </w:p>
    <w:p w14:paraId="47E9D4DC" w14:textId="77777777" w:rsidR="0087182A" w:rsidRPr="00D44CF2" w:rsidRDefault="0087182A" w:rsidP="0087182A">
      <w:pPr>
        <w:pStyle w:val="BodyText"/>
        <w:rPr>
          <w:rFonts w:ascii="Arial Nova" w:eastAsia="Arial Nova" w:hAnsi="Arial Nova"/>
          <w:szCs w:val="20"/>
          <w:lang w:val="en-GB"/>
        </w:rPr>
      </w:pPr>
      <w:r w:rsidRPr="00D44CF2">
        <w:rPr>
          <w:rFonts w:ascii="Arial Nova" w:eastAsia="Arial Nova" w:hAnsi="Arial Nova"/>
          <w:lang w:val="en-GB"/>
        </w:rPr>
        <w:t>Based on the 2025 ESOO demand forecast, which projected a slight increase in demand compared to last year and increased interconnector flow from New South Wales to Victoria, a new monitored thermal limitation has been identified on the Dederang – South Morang 330 kV line for the loss of the other Dederang to South Morang 330 kV line. This limitation exists at times of maximum demand and high generation, and</w:t>
      </w:r>
      <w:r w:rsidRPr="00D44CF2">
        <w:rPr>
          <w:rFonts w:ascii="Arial Nova" w:eastAsia="Arial Nova" w:hAnsi="Arial Nova"/>
          <w:szCs w:val="20"/>
          <w:lang w:val="en-GB"/>
        </w:rPr>
        <w:t xml:space="preserve"> is anticipated to be addressed by VNI West when it comes into service.</w:t>
      </w:r>
    </w:p>
    <w:p w14:paraId="7097E86A" w14:textId="77777777" w:rsidR="0087182A" w:rsidRPr="00D44CF2" w:rsidRDefault="0087182A" w:rsidP="0087182A">
      <w:pPr>
        <w:pStyle w:val="Heading3"/>
        <w:numPr>
          <w:ilvl w:val="0"/>
          <w:numId w:val="0"/>
        </w:numPr>
      </w:pPr>
      <w:bookmarkStart w:id="254" w:name="_Ref82718531"/>
      <w:bookmarkEnd w:id="253"/>
      <w:r w:rsidRPr="00D44CF2">
        <w:t>Voltage stability limitations</w:t>
      </w:r>
      <w:bookmarkEnd w:id="254"/>
    </w:p>
    <w:p w14:paraId="0EBC2B50" w14:textId="77777777" w:rsidR="0087182A" w:rsidRPr="00D44CF2" w:rsidRDefault="0087182A" w:rsidP="0087182A">
      <w:pPr>
        <w:pStyle w:val="Heading4"/>
      </w:pPr>
      <w:r w:rsidRPr="00D44CF2">
        <w:t>Murray River Corridor</w:t>
      </w:r>
    </w:p>
    <w:p w14:paraId="63D658D4" w14:textId="1F53B50E" w:rsidR="0087182A" w:rsidRPr="00D44CF2" w:rsidRDefault="0087182A" w:rsidP="0087182A">
      <w:pPr>
        <w:pStyle w:val="BodyText"/>
      </w:pPr>
      <w:r w:rsidRPr="00D44CF2">
        <w:t>Voltage stability in the Murray River corridor has ranked highly among the market impact of Victorian network constraints since 2021 when constraints for this limitation were formulated. Since 2021</w:t>
      </w:r>
      <w:r w:rsidR="00172604" w:rsidRPr="00D44CF2">
        <w:t>,</w:t>
      </w:r>
      <w:r w:rsidRPr="00D44CF2">
        <w:t xml:space="preserve"> many projects have been initiated that reduce this limitation to monitored status, including:</w:t>
      </w:r>
    </w:p>
    <w:p w14:paraId="311AA2C5" w14:textId="77777777" w:rsidR="0087182A" w:rsidRPr="00D44CF2" w:rsidRDefault="0087182A" w:rsidP="0087182A">
      <w:pPr>
        <w:pStyle w:val="ListBullet"/>
        <w:numPr>
          <w:ilvl w:val="0"/>
          <w:numId w:val="63"/>
        </w:numPr>
      </w:pPr>
      <w:r w:rsidRPr="00D44CF2">
        <w:t>EnergyConnect,</w:t>
      </w:r>
    </w:p>
    <w:p w14:paraId="65E32CAA" w14:textId="77777777" w:rsidR="0087182A" w:rsidRPr="00D44CF2" w:rsidRDefault="0087182A" w:rsidP="0087182A">
      <w:pPr>
        <w:pStyle w:val="ListBullet"/>
        <w:numPr>
          <w:ilvl w:val="0"/>
          <w:numId w:val="63"/>
        </w:numPr>
      </w:pPr>
      <w:r w:rsidRPr="00D44CF2">
        <w:t>Koorangie BESS,</w:t>
      </w:r>
    </w:p>
    <w:p w14:paraId="57357270" w14:textId="77777777" w:rsidR="0087182A" w:rsidRPr="00D44CF2" w:rsidRDefault="0087182A" w:rsidP="0087182A">
      <w:pPr>
        <w:pStyle w:val="ListBullet"/>
        <w:numPr>
          <w:ilvl w:val="0"/>
          <w:numId w:val="63"/>
        </w:numPr>
      </w:pPr>
      <w:r w:rsidRPr="00D44CF2">
        <w:t>upgrade of Murraylink VFRB, and</w:t>
      </w:r>
    </w:p>
    <w:p w14:paraId="3874161E" w14:textId="77777777" w:rsidR="0087182A" w:rsidRPr="00D44CF2" w:rsidRDefault="0087182A" w:rsidP="0087182A">
      <w:pPr>
        <w:pStyle w:val="ListBullet"/>
        <w:numPr>
          <w:ilvl w:val="0"/>
          <w:numId w:val="63"/>
        </w:numPr>
      </w:pPr>
      <w:r w:rsidRPr="00D44CF2">
        <w:t>VNI West.</w:t>
      </w:r>
    </w:p>
    <w:p w14:paraId="58815829" w14:textId="4350447E" w:rsidR="0087182A" w:rsidRPr="00D44CF2" w:rsidRDefault="0087182A" w:rsidP="0087182A">
      <w:pPr>
        <w:pStyle w:val="BodyText"/>
      </w:pPr>
      <w:r w:rsidRPr="00D44CF2">
        <w:t xml:space="preserve">Voltage stability in the Murray River corridor was previously investigated under anticipated future solar connections. Analysis highlighted a risk </w:t>
      </w:r>
      <w:r w:rsidRPr="00D44CF2" w:rsidDel="00AF22C6">
        <w:t>that</w:t>
      </w:r>
      <w:r w:rsidRPr="00D44CF2">
        <w:t xml:space="preserve"> constraints to manage this limitation may have a greater impact if additional solar generation connects prior to commissioning of EnergyConnect, however this risk is significantly mitigated if the anticipated co-located generation and BESS projects are charging during high solar periods. </w:t>
      </w:r>
      <w:r w:rsidRPr="00D44CF2">
        <w:lastRenderedPageBreak/>
        <w:t xml:space="preserve">Beyond EnergyConnect, and based on the assumptions used in this 2025 VAPR, additional solar capacity is expected to be able to operate with reduced challenges of voltage stability during periods when market conditions allow the additional export capacity to be used. Despite the reduced impact and status of this limitation, AVP is considering this limitation alongside its Red Cliffs – Wemen – Kerang transfer capacity feasibility studies, as described in Section 3.1.5.  </w:t>
      </w:r>
    </w:p>
    <w:p w14:paraId="751FFFDF" w14:textId="77777777" w:rsidR="0087182A" w:rsidRPr="00D44CF2" w:rsidRDefault="0087182A" w:rsidP="0087182A">
      <w:pPr>
        <w:pStyle w:val="Heading4"/>
      </w:pPr>
      <w:r w:rsidRPr="00D44CF2">
        <w:t>South West Victoria Corridor</w:t>
      </w:r>
    </w:p>
    <w:p w14:paraId="67A80C30" w14:textId="77777777" w:rsidR="0087182A" w:rsidRPr="00D44CF2" w:rsidRDefault="0087182A" w:rsidP="0087182A">
      <w:pPr>
        <w:pStyle w:val="BodyText"/>
      </w:pPr>
      <w:r w:rsidRPr="00D44CF2">
        <w:t>Voltage collapse in South West Victoria due to additional generator connections and under high import from South Australia has been managed by applying a constraint since August 2022. In 2024-25, this constraint bound for 305 hours, ranking thirteenth in AVP’s constraint impact assessment</w:t>
      </w:r>
      <w:r w:rsidRPr="00D44CF2">
        <w:rPr>
          <w:rStyle w:val="FootnoteReference"/>
        </w:rPr>
        <w:footnoteReference w:id="91"/>
      </w:r>
      <w:r w:rsidRPr="00D44CF2">
        <w:t>.</w:t>
      </w:r>
    </w:p>
    <w:p w14:paraId="34E88925" w14:textId="474EEE25" w:rsidR="0087182A" w:rsidRPr="00D44CF2" w:rsidRDefault="0087182A" w:rsidP="0087182A">
      <w:pPr>
        <w:pStyle w:val="BodyText"/>
      </w:pPr>
      <w:r w:rsidRPr="00D44CF2">
        <w:t xml:space="preserve">In July 2024, the new </w:t>
      </w:r>
      <w:r w:rsidR="00150A11" w:rsidRPr="00D44CF2">
        <w:t>CRTS</w:t>
      </w:r>
      <w:r w:rsidRPr="00D44CF2">
        <w:t xml:space="preserve"> was connected as part of Stage 1 of Golden Plains Wind Farm, which is anticipated to be completed in 2025. Completion of </w:t>
      </w:r>
      <w:r w:rsidR="00150A11" w:rsidRPr="00D44CF2">
        <w:t>CRTS</w:t>
      </w:r>
      <w:r w:rsidRPr="00D44CF2">
        <w:t xml:space="preserve"> is expected to improve voltage stability in South West Victoria.</w:t>
      </w:r>
    </w:p>
    <w:p w14:paraId="57E22602" w14:textId="2980C60C" w:rsidR="0087182A" w:rsidRPr="00D44CF2" w:rsidRDefault="0087182A" w:rsidP="0087182A">
      <w:pPr>
        <w:pStyle w:val="BodyText"/>
      </w:pPr>
      <w:r w:rsidRPr="00D44CF2">
        <w:t xml:space="preserve">As noted earlier in </w:t>
      </w:r>
      <w:r w:rsidR="00602330" w:rsidRPr="00D44CF2">
        <w:rPr>
          <w:b/>
        </w:rPr>
        <w:fldChar w:fldCharType="begin"/>
      </w:r>
      <w:r w:rsidR="00602330" w:rsidRPr="00D44CF2">
        <w:rPr>
          <w:b/>
        </w:rPr>
        <w:instrText xml:space="preserve"> REF _Ref211364582 \r \h  \* MERGEFORMAT </w:instrText>
      </w:r>
      <w:r w:rsidR="00602330" w:rsidRPr="00D44CF2">
        <w:rPr>
          <w:b/>
        </w:rPr>
      </w:r>
      <w:r w:rsidR="00602330" w:rsidRPr="00D44CF2">
        <w:rPr>
          <w:b/>
        </w:rPr>
        <w:fldChar w:fldCharType="separate"/>
      </w:r>
      <w:r w:rsidR="004973D2">
        <w:rPr>
          <w:b/>
        </w:rPr>
        <w:t>Table 6</w:t>
      </w:r>
      <w:r w:rsidR="00602330" w:rsidRPr="00D44CF2">
        <w:rPr>
          <w:b/>
        </w:rPr>
        <w:fldChar w:fldCharType="end"/>
      </w:r>
      <w:r w:rsidRPr="00D44CF2">
        <w:t xml:space="preserve">, the RDP Stage 1 project to turn in the existing Haunted Gully – Tarrone line at Mortlake was completed in 2025 and is also expected to improve voltage stability in South West Victoria. </w:t>
      </w:r>
    </w:p>
    <w:p w14:paraId="19D90534" w14:textId="05B9A0A0" w:rsidR="0087182A" w:rsidRPr="00D44CF2" w:rsidRDefault="0087182A" w:rsidP="0087182A">
      <w:pPr>
        <w:pStyle w:val="BodyText"/>
      </w:pPr>
      <w:r w:rsidRPr="00D44CF2">
        <w:t xml:space="preserve">AVP anticipates that these augmentations will be sufficient to prevent significant challenges managing voltage stability during system normal conditions under committed and anticipated future connections to the </w:t>
      </w:r>
      <w:r w:rsidR="002D6014" w:rsidRPr="00D44CF2">
        <w:t xml:space="preserve">South West </w:t>
      </w:r>
      <w:r w:rsidRPr="00D44CF2">
        <w:t>Victoria 500 kV network. Further significant development in South West Victoria may trigger a need for additional investigation and that may lead to augmentations.</w:t>
      </w:r>
    </w:p>
    <w:p w14:paraId="35A953A3" w14:textId="410CBBF5" w:rsidR="0087182A" w:rsidRPr="00D44CF2" w:rsidRDefault="0087182A" w:rsidP="0087182A">
      <w:pPr>
        <w:pStyle w:val="Heading3"/>
      </w:pPr>
      <w:r w:rsidRPr="00D44CF2">
        <w:t>Observations from inclusion of VTP projects</w:t>
      </w:r>
    </w:p>
    <w:p w14:paraId="3BFA7373" w14:textId="1D97031B" w:rsidR="0087182A" w:rsidRPr="00D44CF2" w:rsidRDefault="0087182A" w:rsidP="0087182A">
      <w:pPr>
        <w:pStyle w:val="BodyText"/>
        <w:rPr>
          <w:rFonts w:eastAsiaTheme="minorEastAsia"/>
        </w:rPr>
      </w:pPr>
      <w:r w:rsidRPr="00D44CF2">
        <w:rPr>
          <w:rFonts w:eastAsiaTheme="minorEastAsia"/>
        </w:rPr>
        <w:t>In August 2025, VicGrid published the VTP as a plan for developing Victoria’s REZs and the transmission infrastructure required to enable that development. The plan included an assessment of three candidate development pathways for developing the network, and selected CDP1 as preferred.</w:t>
      </w:r>
    </w:p>
    <w:p w14:paraId="122BD773" w14:textId="540BD2B8" w:rsidR="0087182A" w:rsidRPr="00D44CF2" w:rsidRDefault="0087182A" w:rsidP="0087182A">
      <w:r w:rsidRPr="00D44CF2">
        <w:t xml:space="preserve">AVP has conducted sensitivity studies extending over the next 10-year horizon to evaluate the impact of VicGrid’s preferred development pathway on Victoria’s transmission network. This assessment included the implementation of </w:t>
      </w:r>
      <w:r w:rsidR="00545AFE" w:rsidRPr="00D44CF2">
        <w:t>9.5</w:t>
      </w:r>
      <w:r w:rsidRPr="00D44CF2">
        <w:t xml:space="preserve"> </w:t>
      </w:r>
      <w:r w:rsidR="00545AFE" w:rsidRPr="00D44CF2">
        <w:t xml:space="preserve">GW </w:t>
      </w:r>
      <w:r w:rsidRPr="00D44CF2">
        <w:t>of new proposed REZ generation</w:t>
      </w:r>
      <w:r w:rsidR="00545AFE" w:rsidRPr="00D44CF2">
        <w:t xml:space="preserve"> (by 2035)</w:t>
      </w:r>
      <w:r w:rsidRPr="00D44CF2">
        <w:t xml:space="preserve"> and network augmentation projects as outlined in the VTP CDP1, in Table 2 of Appendix A2 in this VAPR.</w:t>
      </w:r>
    </w:p>
    <w:p w14:paraId="36F513FF" w14:textId="7B37FE05" w:rsidR="0087182A" w:rsidRPr="00D44CF2" w:rsidRDefault="0087182A" w:rsidP="0087182A">
      <w:r w:rsidRPr="00D44CF2">
        <w:t xml:space="preserve">Through the sensitivity studies performed, AVP has not identified any new limitations arising from the implementation of the VicGrid VTP network strengthening program. AVP has identified that implementation of VicGrid programs will contribute to addressing existing limitations, as shown in </w:t>
      </w:r>
      <w:r w:rsidRPr="00D44CF2">
        <w:rPr>
          <w:b/>
          <w:bCs/>
        </w:rPr>
        <w:fldChar w:fldCharType="begin"/>
      </w:r>
      <w:r w:rsidRPr="00D44CF2">
        <w:rPr>
          <w:b/>
          <w:bCs/>
        </w:rPr>
        <w:instrText xml:space="preserve"> REF _Ref207877448 \r \h  \* MERGEFORMAT </w:instrText>
      </w:r>
      <w:r w:rsidRPr="00D44CF2">
        <w:rPr>
          <w:b/>
          <w:bCs/>
        </w:rPr>
      </w:r>
      <w:r w:rsidRPr="00D44CF2">
        <w:rPr>
          <w:b/>
          <w:bCs/>
        </w:rPr>
        <w:fldChar w:fldCharType="separate"/>
      </w:r>
      <w:r w:rsidR="004973D2">
        <w:rPr>
          <w:b/>
          <w:bCs/>
        </w:rPr>
        <w:t>Figure 31</w:t>
      </w:r>
      <w:r w:rsidRPr="00D44CF2">
        <w:rPr>
          <w:b/>
          <w:bCs/>
        </w:rPr>
        <w:fldChar w:fldCharType="end"/>
      </w:r>
      <w:r w:rsidRPr="00D44CF2">
        <w:t>.</w:t>
      </w:r>
    </w:p>
    <w:p w14:paraId="730CE078" w14:textId="02702F8B" w:rsidR="0087182A" w:rsidRPr="00D44CF2" w:rsidRDefault="0087182A" w:rsidP="0087182A">
      <w:pPr>
        <w:pStyle w:val="CaptionFigure"/>
      </w:pPr>
      <w:bookmarkStart w:id="255" w:name="_Ref207877448"/>
      <w:bookmarkStart w:id="256" w:name="_Toc212023365"/>
      <w:r w:rsidRPr="00D44CF2">
        <w:lastRenderedPageBreak/>
        <w:t>Impact of VicGrid VTP programs on existing limitations</w:t>
      </w:r>
      <w:bookmarkEnd w:id="255"/>
      <w:bookmarkEnd w:id="256"/>
    </w:p>
    <w:p w14:paraId="666BB584" w14:textId="7A9DBEB9" w:rsidR="00CF1965" w:rsidRPr="00D44CF2" w:rsidRDefault="000863A5" w:rsidP="00CF1965">
      <w:pPr>
        <w:pStyle w:val="BodyText"/>
      </w:pPr>
      <w:r w:rsidRPr="00D44CF2">
        <w:rPr>
          <w:noProof/>
        </w:rPr>
        <w:drawing>
          <wp:inline distT="0" distB="0" distL="0" distR="0" wp14:anchorId="10AAB73F" wp14:editId="621BE23B">
            <wp:extent cx="6409055" cy="4451985"/>
            <wp:effectExtent l="0" t="0" r="0" b="5715"/>
            <wp:docPr id="38480278"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0278" name="Picture 1" descr="A map of the united states&#10;&#10;AI-generated content may be incorrect."/>
                    <pic:cNvPicPr/>
                  </pic:nvPicPr>
                  <pic:blipFill>
                    <a:blip r:embed="rId86"/>
                    <a:stretch>
                      <a:fillRect/>
                    </a:stretch>
                  </pic:blipFill>
                  <pic:spPr>
                    <a:xfrm>
                      <a:off x="0" y="0"/>
                      <a:ext cx="6409055" cy="4451985"/>
                    </a:xfrm>
                    <a:prstGeom prst="rect">
                      <a:avLst/>
                    </a:prstGeom>
                  </pic:spPr>
                </pic:pic>
              </a:graphicData>
            </a:graphic>
          </wp:inline>
        </w:drawing>
      </w:r>
    </w:p>
    <w:p w14:paraId="054CF14F" w14:textId="77777777" w:rsidR="0087182A" w:rsidRPr="00D44CF2" w:rsidRDefault="0087182A" w:rsidP="0087182A">
      <w:pPr>
        <w:pStyle w:val="Heading3"/>
      </w:pPr>
      <w:r w:rsidRPr="00D44CF2">
        <w:t>Scenario analysis of large load connections</w:t>
      </w:r>
    </w:p>
    <w:p w14:paraId="73D2129A" w14:textId="7541DF39" w:rsidR="0087182A" w:rsidRPr="00D44CF2" w:rsidRDefault="0087182A" w:rsidP="0087182A">
      <w:pPr>
        <w:pStyle w:val="BodyText"/>
        <w:rPr>
          <w:rFonts w:eastAsiaTheme="minorEastAsia"/>
        </w:rPr>
      </w:pPr>
      <w:r w:rsidRPr="00D44CF2">
        <w:rPr>
          <w:rFonts w:eastAsiaTheme="minorEastAsia"/>
        </w:rPr>
        <w:t>In recent history the Victorian DSN has not seen large step changes in load, with very few transmission</w:t>
      </w:r>
      <w:r w:rsidRPr="00D44CF2">
        <w:rPr>
          <w:rFonts w:eastAsiaTheme="minorEastAsia"/>
        </w:rPr>
        <w:noBreakHyphen/>
        <w:t>connected customers being added to the network; the most notable recent load connection was for the desalinisation plant in Wonthaggi. With recent changes in technology, there is interest in both hydrogen electrolysers and data centres connecting to the transmission network, and both technologies typically have high load factors. Connecting a large amount of additional load to the network can result in supply and network capacity challenges at peak times, however the network can also benefit from these loads during periods of minimum demand.</w:t>
      </w:r>
    </w:p>
    <w:p w14:paraId="5D2092E8" w14:textId="5F88764E" w:rsidR="0087182A" w:rsidRPr="00D44CF2" w:rsidRDefault="0087182A" w:rsidP="0087182A">
      <w:pPr>
        <w:pStyle w:val="BodyText"/>
        <w:spacing w:before="0" w:after="160" w:line="276" w:lineRule="auto"/>
        <w:rPr>
          <w:rFonts w:eastAsiaTheme="minorEastAsia"/>
        </w:rPr>
      </w:pPr>
      <w:r w:rsidRPr="00D44CF2">
        <w:rPr>
          <w:rFonts w:eastAsiaTheme="minorEastAsia"/>
        </w:rPr>
        <w:t>Throughout 2024-25, AVP received over 18 GW of large load connection enquiries. The majority of those enquiries related to data centres in the western and northern metropolitan Melbourne areas, with a small amount of interest in south</w:t>
      </w:r>
      <w:r w:rsidRPr="00D44CF2">
        <w:rPr>
          <w:rFonts w:eastAsiaTheme="minorEastAsia"/>
        </w:rPr>
        <w:noBreakHyphen/>
        <w:t>eastern metropolitan Melbourne. The 2025 ESOO forecast approximately 1 GW of additional data centre load in Victoria by 2035. AVP does not anticipate that all the connection enquiry interest will eventuate within the 10</w:t>
      </w:r>
      <w:r w:rsidRPr="00D44CF2">
        <w:rPr>
          <w:rFonts w:eastAsiaTheme="minorEastAsia"/>
          <w:szCs w:val="20"/>
        </w:rPr>
        <w:noBreakHyphen/>
      </w:r>
      <w:r w:rsidRPr="00D44CF2">
        <w:rPr>
          <w:rFonts w:eastAsiaTheme="minorEastAsia"/>
        </w:rPr>
        <w:t xml:space="preserve">year planning horizon. If all the large load connections did intend to proceed within the planning horizon, the maximum demand for Victoria would more than double and it would not be possible to build the required generation and transmission infrastructure to reliably support the additional demand. </w:t>
      </w:r>
    </w:p>
    <w:p w14:paraId="45B0BCF3" w14:textId="77777777" w:rsidR="0087182A" w:rsidRPr="00D44CF2" w:rsidRDefault="0087182A" w:rsidP="0087182A">
      <w:pPr>
        <w:pStyle w:val="BodyText"/>
        <w:rPr>
          <w:rFonts w:eastAsiaTheme="minorEastAsia"/>
        </w:rPr>
      </w:pPr>
      <w:r w:rsidRPr="00D44CF2">
        <w:rPr>
          <w:rFonts w:eastAsiaTheme="minorEastAsia"/>
          <w:szCs w:val="20"/>
        </w:rPr>
        <w:t>As most interest is in western and northern metropolitan Melbourne, where there are already existing limitations, AVP expects network augmentation will be required to facilitate many of the proposed connections.</w:t>
      </w:r>
    </w:p>
    <w:p w14:paraId="284D9AFC" w14:textId="66AEEA22" w:rsidR="0087182A" w:rsidRPr="00D44CF2" w:rsidRDefault="0087182A" w:rsidP="0087182A">
      <w:pPr>
        <w:pStyle w:val="BodyText"/>
        <w:rPr>
          <w:rFonts w:eastAsiaTheme="minorEastAsia"/>
        </w:rPr>
      </w:pPr>
      <w:r w:rsidRPr="00D44CF2">
        <w:rPr>
          <w:rFonts w:eastAsiaTheme="minorEastAsia"/>
        </w:rPr>
        <w:lastRenderedPageBreak/>
        <w:t>With so many enquiries and no certainty as to which enquiries will proceed, AVP has conducted scenario analysis to identify the possible future transmission augmentations that could be completed to facilitate increased demand in the western and northern metropolitan Melbourne network. These studies are to ensure that when transmission augmentations in the western and norther</w:t>
      </w:r>
      <w:r w:rsidR="00B72508" w:rsidRPr="00D44CF2">
        <w:rPr>
          <w:rFonts w:eastAsiaTheme="minorEastAsia"/>
        </w:rPr>
        <w:t>n</w:t>
      </w:r>
      <w:r w:rsidRPr="00D44CF2">
        <w:rPr>
          <w:rFonts w:eastAsiaTheme="minorEastAsia"/>
        </w:rPr>
        <w:t xml:space="preserve"> metropolitan Melbourne are required to facilitate large load connections, the augmentation also supports existing Victorian consumers and aligns with AVPs plans for possible future network augmentations. This scenario analysis did not consider the additional generation infrastructure that would be required, or the additional transmission augmentations that would be needed to transfer the generated energy to the metropolitan area.  </w:t>
      </w:r>
    </w:p>
    <w:p w14:paraId="443F6DD1" w14:textId="0F90306F" w:rsidR="0087182A" w:rsidRPr="00D44CF2" w:rsidRDefault="0087182A" w:rsidP="0087182A">
      <w:pPr>
        <w:pStyle w:val="BodyText"/>
        <w:rPr>
          <w:rFonts w:eastAsiaTheme="minorEastAsia"/>
          <w:szCs w:val="20"/>
        </w:rPr>
      </w:pPr>
      <w:r w:rsidRPr="00D44CF2">
        <w:rPr>
          <w:rFonts w:eastAsiaTheme="minorEastAsia"/>
          <w:szCs w:val="20"/>
        </w:rPr>
        <w:t xml:space="preserve">The scenarios demonstrate that new large loads in specific network locations determined which augmentations would be recommended. Based on those locations, the demand groups that influence the augmentations are shown in </w:t>
      </w:r>
      <w:r w:rsidRPr="00D44CF2">
        <w:rPr>
          <w:rFonts w:eastAsiaTheme="minorEastAsia"/>
          <w:b/>
          <w:bCs/>
          <w:szCs w:val="20"/>
        </w:rPr>
        <w:fldChar w:fldCharType="begin"/>
      </w:r>
      <w:r w:rsidRPr="00D44CF2">
        <w:rPr>
          <w:rFonts w:eastAsiaTheme="minorEastAsia"/>
          <w:b/>
          <w:bCs/>
          <w:szCs w:val="20"/>
        </w:rPr>
        <w:instrText xml:space="preserve"> REF _Ref210671638 \r \h  \* MERGEFORMAT </w:instrText>
      </w:r>
      <w:r w:rsidRPr="00D44CF2">
        <w:rPr>
          <w:rFonts w:eastAsiaTheme="minorEastAsia"/>
          <w:b/>
          <w:bCs/>
          <w:szCs w:val="20"/>
        </w:rPr>
      </w:r>
      <w:r w:rsidRPr="00D44CF2">
        <w:rPr>
          <w:rFonts w:eastAsiaTheme="minorEastAsia"/>
          <w:b/>
          <w:bCs/>
          <w:szCs w:val="20"/>
        </w:rPr>
        <w:fldChar w:fldCharType="separate"/>
      </w:r>
      <w:r w:rsidR="004973D2">
        <w:rPr>
          <w:rFonts w:eastAsiaTheme="minorEastAsia"/>
          <w:b/>
          <w:bCs/>
          <w:szCs w:val="20"/>
        </w:rPr>
        <w:t>Table 14</w:t>
      </w:r>
      <w:r w:rsidRPr="00D44CF2">
        <w:rPr>
          <w:rFonts w:eastAsiaTheme="minorEastAsia"/>
          <w:b/>
          <w:bCs/>
          <w:szCs w:val="20"/>
        </w:rPr>
        <w:fldChar w:fldCharType="end"/>
      </w:r>
      <w:r w:rsidRPr="00D44CF2">
        <w:rPr>
          <w:rFonts w:eastAsiaTheme="minorEastAsia"/>
          <w:szCs w:val="20"/>
        </w:rPr>
        <w:t>.</w:t>
      </w:r>
    </w:p>
    <w:p w14:paraId="5064D493" w14:textId="77777777" w:rsidR="0087182A" w:rsidRPr="00D44CF2" w:rsidRDefault="0087182A" w:rsidP="0087182A">
      <w:pPr>
        <w:pStyle w:val="CaptionTable"/>
      </w:pPr>
      <w:bookmarkStart w:id="257" w:name="_Ref210671638"/>
      <w:bookmarkStart w:id="258" w:name="_Toc212023318"/>
      <w:r w:rsidRPr="00D44CF2">
        <w:t>Demand groups that influence augmentation options</w:t>
      </w:r>
      <w:bookmarkEnd w:id="257"/>
      <w:bookmarkEnd w:id="258"/>
    </w:p>
    <w:tbl>
      <w:tblPr>
        <w:tblStyle w:val="AEMO-Table4"/>
        <w:tblW w:w="5000" w:type="pct"/>
        <w:tblLook w:val="04A0" w:firstRow="1" w:lastRow="0" w:firstColumn="1" w:lastColumn="0" w:noHBand="0" w:noVBand="1"/>
      </w:tblPr>
      <w:tblGrid>
        <w:gridCol w:w="477"/>
        <w:gridCol w:w="6853"/>
        <w:gridCol w:w="2763"/>
      </w:tblGrid>
      <w:tr w:rsidR="002E69BB" w:rsidRPr="00D44CF2" w14:paraId="1ED55193"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 w:type="pct"/>
          </w:tcPr>
          <w:p w14:paraId="473BE996" w14:textId="77777777" w:rsidR="0087182A" w:rsidRPr="00D44CF2" w:rsidRDefault="0087182A" w:rsidP="001A3F5B">
            <w:pPr>
              <w:pStyle w:val="TableText"/>
            </w:pPr>
            <w:r w:rsidRPr="00D44CF2">
              <w:t>#</w:t>
            </w:r>
          </w:p>
        </w:tc>
        <w:tc>
          <w:tcPr>
            <w:tcW w:w="3395" w:type="pct"/>
          </w:tcPr>
          <w:p w14:paraId="607D05B1"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Demand group</w:t>
            </w:r>
          </w:p>
        </w:tc>
        <w:tc>
          <w:tcPr>
            <w:tcW w:w="1369" w:type="pct"/>
          </w:tcPr>
          <w:p w14:paraId="37504E36"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Demand range analysed (MW)</w:t>
            </w:r>
          </w:p>
        </w:tc>
      </w:tr>
      <w:tr w:rsidR="0087182A" w:rsidRPr="00D44CF2" w14:paraId="3C254B08"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236" w:type="pct"/>
          </w:tcPr>
          <w:p w14:paraId="78A733B7" w14:textId="77777777" w:rsidR="0087182A" w:rsidRPr="00D44CF2" w:rsidRDefault="0087182A" w:rsidP="001A3F5B">
            <w:pPr>
              <w:pStyle w:val="TableText"/>
            </w:pPr>
            <w:r w:rsidRPr="00D44CF2">
              <w:t>A</w:t>
            </w:r>
          </w:p>
        </w:tc>
        <w:tc>
          <w:tcPr>
            <w:tcW w:w="3395" w:type="pct"/>
          </w:tcPr>
          <w:p w14:paraId="4177DFFA"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New connections to Keilor’s Western 220 kV bus group (Buses 1-3)</w:t>
            </w:r>
          </w:p>
        </w:tc>
        <w:tc>
          <w:tcPr>
            <w:tcW w:w="1369" w:type="pct"/>
          </w:tcPr>
          <w:p w14:paraId="2ED8544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rPr>
                <w:rFonts w:ascii="Arial Nova" w:eastAsia="Arial Nova" w:hAnsi="Arial Nova"/>
                <w:szCs w:val="16"/>
              </w:rPr>
              <w:t>1,000-3,500</w:t>
            </w:r>
          </w:p>
        </w:tc>
      </w:tr>
      <w:tr w:rsidR="0087182A" w:rsidRPr="00D44CF2" w14:paraId="22219BB7"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236" w:type="pct"/>
          </w:tcPr>
          <w:p w14:paraId="7DBC50B0" w14:textId="77777777" w:rsidR="0087182A" w:rsidRPr="00D44CF2" w:rsidRDefault="0087182A" w:rsidP="001A3F5B">
            <w:pPr>
              <w:pStyle w:val="TableText"/>
            </w:pPr>
            <w:r w:rsidRPr="00D44CF2">
              <w:t>B</w:t>
            </w:r>
          </w:p>
        </w:tc>
        <w:tc>
          <w:tcPr>
            <w:tcW w:w="3395" w:type="pct"/>
          </w:tcPr>
          <w:p w14:paraId="3C70678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New connections to Keilor’s Eastern 220 kV bus group (Bus 2)</w:t>
            </w:r>
          </w:p>
        </w:tc>
        <w:tc>
          <w:tcPr>
            <w:tcW w:w="1369" w:type="pct"/>
          </w:tcPr>
          <w:p w14:paraId="3F40559F"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rPr>
                <w:rFonts w:ascii="Arial Nova" w:eastAsia="Arial Nova" w:hAnsi="Arial Nova"/>
                <w:szCs w:val="16"/>
              </w:rPr>
            </w:pPr>
            <w:r w:rsidRPr="00D44CF2">
              <w:rPr>
                <w:rFonts w:ascii="Arial Nova" w:eastAsia="Arial Nova" w:hAnsi="Arial Nova"/>
                <w:szCs w:val="16"/>
              </w:rPr>
              <w:t>1,000-2,500</w:t>
            </w:r>
          </w:p>
        </w:tc>
      </w:tr>
      <w:tr w:rsidR="0087182A" w:rsidRPr="00D44CF2" w14:paraId="164CEA00"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236" w:type="pct"/>
          </w:tcPr>
          <w:p w14:paraId="7E5F84FB" w14:textId="77777777" w:rsidR="0087182A" w:rsidRPr="00D44CF2" w:rsidRDefault="0087182A" w:rsidP="001A3F5B">
            <w:pPr>
              <w:pStyle w:val="TableText"/>
            </w:pPr>
            <w:r w:rsidRPr="00D44CF2">
              <w:t>C</w:t>
            </w:r>
          </w:p>
        </w:tc>
        <w:tc>
          <w:tcPr>
            <w:tcW w:w="3395" w:type="pct"/>
          </w:tcPr>
          <w:p w14:paraId="317D98A8"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New connections to South Morang 220 kV</w:t>
            </w:r>
          </w:p>
        </w:tc>
        <w:tc>
          <w:tcPr>
            <w:tcW w:w="1369" w:type="pct"/>
          </w:tcPr>
          <w:p w14:paraId="3A56281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rPr>
                <w:rFonts w:ascii="Arial Nova" w:eastAsia="Arial Nova" w:hAnsi="Arial Nova"/>
                <w:szCs w:val="16"/>
              </w:rPr>
            </w:pPr>
            <w:r w:rsidRPr="00D44CF2">
              <w:rPr>
                <w:rFonts w:ascii="Arial Nova" w:eastAsia="Arial Nova" w:hAnsi="Arial Nova"/>
                <w:szCs w:val="16"/>
              </w:rPr>
              <w:t>500-1,000</w:t>
            </w:r>
          </w:p>
        </w:tc>
      </w:tr>
      <w:tr w:rsidR="0087182A" w:rsidRPr="00D44CF2" w14:paraId="168279E6"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236" w:type="pct"/>
          </w:tcPr>
          <w:p w14:paraId="1FB9CE34" w14:textId="77777777" w:rsidR="0087182A" w:rsidRPr="00D44CF2" w:rsidRDefault="0087182A" w:rsidP="001A3F5B">
            <w:pPr>
              <w:pStyle w:val="TableText"/>
            </w:pPr>
            <w:r w:rsidRPr="00D44CF2">
              <w:t>D</w:t>
            </w:r>
          </w:p>
        </w:tc>
        <w:tc>
          <w:tcPr>
            <w:tcW w:w="3395" w:type="pct"/>
          </w:tcPr>
          <w:p w14:paraId="3628705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New connections to proposed new terminal stations at Donnybrook (DBTS) Somerton (SOTS) and Truganina (TNTS)</w:t>
            </w:r>
          </w:p>
        </w:tc>
        <w:tc>
          <w:tcPr>
            <w:tcW w:w="1369" w:type="pct"/>
          </w:tcPr>
          <w:p w14:paraId="48699B95"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rPr>
                <w:rFonts w:ascii="Arial Nova" w:eastAsia="Arial Nova" w:hAnsi="Arial Nova"/>
                <w:szCs w:val="16"/>
              </w:rPr>
            </w:pPr>
            <w:r w:rsidRPr="00D44CF2">
              <w:rPr>
                <w:rFonts w:ascii="Arial Nova" w:eastAsia="Arial Nova" w:hAnsi="Arial Nova"/>
                <w:szCs w:val="16"/>
              </w:rPr>
              <w:t>3,000-8,000</w:t>
            </w:r>
          </w:p>
        </w:tc>
      </w:tr>
      <w:tr w:rsidR="0087182A" w:rsidRPr="00D44CF2" w14:paraId="4C619F0A"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236" w:type="pct"/>
          </w:tcPr>
          <w:p w14:paraId="268B2D12" w14:textId="77777777" w:rsidR="0087182A" w:rsidRPr="00D44CF2" w:rsidRDefault="0087182A" w:rsidP="001A3F5B">
            <w:pPr>
              <w:pStyle w:val="TableText"/>
            </w:pPr>
            <w:r w:rsidRPr="00D44CF2">
              <w:t>E</w:t>
            </w:r>
          </w:p>
        </w:tc>
        <w:tc>
          <w:tcPr>
            <w:tcW w:w="3395" w:type="pct"/>
          </w:tcPr>
          <w:p w14:paraId="444CCE13"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Aggregate of all connections in the other demand groups</w:t>
            </w:r>
          </w:p>
        </w:tc>
        <w:tc>
          <w:tcPr>
            <w:tcW w:w="1369" w:type="pct"/>
          </w:tcPr>
          <w:p w14:paraId="518A9421"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rPr>
                <w:rFonts w:ascii="Arial Nova" w:eastAsia="Arial Nova" w:hAnsi="Arial Nova"/>
                <w:szCs w:val="16"/>
              </w:rPr>
            </w:pPr>
            <w:r w:rsidRPr="00D44CF2">
              <w:rPr>
                <w:rFonts w:ascii="Arial Nova" w:eastAsia="Arial Nova" w:hAnsi="Arial Nova"/>
                <w:szCs w:val="16"/>
              </w:rPr>
              <w:t>5,500-13,000</w:t>
            </w:r>
            <w:r w:rsidRPr="00D44CF2">
              <w:rPr>
                <w:rFonts w:ascii="Arial Nova" w:eastAsia="Arial Nova" w:hAnsi="Arial Nova"/>
                <w:szCs w:val="16"/>
                <w:vertAlign w:val="superscript"/>
              </w:rPr>
              <w:t>A</w:t>
            </w:r>
          </w:p>
        </w:tc>
      </w:tr>
    </w:tbl>
    <w:p w14:paraId="581F0F6F" w14:textId="34EE7F99" w:rsidR="0087182A" w:rsidRPr="00D44CF2" w:rsidRDefault="0087182A" w:rsidP="0087182A">
      <w:pPr>
        <w:pStyle w:val="TableFigureFootnote"/>
      </w:pPr>
      <w:r w:rsidRPr="00D44CF2">
        <w:t>A. Some demands in rows A-D may be shared between the different groups (particularly the existing stations and new stations) depending on how connections are modelled</w:t>
      </w:r>
      <w:r w:rsidR="009D04EA" w:rsidRPr="00D44CF2">
        <w:t>;</w:t>
      </w:r>
      <w:r w:rsidRPr="00D44CF2">
        <w:t xml:space="preserve"> any duplication of demands has been accounted for</w:t>
      </w:r>
      <w:r w:rsidR="009D04EA" w:rsidRPr="00D44CF2">
        <w:t>,</w:t>
      </w:r>
      <w:r w:rsidRPr="00D44CF2">
        <w:t xml:space="preserve"> </w:t>
      </w:r>
      <w:r w:rsidR="009D04EA" w:rsidRPr="00D44CF2">
        <w:t>reducing</w:t>
      </w:r>
      <w:r w:rsidRPr="00D44CF2">
        <w:t xml:space="preserve"> the total to less than the sum of all listed demands.</w:t>
      </w:r>
    </w:p>
    <w:p w14:paraId="3A9FF622" w14:textId="4B703723" w:rsidR="0087182A" w:rsidRPr="00D44CF2" w:rsidRDefault="0087182A" w:rsidP="0087182A">
      <w:pPr>
        <w:pStyle w:val="BodyText"/>
        <w:rPr>
          <w:rFonts w:eastAsiaTheme="minorEastAsia"/>
        </w:rPr>
      </w:pPr>
      <w:r w:rsidRPr="00D44CF2">
        <w:rPr>
          <w:rFonts w:eastAsiaTheme="minorEastAsia"/>
        </w:rPr>
        <w:t xml:space="preserve">From the analysis, AVP identified the transmission augmentations shown below in </w:t>
      </w:r>
      <w:r w:rsidRPr="00D44CF2">
        <w:rPr>
          <w:rFonts w:eastAsiaTheme="minorEastAsia"/>
          <w:b/>
          <w:bCs/>
        </w:rPr>
        <w:fldChar w:fldCharType="begin"/>
      </w:r>
      <w:r w:rsidRPr="00D44CF2">
        <w:rPr>
          <w:rFonts w:eastAsiaTheme="minorEastAsia"/>
          <w:b/>
          <w:bCs/>
        </w:rPr>
        <w:instrText xml:space="preserve"> REF _Ref208411245 \r \h </w:instrText>
      </w:r>
      <w:r w:rsidRPr="00D44CF2">
        <w:rPr>
          <w:rFonts w:eastAsiaTheme="minorEastAsia"/>
          <w:b/>
        </w:rPr>
        <w:instrText xml:space="preserve"> </w:instrText>
      </w:r>
      <w:r w:rsidRPr="00D44CF2">
        <w:rPr>
          <w:rFonts w:eastAsiaTheme="minorEastAsia"/>
          <w:b/>
          <w:bCs/>
        </w:rPr>
        <w:instrText xml:space="preserve">\* MERGEFORMAT </w:instrText>
      </w:r>
      <w:r w:rsidRPr="00D44CF2">
        <w:rPr>
          <w:rFonts w:eastAsiaTheme="minorEastAsia"/>
          <w:b/>
          <w:bCs/>
        </w:rPr>
      </w:r>
      <w:r w:rsidRPr="00D44CF2">
        <w:rPr>
          <w:rFonts w:eastAsiaTheme="minorEastAsia"/>
          <w:b/>
          <w:bCs/>
        </w:rPr>
        <w:fldChar w:fldCharType="separate"/>
      </w:r>
      <w:r w:rsidR="004973D2">
        <w:rPr>
          <w:rFonts w:eastAsiaTheme="minorEastAsia"/>
          <w:b/>
          <w:bCs/>
        </w:rPr>
        <w:t>Figure 32</w:t>
      </w:r>
      <w:r w:rsidRPr="00D44CF2">
        <w:rPr>
          <w:rFonts w:eastAsiaTheme="minorEastAsia"/>
          <w:b/>
          <w:bCs/>
        </w:rPr>
        <w:fldChar w:fldCharType="end"/>
      </w:r>
      <w:r w:rsidRPr="00D44CF2">
        <w:rPr>
          <w:rStyle w:val="FootnoteReference"/>
          <w:rFonts w:eastAsiaTheme="minorEastAsia"/>
        </w:rPr>
        <w:footnoteReference w:id="92"/>
      </w:r>
      <w:r w:rsidRPr="00D44CF2">
        <w:rPr>
          <w:rFonts w:eastAsiaTheme="minorEastAsia"/>
        </w:rPr>
        <w:t xml:space="preserve">. Selection of transmission augmentations would be based on the needs of projects that proceed, and as connection inquiries may change in future, additional projects may be required.  </w:t>
      </w:r>
    </w:p>
    <w:p w14:paraId="0C690125" w14:textId="77777777" w:rsidR="0087182A" w:rsidRDefault="0087182A" w:rsidP="0087182A">
      <w:pPr>
        <w:pStyle w:val="BodyText"/>
      </w:pPr>
      <w:r w:rsidRPr="00D44CF2">
        <w:t>Beyond the options identified, it is also possible that connection proponents may establish substations in other locations that are not using existing easements or land already planned for DSN terminal stations. These sites, if included in the DSN, could also be used to facilitate connection to other additional sites or help enable the introduction of new line routes.</w:t>
      </w:r>
    </w:p>
    <w:p w14:paraId="79D42BB5" w14:textId="77777777" w:rsidR="005577C0" w:rsidRPr="00296D15" w:rsidRDefault="005577C0">
      <w:pPr>
        <w:pStyle w:val="BodyText"/>
        <w:rPr>
          <w:lang w:eastAsia="en-AU"/>
        </w:rPr>
      </w:pPr>
      <w:bookmarkStart w:id="259" w:name="_Toc210745507"/>
    </w:p>
    <w:p w14:paraId="25B243E7" w14:textId="5490E81B" w:rsidR="005577C0" w:rsidRDefault="005577C0">
      <w:pPr>
        <w:pStyle w:val="BodyText"/>
        <w:sectPr w:rsidR="005577C0" w:rsidSect="005577C0">
          <w:headerReference w:type="default" r:id="rId87"/>
          <w:footerReference w:type="default" r:id="rId88"/>
          <w:pgSz w:w="11907" w:h="16840" w:code="9"/>
          <w:pgMar w:top="1985" w:right="907" w:bottom="1418" w:left="907" w:header="788" w:footer="471" w:gutter="0"/>
          <w:cols w:space="708"/>
          <w:docGrid w:linePitch="360"/>
        </w:sectPr>
      </w:pPr>
    </w:p>
    <w:p w14:paraId="706DC5A3" w14:textId="77777777" w:rsidR="005577C0" w:rsidRDefault="005577C0" w:rsidP="00D06F1E">
      <w:pPr>
        <w:pStyle w:val="CaptionFigure"/>
        <w:rPr>
          <w:noProof/>
        </w:rPr>
      </w:pPr>
      <w:bookmarkStart w:id="260" w:name="_Ref208411245"/>
      <w:bookmarkStart w:id="261" w:name="_Toc212023366"/>
      <w:r w:rsidRPr="00D44CF2">
        <w:lastRenderedPageBreak/>
        <w:t xml:space="preserve">Possible transmission augmentations </w:t>
      </w:r>
      <w:r w:rsidRPr="00D06F1E">
        <w:t>to</w:t>
      </w:r>
      <w:r w:rsidRPr="00D44CF2">
        <w:t xml:space="preserve"> meet needs of large load connections</w:t>
      </w:r>
      <w:bookmarkEnd w:id="260"/>
      <w:bookmarkEnd w:id="2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0"/>
        <w:gridCol w:w="8446"/>
      </w:tblGrid>
      <w:tr w:rsidR="003405D3" w14:paraId="14490DB6" w14:textId="77777777" w:rsidTr="00C614CD">
        <w:tc>
          <w:tcPr>
            <w:tcW w:w="7513" w:type="dxa"/>
          </w:tcPr>
          <w:p w14:paraId="1CD9F328" w14:textId="625873FF" w:rsidR="00D407EA" w:rsidRDefault="00D407EA" w:rsidP="00AB5F6F">
            <w:pPr>
              <w:pStyle w:val="BodyText"/>
              <w:spacing w:before="0"/>
              <w:ind w:left="-108"/>
            </w:pPr>
            <w:r w:rsidRPr="00D44CF2">
              <w:rPr>
                <w:noProof/>
              </w:rPr>
              <w:drawing>
                <wp:inline distT="0" distB="0" distL="0" distR="0" wp14:anchorId="7666E6FC" wp14:editId="6FC07132">
                  <wp:extent cx="4132053" cy="3885485"/>
                  <wp:effectExtent l="0" t="0" r="1905" b="1270"/>
                  <wp:docPr id="917678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5659" cy="3917086"/>
                          </a:xfrm>
                          <a:prstGeom prst="rect">
                            <a:avLst/>
                          </a:prstGeom>
                          <a:noFill/>
                        </pic:spPr>
                      </pic:pic>
                    </a:graphicData>
                  </a:graphic>
                </wp:inline>
              </w:drawing>
            </w:r>
          </w:p>
        </w:tc>
        <w:tc>
          <w:tcPr>
            <w:tcW w:w="7513" w:type="dxa"/>
          </w:tcPr>
          <w:p w14:paraId="7051FC4D" w14:textId="64F3BE39" w:rsidR="00D407EA" w:rsidRDefault="00D407EA" w:rsidP="00AB5F6F">
            <w:pPr>
              <w:pStyle w:val="BodyText"/>
              <w:spacing w:before="0"/>
            </w:pPr>
            <w:r w:rsidRPr="00D44CF2">
              <w:rPr>
                <w:noProof/>
              </w:rPr>
              <w:drawing>
                <wp:inline distT="0" distB="0" distL="0" distR="0" wp14:anchorId="75D58F68" wp14:editId="544BF6DC">
                  <wp:extent cx="5253173" cy="3989168"/>
                  <wp:effectExtent l="0" t="0" r="5080" b="0"/>
                  <wp:docPr id="1079689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0796" cy="4010145"/>
                          </a:xfrm>
                          <a:prstGeom prst="rect">
                            <a:avLst/>
                          </a:prstGeom>
                          <a:noFill/>
                        </pic:spPr>
                      </pic:pic>
                    </a:graphicData>
                  </a:graphic>
                </wp:inline>
              </w:drawing>
            </w:r>
          </w:p>
        </w:tc>
      </w:tr>
    </w:tbl>
    <w:p w14:paraId="49CDEF61" w14:textId="77777777" w:rsidR="005577C0" w:rsidRDefault="005577C0">
      <w:pPr>
        <w:pStyle w:val="BodyText"/>
      </w:pPr>
    </w:p>
    <w:p w14:paraId="7C652E48" w14:textId="77777777" w:rsidR="005577C0" w:rsidRDefault="005577C0">
      <w:pPr>
        <w:pStyle w:val="BodyText"/>
        <w:sectPr w:rsidR="005577C0" w:rsidSect="005577C0">
          <w:headerReference w:type="default" r:id="rId91"/>
          <w:footerReference w:type="default" r:id="rId92"/>
          <w:pgSz w:w="16840" w:h="11907" w:orient="landscape" w:code="9"/>
          <w:pgMar w:top="1985" w:right="907" w:bottom="1418" w:left="907" w:header="788" w:footer="471" w:gutter="0"/>
          <w:cols w:space="708"/>
          <w:docGrid w:linePitch="360"/>
        </w:sectPr>
      </w:pPr>
    </w:p>
    <w:bookmarkEnd w:id="259"/>
    <w:p w14:paraId="7CD896A2" w14:textId="77873E97" w:rsidR="0087182A" w:rsidRPr="00D44CF2" w:rsidRDefault="0087182A" w:rsidP="0087182A">
      <w:pPr>
        <w:pStyle w:val="Heading3"/>
      </w:pPr>
      <w:r w:rsidRPr="00D44CF2">
        <w:lastRenderedPageBreak/>
        <w:t>Maximum contingency size investigations</w:t>
      </w:r>
    </w:p>
    <w:p w14:paraId="5F087AF1" w14:textId="4D9A218B" w:rsidR="007402E8" w:rsidRPr="00D44CF2" w:rsidRDefault="0087182A" w:rsidP="0087182A">
      <w:pPr>
        <w:pStyle w:val="BodyText"/>
        <w:rPr>
          <w:rFonts w:eastAsiaTheme="minorEastAsia"/>
        </w:rPr>
      </w:pPr>
      <w:r w:rsidRPr="00D44CF2">
        <w:rPr>
          <w:rFonts w:eastAsiaTheme="minorEastAsia"/>
        </w:rPr>
        <w:t xml:space="preserve">As discussed in Section 3.1 of the </w:t>
      </w:r>
      <w:r w:rsidR="00E43225" w:rsidRPr="00D44CF2">
        <w:rPr>
          <w:rFonts w:eastAsiaTheme="minorEastAsia"/>
          <w:iCs/>
        </w:rPr>
        <w:t>VNPIR</w:t>
      </w:r>
      <w:r w:rsidRPr="00D44CF2">
        <w:rPr>
          <w:rFonts w:eastAsiaTheme="minorEastAsia"/>
        </w:rPr>
        <w:t xml:space="preserve">, </w:t>
      </w:r>
      <w:r w:rsidR="007402E8" w:rsidRPr="00D44CF2">
        <w:rPr>
          <w:rFonts w:eastAsiaTheme="minorEastAsia"/>
        </w:rPr>
        <w:t xml:space="preserve">during 2024-25, the Victorian transmission DSN had a maximum allowable generation or load contingency size limit of 600 MW applied to the network for the trip a single generator or load. These limits have been set based on the size of contingency the network can withstand while remaining stable, a review is currently underway to determine if larger limits can be set in the future.  </w:t>
      </w:r>
    </w:p>
    <w:p w14:paraId="1C17ACEE" w14:textId="39F71361" w:rsidR="0087182A" w:rsidRPr="00D44CF2" w:rsidRDefault="007402E8" w:rsidP="0087182A">
      <w:pPr>
        <w:pStyle w:val="BodyText"/>
        <w:rPr>
          <w:rFonts w:eastAsiaTheme="minorEastAsia"/>
        </w:rPr>
      </w:pPr>
      <w:r w:rsidRPr="00D44CF2">
        <w:rPr>
          <w:rFonts w:eastAsiaTheme="minorEastAsia"/>
        </w:rPr>
        <w:t xml:space="preserve">As part of the </w:t>
      </w:r>
      <w:r w:rsidR="00DE42C2" w:rsidRPr="00D44CF2">
        <w:rPr>
          <w:rFonts w:eastAsiaTheme="minorEastAsia"/>
        </w:rPr>
        <w:t xml:space="preserve">2025 </w:t>
      </w:r>
      <w:r w:rsidRPr="00D44CF2">
        <w:rPr>
          <w:rFonts w:eastAsiaTheme="minorEastAsia"/>
        </w:rPr>
        <w:t xml:space="preserve">VAPR, </w:t>
      </w:r>
      <w:r w:rsidR="0087182A" w:rsidRPr="00D44CF2">
        <w:rPr>
          <w:rFonts w:eastAsiaTheme="minorEastAsia"/>
        </w:rPr>
        <w:t xml:space="preserve">AVP investigated increasing the maximum allowable size of single generation or load contingencies on the network. This investigation performed scenario analysis on making larger than existing connections to the network at locations where there was adequate capacity. The scenarios were tested to identify if the capability of the network was diminished by having larger connections or if any instability was created.  </w:t>
      </w:r>
    </w:p>
    <w:p w14:paraId="5351E57A" w14:textId="168FFF80" w:rsidR="0087182A" w:rsidRPr="00D44CF2" w:rsidRDefault="0087182A" w:rsidP="639C54EF">
      <w:pPr>
        <w:pStyle w:val="BodyText"/>
        <w:rPr>
          <w:rFonts w:eastAsiaTheme="minorEastAsia"/>
        </w:rPr>
      </w:pPr>
      <w:r w:rsidRPr="00D44CF2">
        <w:rPr>
          <w:rFonts w:eastAsiaTheme="minorEastAsia"/>
        </w:rPr>
        <w:t>Based on these studies, AVP has determined that</w:t>
      </w:r>
      <w:r w:rsidR="001A5A0A" w:rsidRPr="00D44CF2">
        <w:rPr>
          <w:rFonts w:eastAsiaTheme="minorEastAsia"/>
        </w:rPr>
        <w:t xml:space="preserve"> in many cases it is possible to allow a 750 MW generator connection, however </w:t>
      </w:r>
      <w:r w:rsidR="00B21D3D" w:rsidRPr="00D44CF2">
        <w:rPr>
          <w:rFonts w:eastAsiaTheme="minorEastAsia"/>
        </w:rPr>
        <w:t>there are</w:t>
      </w:r>
      <w:r w:rsidRPr="00D44CF2">
        <w:rPr>
          <w:rFonts w:eastAsiaTheme="minorEastAsia"/>
        </w:rPr>
        <w:t xml:space="preserve"> location</w:t>
      </w:r>
      <w:r w:rsidR="00B21D3D" w:rsidRPr="00D44CF2">
        <w:rPr>
          <w:rFonts w:eastAsiaTheme="minorEastAsia"/>
        </w:rPr>
        <w:t>s where</w:t>
      </w:r>
      <w:r w:rsidRPr="00D44CF2">
        <w:rPr>
          <w:rFonts w:eastAsiaTheme="minorEastAsia"/>
        </w:rPr>
        <w:t xml:space="preserve"> a 750 MW contingency could cause a reduction in stable Victorian supportable demand</w:t>
      </w:r>
      <w:r w:rsidR="005521C3" w:rsidRPr="00D44CF2">
        <w:rPr>
          <w:rStyle w:val="FootnoteReference"/>
          <w:rFonts w:eastAsiaTheme="minorEastAsia"/>
        </w:rPr>
        <w:footnoteReference w:id="93"/>
      </w:r>
      <w:r w:rsidRPr="00D44CF2">
        <w:rPr>
          <w:rFonts w:eastAsiaTheme="minorEastAsia"/>
        </w:rPr>
        <w:t xml:space="preserve"> compared to </w:t>
      </w:r>
      <w:r w:rsidR="00C91C96" w:rsidRPr="00D44CF2">
        <w:rPr>
          <w:rFonts w:eastAsiaTheme="minorEastAsia"/>
        </w:rPr>
        <w:t>a</w:t>
      </w:r>
      <w:r w:rsidR="00CA4BBC" w:rsidRPr="00D44CF2">
        <w:rPr>
          <w:rFonts w:eastAsiaTheme="minorEastAsia"/>
        </w:rPr>
        <w:t>n</w:t>
      </w:r>
      <w:r w:rsidR="00C91C96" w:rsidRPr="00D44CF2">
        <w:rPr>
          <w:rFonts w:eastAsiaTheme="minorEastAsia"/>
        </w:rPr>
        <w:t xml:space="preserve"> </w:t>
      </w:r>
      <w:r w:rsidRPr="00D44CF2">
        <w:rPr>
          <w:rFonts w:eastAsiaTheme="minorEastAsia"/>
        </w:rPr>
        <w:t xml:space="preserve">existing 600 MW </w:t>
      </w:r>
      <w:r w:rsidR="00C91C96" w:rsidRPr="00D44CF2">
        <w:rPr>
          <w:rFonts w:eastAsiaTheme="minorEastAsia"/>
        </w:rPr>
        <w:t>generator</w:t>
      </w:r>
      <w:r w:rsidRPr="00D44CF2">
        <w:rPr>
          <w:rFonts w:eastAsiaTheme="minorEastAsia"/>
        </w:rPr>
        <w:t xml:space="preserve">. </w:t>
      </w:r>
      <w:r w:rsidR="00C91C96" w:rsidRPr="00D44CF2">
        <w:rPr>
          <w:rFonts w:eastAsiaTheme="minorEastAsia"/>
        </w:rPr>
        <w:t>Based on this</w:t>
      </w:r>
      <w:r w:rsidR="00CA4BBC" w:rsidRPr="00D44CF2">
        <w:rPr>
          <w:rFonts w:eastAsiaTheme="minorEastAsia"/>
        </w:rPr>
        <w:t>,</w:t>
      </w:r>
      <w:r w:rsidR="00C91C96" w:rsidRPr="00D44CF2">
        <w:rPr>
          <w:rFonts w:eastAsiaTheme="minorEastAsia"/>
        </w:rPr>
        <w:t xml:space="preserve"> AVP </w:t>
      </w:r>
      <w:r w:rsidR="00E5079B" w:rsidRPr="00D44CF2">
        <w:rPr>
          <w:rFonts w:eastAsiaTheme="minorEastAsia"/>
        </w:rPr>
        <w:t xml:space="preserve">will increase </w:t>
      </w:r>
      <w:r w:rsidR="00C91C96" w:rsidRPr="00D44CF2">
        <w:rPr>
          <w:rFonts w:eastAsiaTheme="minorEastAsia"/>
        </w:rPr>
        <w:t xml:space="preserve">to 750 MW </w:t>
      </w:r>
      <w:r w:rsidR="00E5079B" w:rsidRPr="00D44CF2">
        <w:rPr>
          <w:rFonts w:eastAsiaTheme="minorEastAsia"/>
        </w:rPr>
        <w:t xml:space="preserve">but require generator </w:t>
      </w:r>
      <w:r w:rsidR="00796C03" w:rsidRPr="00D44CF2">
        <w:rPr>
          <w:rFonts w:eastAsiaTheme="minorEastAsia"/>
        </w:rPr>
        <w:t>connections greater than 600 MW to undertake</w:t>
      </w:r>
      <w:r w:rsidRPr="00D44CF2">
        <w:rPr>
          <w:rFonts w:eastAsiaTheme="minorEastAsia"/>
        </w:rPr>
        <w:t xml:space="preserve"> further studies</w:t>
      </w:r>
      <w:r w:rsidR="00796C03" w:rsidRPr="00D44CF2">
        <w:rPr>
          <w:rFonts w:eastAsiaTheme="minorEastAsia"/>
        </w:rPr>
        <w:t>.</w:t>
      </w:r>
      <w:r w:rsidRPr="00D44CF2">
        <w:rPr>
          <w:rFonts w:eastAsiaTheme="minorEastAsia"/>
        </w:rPr>
        <w:t xml:space="preserve"> </w:t>
      </w:r>
      <w:r w:rsidR="00CF53E3" w:rsidRPr="00D44CF2">
        <w:rPr>
          <w:rFonts w:eastAsiaTheme="minorEastAsia"/>
        </w:rPr>
        <w:t xml:space="preserve">These studies would identify </w:t>
      </w:r>
      <w:r w:rsidRPr="00D44CF2">
        <w:rPr>
          <w:rFonts w:eastAsiaTheme="minorEastAsia"/>
        </w:rPr>
        <w:t xml:space="preserve">the </w:t>
      </w:r>
      <w:r w:rsidR="00CF53E3" w:rsidRPr="00D44CF2">
        <w:rPr>
          <w:rFonts w:eastAsiaTheme="minorEastAsia"/>
        </w:rPr>
        <w:t xml:space="preserve">full </w:t>
      </w:r>
      <w:r w:rsidRPr="00D44CF2">
        <w:rPr>
          <w:rFonts w:eastAsiaTheme="minorEastAsia"/>
        </w:rPr>
        <w:t xml:space="preserve">impact of the connection and </w:t>
      </w:r>
      <w:r w:rsidR="00CF53E3" w:rsidRPr="00D44CF2">
        <w:rPr>
          <w:rFonts w:eastAsiaTheme="minorEastAsia"/>
        </w:rPr>
        <w:t xml:space="preserve">may require the generator to provide </w:t>
      </w:r>
      <w:r w:rsidRPr="00D44CF2">
        <w:rPr>
          <w:rFonts w:eastAsiaTheme="minorEastAsia"/>
        </w:rPr>
        <w:t xml:space="preserve">additional reactive power support </w:t>
      </w:r>
      <w:r w:rsidR="00CE65C6" w:rsidRPr="00D44CF2">
        <w:rPr>
          <w:rFonts w:eastAsiaTheme="minorEastAsia"/>
        </w:rPr>
        <w:t>to connect in a way that</w:t>
      </w:r>
      <w:r w:rsidRPr="00D44CF2">
        <w:rPr>
          <w:rFonts w:eastAsiaTheme="minorEastAsia"/>
        </w:rPr>
        <w:t xml:space="preserve"> ensure</w:t>
      </w:r>
      <w:r w:rsidR="00CE65C6" w:rsidRPr="00D44CF2">
        <w:rPr>
          <w:rFonts w:eastAsiaTheme="minorEastAsia"/>
        </w:rPr>
        <w:t>s</w:t>
      </w:r>
      <w:r w:rsidRPr="00D44CF2">
        <w:rPr>
          <w:rFonts w:eastAsiaTheme="minorEastAsia"/>
        </w:rPr>
        <w:t xml:space="preserve"> Victorian supportable demand is not </w:t>
      </w:r>
      <w:r w:rsidR="00912872" w:rsidRPr="00D44CF2">
        <w:rPr>
          <w:rFonts w:eastAsiaTheme="minorEastAsia"/>
        </w:rPr>
        <w:t xml:space="preserve">reduced </w:t>
      </w:r>
      <w:r w:rsidR="006C7811" w:rsidRPr="00D44CF2">
        <w:rPr>
          <w:rFonts w:eastAsiaTheme="minorEastAsia"/>
        </w:rPr>
        <w:t>because of</w:t>
      </w:r>
      <w:r w:rsidR="00912872" w:rsidRPr="00D44CF2">
        <w:rPr>
          <w:rFonts w:eastAsiaTheme="minorEastAsia"/>
        </w:rPr>
        <w:t xml:space="preserve"> the connection</w:t>
      </w:r>
      <w:r w:rsidRPr="00D44CF2">
        <w:rPr>
          <w:rFonts w:eastAsiaTheme="minorEastAsia"/>
        </w:rPr>
        <w:t>. AVP will continue investigating th</w:t>
      </w:r>
      <w:r w:rsidR="007B1DB0" w:rsidRPr="00D44CF2">
        <w:rPr>
          <w:rFonts w:eastAsiaTheme="minorEastAsia"/>
        </w:rPr>
        <w:t>is limit as the network continues to change</w:t>
      </w:r>
      <w:r w:rsidR="00CA4BBC" w:rsidRPr="00D44CF2">
        <w:rPr>
          <w:rFonts w:eastAsiaTheme="minorEastAsia"/>
        </w:rPr>
        <w:t>,</w:t>
      </w:r>
      <w:r w:rsidRPr="00D44CF2">
        <w:rPr>
          <w:rFonts w:eastAsiaTheme="minorEastAsia"/>
        </w:rPr>
        <w:t xml:space="preserve"> </w:t>
      </w:r>
      <w:r w:rsidR="007B1DB0" w:rsidRPr="00D44CF2">
        <w:rPr>
          <w:rFonts w:eastAsiaTheme="minorEastAsia"/>
        </w:rPr>
        <w:t xml:space="preserve">with the </w:t>
      </w:r>
      <w:r w:rsidRPr="00D44CF2">
        <w:rPr>
          <w:rFonts w:eastAsiaTheme="minorEastAsia"/>
        </w:rPr>
        <w:t xml:space="preserve">possibility of increasing the </w:t>
      </w:r>
      <w:r w:rsidR="007B1DB0" w:rsidRPr="00D44CF2">
        <w:rPr>
          <w:rFonts w:eastAsiaTheme="minorEastAsia"/>
        </w:rPr>
        <w:t xml:space="preserve">limit to 750 MW </w:t>
      </w:r>
      <w:r w:rsidR="00F34459" w:rsidRPr="00D44CF2">
        <w:rPr>
          <w:rFonts w:eastAsiaTheme="minorEastAsia"/>
        </w:rPr>
        <w:t>with no additional provisions</w:t>
      </w:r>
      <w:r w:rsidRPr="00D44CF2">
        <w:rPr>
          <w:rFonts w:eastAsiaTheme="minorEastAsia"/>
        </w:rPr>
        <w:t>.</w:t>
      </w:r>
    </w:p>
    <w:p w14:paraId="2B7ED5A0" w14:textId="7AA443CA" w:rsidR="27348434" w:rsidRPr="00D44CF2" w:rsidRDefault="00E74E68" w:rsidP="639C54EF">
      <w:pPr>
        <w:pStyle w:val="BodyText"/>
        <w:rPr>
          <w:rFonts w:eastAsiaTheme="minorEastAsia"/>
        </w:rPr>
      </w:pPr>
      <w:r w:rsidRPr="00D44CF2">
        <w:rPr>
          <w:rFonts w:eastAsiaTheme="minorEastAsia"/>
        </w:rPr>
        <w:t>The</w:t>
      </w:r>
      <w:r w:rsidR="006A1597" w:rsidRPr="00D44CF2">
        <w:rPr>
          <w:rFonts w:eastAsiaTheme="minorEastAsia"/>
        </w:rPr>
        <w:t xml:space="preserve"> limit for load</w:t>
      </w:r>
      <w:r w:rsidR="00653054" w:rsidRPr="00D44CF2">
        <w:rPr>
          <w:rFonts w:eastAsiaTheme="minorEastAsia"/>
        </w:rPr>
        <w:t xml:space="preserve"> connections</w:t>
      </w:r>
      <w:r w:rsidR="006A1597" w:rsidRPr="00D44CF2">
        <w:rPr>
          <w:rFonts w:eastAsiaTheme="minorEastAsia"/>
        </w:rPr>
        <w:t xml:space="preserve"> will remain at 600</w:t>
      </w:r>
      <w:r w:rsidR="27348434" w:rsidRPr="00D44CF2">
        <w:rPr>
          <w:rFonts w:eastAsiaTheme="minorEastAsia"/>
        </w:rPr>
        <w:t xml:space="preserve"> MW</w:t>
      </w:r>
      <w:r w:rsidR="00CA4BBC" w:rsidRPr="00D44CF2">
        <w:rPr>
          <w:rFonts w:eastAsiaTheme="minorEastAsia"/>
        </w:rPr>
        <w:t>,</w:t>
      </w:r>
      <w:r w:rsidR="00BF5FC7" w:rsidRPr="00D44CF2">
        <w:rPr>
          <w:rFonts w:eastAsiaTheme="minorEastAsia"/>
        </w:rPr>
        <w:t xml:space="preserve"> which </w:t>
      </w:r>
      <w:r w:rsidR="00392545" w:rsidRPr="00D44CF2">
        <w:rPr>
          <w:rFonts w:eastAsiaTheme="minorEastAsia"/>
        </w:rPr>
        <w:t xml:space="preserve">aligns with </w:t>
      </w:r>
      <w:r w:rsidR="00CE0622" w:rsidRPr="00D44CF2">
        <w:rPr>
          <w:rFonts w:eastAsiaTheme="minorEastAsia"/>
        </w:rPr>
        <w:t>the current largest load single contingency in the network</w:t>
      </w:r>
      <w:r w:rsidR="00CA4BBC" w:rsidRPr="00D44CF2">
        <w:rPr>
          <w:rFonts w:eastAsiaTheme="minorEastAsia"/>
        </w:rPr>
        <w:t>,</w:t>
      </w:r>
      <w:r w:rsidR="000E53FF" w:rsidRPr="00D44CF2">
        <w:rPr>
          <w:rFonts w:eastAsiaTheme="minorEastAsia"/>
        </w:rPr>
        <w:t xml:space="preserve"> however further investigation is required to assess whether further higher load loss is acceptable to the network.</w:t>
      </w:r>
    </w:p>
    <w:p w14:paraId="07DD49F2" w14:textId="77777777" w:rsidR="0087182A" w:rsidRPr="00D44CF2" w:rsidRDefault="0087182A" w:rsidP="0087182A">
      <w:pPr>
        <w:pStyle w:val="Heading2"/>
      </w:pPr>
      <w:bookmarkStart w:id="262" w:name="_Toc180159694"/>
      <w:bookmarkStart w:id="263" w:name="_Toc212023285"/>
      <w:r w:rsidRPr="00D44CF2">
        <w:t>System security planning for</w:t>
      </w:r>
      <w:r w:rsidRPr="00D44CF2" w:rsidDel="00922C2A">
        <w:t xml:space="preserve"> </w:t>
      </w:r>
      <w:r w:rsidRPr="00D44CF2">
        <w:t>the DSN</w:t>
      </w:r>
      <w:bookmarkEnd w:id="262"/>
      <w:bookmarkEnd w:id="263"/>
    </w:p>
    <w:p w14:paraId="4F6A8D79" w14:textId="77777777" w:rsidR="0087182A" w:rsidRPr="00D44CF2" w:rsidRDefault="0087182A" w:rsidP="0087182A">
      <w:pPr>
        <w:pStyle w:val="Heading3"/>
      </w:pPr>
      <w:r w:rsidRPr="00D44CF2">
        <w:t xml:space="preserve">System security criteria </w:t>
      </w:r>
    </w:p>
    <w:p w14:paraId="45C23C83" w14:textId="77777777" w:rsidR="0087182A" w:rsidRPr="00D44CF2" w:rsidRDefault="0087182A" w:rsidP="0087182A">
      <w:pPr>
        <w:pStyle w:val="BodyText"/>
      </w:pPr>
      <w:r w:rsidRPr="00D44CF2">
        <w:t xml:space="preserve">As jurisdictional planner of the Victorian DSN, AVP is responsible for planning the DSN to meet the Victorian system security requirements: </w:t>
      </w:r>
    </w:p>
    <w:p w14:paraId="47985A76" w14:textId="77777777" w:rsidR="0087182A" w:rsidRPr="00D44CF2" w:rsidRDefault="0087182A" w:rsidP="0087182A">
      <w:pPr>
        <w:pStyle w:val="ListBullet"/>
        <w:numPr>
          <w:ilvl w:val="0"/>
          <w:numId w:val="64"/>
        </w:numPr>
      </w:pPr>
      <w:r w:rsidRPr="00D44CF2">
        <w:t>System strength – as the SSSP for Victoria, AVP is responsible for meeting the Victorian system strength requirements set by AEMO National Planning in line with NER.</w:t>
      </w:r>
    </w:p>
    <w:p w14:paraId="3AD337C9" w14:textId="07C814E1" w:rsidR="0087182A" w:rsidRPr="00D44CF2" w:rsidRDefault="00F71C41" w:rsidP="0087182A">
      <w:pPr>
        <w:pStyle w:val="ListBullet"/>
        <w:numPr>
          <w:ilvl w:val="0"/>
          <w:numId w:val="64"/>
        </w:numPr>
      </w:pPr>
      <w:r w:rsidRPr="00D44CF2">
        <w:t xml:space="preserve">Network support and control ancillary services (NSCAS) </w:t>
      </w:r>
      <w:r w:rsidR="0087182A" w:rsidRPr="00D44CF2">
        <w:t>– AVP is responsible for responding to Victorian NSCAS gaps declared by AEMO National Planning which need remediation.</w:t>
      </w:r>
    </w:p>
    <w:p w14:paraId="540FE878" w14:textId="77777777" w:rsidR="0087182A" w:rsidRPr="00D44CF2" w:rsidRDefault="0087182A" w:rsidP="0087182A">
      <w:pPr>
        <w:pStyle w:val="ListBullet"/>
        <w:numPr>
          <w:ilvl w:val="0"/>
          <w:numId w:val="64"/>
        </w:numPr>
      </w:pPr>
      <w:r w:rsidRPr="00D44CF2">
        <w:t>Inertia – AVP is responsible for meeting the requirements to maintain sufficient inertia within Victoria, as set by AEMO National Planning in line with the NER, from 2 December 2027.</w:t>
      </w:r>
    </w:p>
    <w:p w14:paraId="01562441" w14:textId="77777777" w:rsidR="0087182A" w:rsidRPr="00D44CF2" w:rsidRDefault="0087182A" w:rsidP="0087182A">
      <w:pPr>
        <w:pStyle w:val="BodyText"/>
      </w:pPr>
      <w:r w:rsidRPr="00D44CF2">
        <w:t>AEMO National Planning publishes these NEM system security requirements annually</w:t>
      </w:r>
      <w:r w:rsidRPr="00D44CF2">
        <w:rPr>
          <w:rStyle w:val="FootnoteReference"/>
        </w:rPr>
        <w:footnoteReference w:id="94"/>
      </w:r>
      <w:r w:rsidRPr="00D44CF2">
        <w:t>.</w:t>
      </w:r>
    </w:p>
    <w:p w14:paraId="60B9913A" w14:textId="5CF25653" w:rsidR="0087182A" w:rsidRPr="00D44CF2" w:rsidRDefault="0087182A" w:rsidP="0087182A">
      <w:pPr>
        <w:pStyle w:val="BodyText"/>
      </w:pPr>
      <w:r w:rsidRPr="00D44CF2">
        <w:lastRenderedPageBreak/>
        <w:t xml:space="preserve">The rapid uptake and build-out of IBR has resulted in a changing landscape for electricity supply, storage, and demand. A key part of this transition has been the retirement of synchronous generators, such as coal and gas-fired units, that have historically and inherently provided system security services such as system strength and inertia. To preserve system security, active procurement of other sources of system strength and inertia is essential to enable the network to function securely under the high penetration of IBR, such as solar and wind generation and </w:t>
      </w:r>
      <w:r w:rsidR="0031651A" w:rsidRPr="00D44CF2">
        <w:t xml:space="preserve">grid-following (GFL) </w:t>
      </w:r>
      <w:r w:rsidRPr="00D44CF2">
        <w:t xml:space="preserve">batteries, IBL, and inverter-based transmission links such as Murraylink and Basslink. </w:t>
      </w:r>
    </w:p>
    <w:p w14:paraId="4A054014" w14:textId="77777777" w:rsidR="0087182A" w:rsidRPr="00D44CF2" w:rsidRDefault="0087182A" w:rsidP="0087182A">
      <w:pPr>
        <w:pStyle w:val="Heading3"/>
      </w:pPr>
      <w:r w:rsidRPr="00D44CF2">
        <w:t xml:space="preserve">System strength requirements </w:t>
      </w:r>
    </w:p>
    <w:p w14:paraId="467814AF" w14:textId="77777777" w:rsidR="0087182A" w:rsidRPr="00D44CF2" w:rsidRDefault="0087182A" w:rsidP="0087182A">
      <w:pPr>
        <w:pStyle w:val="Heading4"/>
      </w:pPr>
      <w:r w:rsidRPr="00D44CF2">
        <w:t>System strength service provision and obligations</w:t>
      </w:r>
    </w:p>
    <w:p w14:paraId="07BE5A1D" w14:textId="19FAF36E" w:rsidR="0087182A" w:rsidRPr="00D44CF2" w:rsidRDefault="0087182A" w:rsidP="0087182A">
      <w:pPr>
        <w:pStyle w:val="BodyText"/>
      </w:pPr>
      <w:r w:rsidRPr="00D44CF2">
        <w:t>System strength describes the ability of the power system to maintain and control a stable voltage waveform at a given location, during steady state operation and following a disturbance. System strength planning is essential to enable system security to be maintained as</w:t>
      </w:r>
      <w:r w:rsidRPr="00D44CF2" w:rsidDel="005B3A4B">
        <w:t xml:space="preserve"> </w:t>
      </w:r>
      <w:r w:rsidRPr="00D44CF2">
        <w:t xml:space="preserve">GFL IBR and IBL (which typically demand system strength) connect to the network, and synchronous generators (which supply system strength) retire. </w:t>
      </w:r>
    </w:p>
    <w:p w14:paraId="2C93CA87" w14:textId="77777777" w:rsidR="0087182A" w:rsidRPr="00D44CF2" w:rsidRDefault="0087182A" w:rsidP="0087182A">
      <w:pPr>
        <w:pStyle w:val="BodyText"/>
      </w:pPr>
      <w:r w:rsidRPr="00D44CF2">
        <w:t>Inaction to maintain system strength</w:t>
      </w:r>
      <w:r w:rsidRPr="00D44CF2" w:rsidDel="00466746">
        <w:t xml:space="preserve"> </w:t>
      </w:r>
      <w:r w:rsidRPr="00D44CF2">
        <w:t xml:space="preserve">would ultimately require the use of directions to ensure sufficient synchronous or GFM plant are online to maintain a secure power system – or, where insufficient synchronous or GFM plant is available to be directed, the inability to connect new IBR or IBL, resulting in high costs and/or reduced reliability to consumers. </w:t>
      </w:r>
    </w:p>
    <w:p w14:paraId="3CCD552A" w14:textId="4EAC0AD8" w:rsidR="0087182A" w:rsidRPr="00D44CF2" w:rsidRDefault="0087182A" w:rsidP="0087182A">
      <w:pPr>
        <w:pStyle w:val="BodyText"/>
      </w:pPr>
      <w:r w:rsidRPr="00D44CF2">
        <w:t>The revised system strength</w:t>
      </w:r>
      <w:r w:rsidRPr="00D44CF2" w:rsidDel="00CC69AB">
        <w:t xml:space="preserve"> </w:t>
      </w:r>
      <w:r w:rsidRPr="00D44CF2">
        <w:t xml:space="preserve">framework establishes a proactive approach for delivering system strength across the NEM. It requires regional SSSPs to plan and procure a minimum three phase fault level and efficient system strength level, the latter of which caters to the forecast connection of IBR (inclusive of solar, wind and </w:t>
      </w:r>
      <w:r w:rsidR="000C3DEB" w:rsidRPr="00D44CF2">
        <w:t>GFL</w:t>
      </w:r>
      <w:r w:rsidRPr="00D44CF2">
        <w:t xml:space="preserve"> batteries) and IBL that elect to pay the system strength charge, under NER 5.3.4B, rather than self-remediate their system strength impact. Both these requirements are detailed in AEMO’s annual </w:t>
      </w:r>
      <w:r w:rsidRPr="00D44CF2">
        <w:rPr>
          <w:i/>
          <w:iCs/>
        </w:rPr>
        <w:t>System Strength Report</w:t>
      </w:r>
      <w:r w:rsidRPr="00D44CF2">
        <w:t>, which provides a minimum 10-year forecast of the minimum fault level requirement and the IBR and IBL connections for which system strength must be procured</w:t>
      </w:r>
    </w:p>
    <w:p w14:paraId="2C4907F9" w14:textId="77777777" w:rsidR="0087182A" w:rsidRPr="00D44CF2" w:rsidRDefault="0087182A" w:rsidP="0087182A">
      <w:pPr>
        <w:pStyle w:val="Heading4"/>
      </w:pPr>
      <w:r w:rsidRPr="00D44CF2">
        <w:t xml:space="preserve">2024 System Strength Report  </w:t>
      </w:r>
    </w:p>
    <w:p w14:paraId="08C39B86" w14:textId="77777777" w:rsidR="0087182A" w:rsidRPr="00D44CF2" w:rsidRDefault="0087182A" w:rsidP="0087182A">
      <w:pPr>
        <w:pStyle w:val="Heading5"/>
      </w:pPr>
      <w:r w:rsidRPr="00D44CF2">
        <w:t xml:space="preserve">Insights and recommendations </w:t>
      </w:r>
    </w:p>
    <w:p w14:paraId="533222C5" w14:textId="77777777" w:rsidR="0087182A" w:rsidRPr="00D44CF2" w:rsidRDefault="0087182A" w:rsidP="0087182A">
      <w:pPr>
        <w:pStyle w:val="BodyText"/>
      </w:pPr>
      <w:r w:rsidRPr="00D44CF2">
        <w:t xml:space="preserve">The 2024 </w:t>
      </w:r>
      <w:r w:rsidRPr="00D44CF2">
        <w:rPr>
          <w:i/>
        </w:rPr>
        <w:t>System Strength Report</w:t>
      </w:r>
      <w:r w:rsidRPr="00D44CF2">
        <w:t xml:space="preserve"> was published in December 2024, and subsequently updated in February 2025, by AEMO in its function as National Transmission Planner. The report provides a 10-year outlook of system strength requirements in the NEM and forecasts system strength shortfalls from 2 December 2025. </w:t>
      </w:r>
    </w:p>
    <w:p w14:paraId="456CB728" w14:textId="77777777" w:rsidR="0087182A" w:rsidRPr="00D44CF2" w:rsidRDefault="0087182A" w:rsidP="0087182A">
      <w:pPr>
        <w:pStyle w:val="BodyText"/>
      </w:pPr>
      <w:r w:rsidRPr="00D44CF2">
        <w:t>AVP, as SSSP for Victoria, has identified the preferred option for meeting its system strength requirements. This preferred option is detailed in its Victorian System Strength Requirement RIT-T, which is discussed further in Section 3.1.2.</w:t>
      </w:r>
    </w:p>
    <w:p w14:paraId="76BB6054" w14:textId="77777777" w:rsidR="0087182A" w:rsidRPr="00D44CF2" w:rsidRDefault="0087182A" w:rsidP="0087182A">
      <w:pPr>
        <w:pStyle w:val="Heading5"/>
      </w:pPr>
      <w:r w:rsidRPr="00D44CF2">
        <w:t>Observed and forecast shortfalls and operational management of system strength</w:t>
      </w:r>
    </w:p>
    <w:p w14:paraId="0D6B7ED0" w14:textId="0FB21B7E" w:rsidR="0087182A" w:rsidRPr="00D44CF2" w:rsidRDefault="0087182A" w:rsidP="0087182A">
      <w:pPr>
        <w:pStyle w:val="BodyText"/>
      </w:pPr>
      <w:r w:rsidRPr="00D44CF2">
        <w:t xml:space="preserve">A system strength node is a physical location on the transmission network, at which AEMO must determine system strength requirements and apply those requirements for power system security. Using typical dispatch patterns in the absence of system strength investment, the 2024 </w:t>
      </w:r>
      <w:r w:rsidRPr="00D44CF2">
        <w:rPr>
          <w:i/>
        </w:rPr>
        <w:t>System Strength Report</w:t>
      </w:r>
      <w:r w:rsidRPr="00D44CF2">
        <w:t xml:space="preserve"> identified forecast </w:t>
      </w:r>
      <w:r w:rsidRPr="00D44CF2">
        <w:lastRenderedPageBreak/>
        <w:t>shortfalls of 517 MVA at Moorabool, 1,963</w:t>
      </w:r>
      <w:r w:rsidR="004E7314" w:rsidRPr="00D44CF2">
        <w:t> </w:t>
      </w:r>
      <w:r w:rsidRPr="00D44CF2">
        <w:t>MVA at Hazelwood, and 561 MVA at Thomastown from 2027-28</w:t>
      </w:r>
      <w:r w:rsidRPr="00D44CF2">
        <w:rPr>
          <w:rStyle w:val="FootnoteReference"/>
        </w:rPr>
        <w:footnoteReference w:id="95"/>
      </w:r>
      <w:r w:rsidR="004E7314" w:rsidRPr="00D44CF2">
        <w:rPr>
          <w:vertAlign w:val="superscript"/>
        </w:rPr>
        <w:t>,</w:t>
      </w:r>
      <w:r w:rsidRPr="00D44CF2">
        <w:rPr>
          <w:rStyle w:val="FootnoteReference"/>
        </w:rPr>
        <w:footnoteReference w:id="96"/>
      </w:r>
      <w:r w:rsidRPr="00D44CF2">
        <w:t xml:space="preserve">. System strength services planned to be procured under the new framework from 2 December 2025 through the Victorian System Strength Requirement RIT-T will be enabled during such periods to meet the system strength standard. </w:t>
      </w:r>
    </w:p>
    <w:p w14:paraId="6FECB49F" w14:textId="50201FA9" w:rsidR="0087182A" w:rsidRPr="00D44CF2" w:rsidRDefault="0087182A" w:rsidP="0087182A">
      <w:pPr>
        <w:pStyle w:val="BodyText"/>
      </w:pPr>
      <w:r w:rsidRPr="00D44CF2">
        <w:t xml:space="preserve">The 2024 </w:t>
      </w:r>
      <w:r w:rsidRPr="00D44CF2">
        <w:rPr>
          <w:i/>
        </w:rPr>
        <w:t>System Strength Report</w:t>
      </w:r>
      <w:r w:rsidRPr="00D44CF2">
        <w:t xml:space="preserve"> also identified a need for system strength services of 368 MVA at Red Cliffs from 2025-26, primarily linked with the expected end of existing system strength remediation contracts. AVP has since extended those system strength services agreements, which are now set to expire on 31 July 2026, to meet the Red Cliffs need. Provision of services beyond this timeframe is being procured; details are at Section 3.1.2.  </w:t>
      </w:r>
    </w:p>
    <w:p w14:paraId="66DA2767" w14:textId="1B1ECEC6" w:rsidR="0087182A" w:rsidRPr="00D44CF2" w:rsidRDefault="0087182A" w:rsidP="00B36AB8">
      <w:pPr>
        <w:pStyle w:val="BodyText"/>
      </w:pPr>
      <w:r w:rsidRPr="00D44CF2">
        <w:t xml:space="preserve">The 2024 </w:t>
      </w:r>
      <w:r w:rsidRPr="00D44CF2">
        <w:rPr>
          <w:i/>
          <w:iCs/>
        </w:rPr>
        <w:t>System Strength Report</w:t>
      </w:r>
      <w:r w:rsidRPr="00D44CF2">
        <w:t xml:space="preserve"> noted that voltage oscillation events have occurred in south-west Victoria under certain network outage conditions and system normal topology. </w:t>
      </w:r>
      <w:r w:rsidR="00B36AB8" w:rsidRPr="00D44CF2">
        <w:t>Voltage and power oscillations are naturally occurring</w:t>
      </w:r>
      <w:r w:rsidR="00B044D5" w:rsidRPr="00D44CF2">
        <w:t xml:space="preserve"> </w:t>
      </w:r>
      <w:r w:rsidR="00B36AB8" w:rsidRPr="00D44CF2">
        <w:t>phenomena in electric power systems all over the world. If not</w:t>
      </w:r>
      <w:r w:rsidR="00B044D5" w:rsidRPr="00D44CF2">
        <w:t xml:space="preserve"> </w:t>
      </w:r>
      <w:r w:rsidR="00B36AB8" w:rsidRPr="00D44CF2">
        <w:t>planned for and managed</w:t>
      </w:r>
      <w:r w:rsidR="000E2A01" w:rsidRPr="00D44CF2">
        <w:t>,</w:t>
      </w:r>
      <w:r w:rsidR="00B36AB8" w:rsidRPr="00D44CF2">
        <w:t xml:space="preserve"> they have the potential to disrupt power systems if they do not subside following a disturbance, such as a fault or a sudden loss of generation or load</w:t>
      </w:r>
      <w:r w:rsidR="00B044D5" w:rsidRPr="00D44CF2">
        <w:t xml:space="preserve">. </w:t>
      </w:r>
      <w:r w:rsidRPr="00D44CF2">
        <w:t xml:space="preserve">The risk of </w:t>
      </w:r>
      <w:r w:rsidR="7A69516E" w:rsidRPr="00D44CF2">
        <w:t xml:space="preserve">undamped </w:t>
      </w:r>
      <w:r w:rsidRPr="00D44CF2">
        <w:t>voltage oscillation</w:t>
      </w:r>
      <w:r w:rsidR="6EAD5A94" w:rsidRPr="00D44CF2">
        <w:t>s</w:t>
      </w:r>
      <w:r w:rsidRPr="00D44CF2">
        <w:t xml:space="preserve"> in south-west Victoria continues to be managed through market constraints such as V_SH_DD_MAC_FLT_965 and V_BDBU_SWVIC_FLT_965, which constrain IBR output under certain system normal and network outage conditions.</w:t>
      </w:r>
    </w:p>
    <w:p w14:paraId="5A268D22" w14:textId="30E636B5" w:rsidR="0087182A" w:rsidRPr="00D44CF2" w:rsidRDefault="0087182A" w:rsidP="0087182A">
      <w:pPr>
        <w:pStyle w:val="BodyText"/>
      </w:pPr>
      <w:r w:rsidRPr="00D44CF2">
        <w:t xml:space="preserve">A lack of system strength was observed in the south-west Victoria area during </w:t>
      </w:r>
      <w:r w:rsidR="000E2A01" w:rsidRPr="00D44CF2">
        <w:t xml:space="preserve">an </w:t>
      </w:r>
      <w:r w:rsidRPr="00D44CF2">
        <w:t xml:space="preserve">outage of the Sydenham – Moorabool line on 24 October 2024, requiring market direction of synchronous units. In its 2024 </w:t>
      </w:r>
      <w:r w:rsidRPr="00D44CF2">
        <w:rPr>
          <w:i/>
          <w:iCs/>
        </w:rPr>
        <w:t>System Strength Report</w:t>
      </w:r>
      <w:r w:rsidRPr="00D44CF2">
        <w:t xml:space="preserve">, AEMO National </w:t>
      </w:r>
      <w:r w:rsidR="00EE4BAC" w:rsidRPr="00D44CF2">
        <w:t xml:space="preserve">Transmission </w:t>
      </w:r>
      <w:r w:rsidRPr="00D44CF2">
        <w:t>Plann</w:t>
      </w:r>
      <w:r w:rsidR="00EE4BAC" w:rsidRPr="00D44CF2">
        <w:t>er</w:t>
      </w:r>
      <w:r w:rsidRPr="00D44CF2">
        <w:t xml:space="preserve"> noted that it has developed new minimum synchronous unit combinations and constraints and will assess the ongoing adequacy of minimum fault level requirements against these new minimum unit combinations as part of the 2025 </w:t>
      </w:r>
      <w:r w:rsidRPr="00D44CF2">
        <w:rPr>
          <w:i/>
          <w:iCs/>
        </w:rPr>
        <w:t>System Strength Report</w:t>
      </w:r>
      <w:r w:rsidRPr="00D44CF2">
        <w:t>. Moorabool – Sydenham outage limit advice</w:t>
      </w:r>
      <w:r w:rsidRPr="00D44CF2">
        <w:rPr>
          <w:rStyle w:val="FootnoteReference"/>
        </w:rPr>
        <w:footnoteReference w:id="97"/>
      </w:r>
      <w:r w:rsidRPr="00D44CF2">
        <w:t xml:space="preserve"> was published soon after the observed oscillations event, with this new limit advice defining the minimum number of synchronous units required to be online prior to outage of a Moorabool – Sydenham circuit to prevent undamped oscillations following a credible contingency concurrent with outage of a Moorabool – Sydenham circuit. </w:t>
      </w:r>
    </w:p>
    <w:p w14:paraId="14012EB7" w14:textId="2822A149" w:rsidR="0087182A" w:rsidRPr="00D44CF2" w:rsidRDefault="0087182A" w:rsidP="0087182A">
      <w:pPr>
        <w:pStyle w:val="BodyText"/>
      </w:pPr>
      <w:r w:rsidRPr="00D44CF2">
        <w:t xml:space="preserve">Since publication of the 2024 </w:t>
      </w:r>
      <w:r w:rsidRPr="00D44CF2">
        <w:rPr>
          <w:i/>
        </w:rPr>
        <w:t>System Strength Report</w:t>
      </w:r>
      <w:r w:rsidRPr="00D44CF2">
        <w:t>, the Victorian network has been strengthened with completion of the Mortlake turn-in project, which cut the Haunted Gully to Tarrone 500 kV line in at Mortlake. AVP has also reviewed the existing minimum synchronous machine combinations and removed combinations from the system normal limit advice that do not meet the minimum fault level requirements. AVP plans to further update system strength limit advice following procurement of services identified as forming part of the Victorian System Strength Requirement RIT-T preferred option.</w:t>
      </w:r>
    </w:p>
    <w:p w14:paraId="0C69E266" w14:textId="77777777" w:rsidR="0087182A" w:rsidRPr="00D44CF2" w:rsidRDefault="0087182A" w:rsidP="0087182A">
      <w:pPr>
        <w:pStyle w:val="Heading4"/>
      </w:pPr>
      <w:r w:rsidRPr="00D44CF2">
        <w:lastRenderedPageBreak/>
        <w:t xml:space="preserve">Available fault level (AFL) forecasts </w:t>
      </w:r>
    </w:p>
    <w:p w14:paraId="551F1435" w14:textId="77777777" w:rsidR="0087182A" w:rsidRPr="00D44CF2" w:rsidRDefault="0087182A" w:rsidP="0087182A">
      <w:pPr>
        <w:pStyle w:val="BodyText"/>
      </w:pPr>
      <w:r w:rsidRPr="00D44CF2">
        <w:t xml:space="preserve">The AFL is a metric used to quantify the level of system strength supply, from synchronous and GFM sources, available to support the connection and dispatch of GFL IBR, which demand system strength, in the power system. Positive AFL indicates locations where system strength is, or will be made, available to support additional IBR, while zero or negative AFL indicates locations where system strength to support additional IBR is unavailable and additional investment is currently not planned at the location in the given year. </w:t>
      </w:r>
    </w:p>
    <w:p w14:paraId="24571517" w14:textId="77777777" w:rsidR="0087182A" w:rsidRPr="00D44CF2" w:rsidRDefault="0087182A" w:rsidP="0087182A">
      <w:pPr>
        <w:pStyle w:val="BodyText"/>
      </w:pPr>
      <w:r w:rsidRPr="00D44CF2">
        <w:t xml:space="preserve">Forecast AFL is intended to provide locational signals for IBR connections on connection points where system strength will be proactively procured to facilitate connection of IBR. </w:t>
      </w:r>
    </w:p>
    <w:p w14:paraId="3BD0D30C" w14:textId="3B03F6E4" w:rsidR="0087182A" w:rsidRPr="00D44CF2" w:rsidRDefault="0087182A" w:rsidP="0087182A">
      <w:pPr>
        <w:pStyle w:val="BodyText"/>
      </w:pPr>
      <w:r w:rsidRPr="00D44CF2">
        <w:t xml:space="preserve">AVP as SSSP for Victoria must publish a forecast of the AFL at each system strength node over the period for which AEMO has determined system strength requirements, in a manner consistent with the methodology in the </w:t>
      </w:r>
      <w:r w:rsidRPr="00D44CF2">
        <w:rPr>
          <w:i/>
        </w:rPr>
        <w:t>System Strength Impact Assessment Guidelines</w:t>
      </w:r>
      <w:r w:rsidRPr="00D44CF2">
        <w:t xml:space="preserve"> (SSIAG)</w:t>
      </w:r>
      <w:r w:rsidRPr="00D44CF2">
        <w:rPr>
          <w:vertAlign w:val="superscript"/>
        </w:rPr>
        <w:t xml:space="preserve"> </w:t>
      </w:r>
      <w:r w:rsidRPr="00D44CF2">
        <w:rPr>
          <w:vertAlign w:val="superscript"/>
        </w:rPr>
        <w:footnoteReference w:id="98"/>
      </w:r>
      <w:r w:rsidRPr="00D44CF2">
        <w:t xml:space="preserve">. AVP has prepared this AFL forecast (see </w:t>
      </w:r>
      <w:r w:rsidR="00FB3441" w:rsidRPr="00D44CF2">
        <w:rPr>
          <w:b/>
        </w:rPr>
        <w:fldChar w:fldCharType="begin"/>
      </w:r>
      <w:r w:rsidR="00FB3441" w:rsidRPr="00D44CF2">
        <w:rPr>
          <w:b/>
        </w:rPr>
        <w:instrText xml:space="preserve"> REF _Ref210806434 \r \h  \* MERGEFORMAT </w:instrText>
      </w:r>
      <w:r w:rsidR="00FB3441" w:rsidRPr="00D44CF2">
        <w:rPr>
          <w:b/>
        </w:rPr>
      </w:r>
      <w:r w:rsidR="00FB3441" w:rsidRPr="00D44CF2">
        <w:rPr>
          <w:b/>
        </w:rPr>
        <w:fldChar w:fldCharType="separate"/>
      </w:r>
      <w:r w:rsidR="004973D2">
        <w:rPr>
          <w:b/>
        </w:rPr>
        <w:t>Table 15</w:t>
      </w:r>
      <w:r w:rsidR="00FB3441" w:rsidRPr="00D44CF2">
        <w:rPr>
          <w:b/>
        </w:rPr>
        <w:fldChar w:fldCharType="end"/>
      </w:r>
      <w:r w:rsidRPr="00D44CF2">
        <w:rPr>
          <w:b/>
        </w:rPr>
        <w:t xml:space="preserve"> </w:t>
      </w:r>
      <w:r w:rsidRPr="00D44CF2">
        <w:rPr>
          <w:bCs/>
        </w:rPr>
        <w:t>below</w:t>
      </w:r>
      <w:r w:rsidRPr="00D44CF2">
        <w:t xml:space="preserve">), in line with the SSIAG for the 2025 VAPR, using the following inputs and assumptions: </w:t>
      </w:r>
    </w:p>
    <w:p w14:paraId="553D35F8" w14:textId="53922710" w:rsidR="0087182A" w:rsidRPr="00D44CF2" w:rsidRDefault="0087182A" w:rsidP="0087182A">
      <w:pPr>
        <w:pStyle w:val="ListBullet"/>
      </w:pPr>
      <w:r w:rsidRPr="00D44CF2">
        <w:t>System strength supply – system strength is supplied from both existing/committed services and new additional services that form the Victorian System Strength Requirement RIT-T PACR preferred option</w:t>
      </w:r>
      <w:r w:rsidRPr="00D44CF2">
        <w:rPr>
          <w:rStyle w:val="FootnoteReference"/>
        </w:rPr>
        <w:footnoteReference w:id="99"/>
      </w:r>
      <w:r w:rsidRPr="00D44CF2">
        <w:t>.</w:t>
      </w:r>
    </w:p>
    <w:p w14:paraId="284C574B" w14:textId="77777777" w:rsidR="0087182A" w:rsidRPr="00D44CF2" w:rsidRDefault="0087182A" w:rsidP="0087182A">
      <w:pPr>
        <w:pStyle w:val="ListBullet"/>
        <w:numPr>
          <w:ilvl w:val="0"/>
          <w:numId w:val="65"/>
        </w:numPr>
      </w:pPr>
      <w:r w:rsidRPr="00D44CF2">
        <w:t>System strength demand – all existing and committed IBR generators and storage as per the Victorian System Strength Requirement RIT-T taking into consideration the April 2025 NEM Generation Information. Existing DC interconnectors Murraylink and Basslink have also been considered.</w:t>
      </w:r>
    </w:p>
    <w:bookmarkStart w:id="266" w:name="_Hlk206527868"/>
    <w:p w14:paraId="6B4F76BC" w14:textId="4153B9E4" w:rsidR="0087182A" w:rsidRPr="00D44CF2" w:rsidRDefault="00FB3441" w:rsidP="0087182A">
      <w:pPr>
        <w:pStyle w:val="BodyText"/>
      </w:pPr>
      <w:r w:rsidRPr="00D44CF2">
        <w:rPr>
          <w:b/>
        </w:rPr>
        <w:fldChar w:fldCharType="begin"/>
      </w:r>
      <w:r w:rsidRPr="00D44CF2">
        <w:rPr>
          <w:b/>
        </w:rPr>
        <w:instrText xml:space="preserve"> REF _Ref210806458 \r \h </w:instrText>
      </w:r>
      <w:r w:rsidR="00D44CF2">
        <w:rPr>
          <w:b/>
        </w:rPr>
        <w:instrText xml:space="preserve"> \* MERGEFORMAT </w:instrText>
      </w:r>
      <w:r w:rsidRPr="00D44CF2">
        <w:rPr>
          <w:b/>
        </w:rPr>
      </w:r>
      <w:r w:rsidRPr="00D44CF2">
        <w:rPr>
          <w:b/>
        </w:rPr>
        <w:fldChar w:fldCharType="separate"/>
      </w:r>
      <w:r w:rsidR="004973D2">
        <w:rPr>
          <w:b/>
        </w:rPr>
        <w:t>Table 15</w:t>
      </w:r>
      <w:r w:rsidRPr="00D44CF2">
        <w:rPr>
          <w:b/>
        </w:rPr>
        <w:fldChar w:fldCharType="end"/>
      </w:r>
      <w:r w:rsidR="0087182A" w:rsidRPr="00D44CF2">
        <w:t xml:space="preserve"> presents the forecast AFL (post-contingent) at system strength nodes and key Victorian buses for the next 10 years</w:t>
      </w:r>
      <w:r w:rsidR="0087182A" w:rsidRPr="00D44CF2">
        <w:rPr>
          <w:rStyle w:val="FootnoteReference"/>
        </w:rPr>
        <w:footnoteReference w:id="100"/>
      </w:r>
      <w:r w:rsidR="0087182A" w:rsidRPr="00D44CF2">
        <w:t>.</w:t>
      </w:r>
      <w:bookmarkStart w:id="267" w:name="_Ref206572808"/>
    </w:p>
    <w:p w14:paraId="628B0DF2" w14:textId="77777777" w:rsidR="0087182A" w:rsidRPr="00D44CF2" w:rsidRDefault="0087182A" w:rsidP="0087182A">
      <w:pPr>
        <w:pStyle w:val="CaptionTable"/>
      </w:pPr>
      <w:bookmarkStart w:id="268" w:name="_Ref210806434"/>
      <w:bookmarkStart w:id="269" w:name="_Ref210806458"/>
      <w:bookmarkStart w:id="270" w:name="_Toc212023319"/>
      <w:r w:rsidRPr="00D44CF2">
        <w:t>Forecast of post-contingent available fault level at significant Victorian nodes in each financial year</w:t>
      </w:r>
      <w:bookmarkEnd w:id="267"/>
      <w:r w:rsidRPr="00D44CF2">
        <w:t>, 2025-26 to 2034-35 (MVA)</w:t>
      </w:r>
      <w:bookmarkEnd w:id="268"/>
      <w:bookmarkEnd w:id="269"/>
      <w:bookmarkEnd w:id="270"/>
    </w:p>
    <w:tbl>
      <w:tblPr>
        <w:tblStyle w:val="AEMO-Table5"/>
        <w:tblW w:w="5000" w:type="pct"/>
        <w:tblLayout w:type="fixed"/>
        <w:tblLook w:val="04A0" w:firstRow="1" w:lastRow="0" w:firstColumn="1" w:lastColumn="0" w:noHBand="0" w:noVBand="1"/>
      </w:tblPr>
      <w:tblGrid>
        <w:gridCol w:w="1890"/>
        <w:gridCol w:w="821"/>
        <w:gridCol w:w="821"/>
        <w:gridCol w:w="821"/>
        <w:gridCol w:w="820"/>
        <w:gridCol w:w="820"/>
        <w:gridCol w:w="820"/>
        <w:gridCol w:w="820"/>
        <w:gridCol w:w="820"/>
        <w:gridCol w:w="820"/>
        <w:gridCol w:w="820"/>
      </w:tblGrid>
      <w:tr w:rsidR="00C32EB0" w:rsidRPr="00D44CF2" w14:paraId="2A9281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BA2DC4D" w14:textId="6A6DBABE" w:rsidR="0087182A" w:rsidRPr="00D44CF2" w:rsidRDefault="0087182A" w:rsidP="001A3F5B">
            <w:pPr>
              <w:pStyle w:val="TableText"/>
            </w:pPr>
            <w:r w:rsidRPr="00D44CF2">
              <w:t>System Strength node/ bus</w:t>
            </w:r>
          </w:p>
        </w:tc>
        <w:tc>
          <w:tcPr>
            <w:tcW w:w="1204" w:type="dxa"/>
          </w:tcPr>
          <w:p w14:paraId="01EA3238"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2025-26</w:t>
            </w:r>
          </w:p>
        </w:tc>
        <w:tc>
          <w:tcPr>
            <w:tcW w:w="1205" w:type="dxa"/>
          </w:tcPr>
          <w:p w14:paraId="10954352"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2026-27</w:t>
            </w:r>
          </w:p>
        </w:tc>
        <w:tc>
          <w:tcPr>
            <w:tcW w:w="1205" w:type="dxa"/>
          </w:tcPr>
          <w:p w14:paraId="49446460"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2927-28</w:t>
            </w:r>
          </w:p>
        </w:tc>
        <w:tc>
          <w:tcPr>
            <w:tcW w:w="1205" w:type="dxa"/>
          </w:tcPr>
          <w:p w14:paraId="5FCBA192"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2028-29</w:t>
            </w:r>
          </w:p>
        </w:tc>
        <w:tc>
          <w:tcPr>
            <w:tcW w:w="1205" w:type="dxa"/>
          </w:tcPr>
          <w:p w14:paraId="2202510E"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2029-30</w:t>
            </w:r>
          </w:p>
        </w:tc>
        <w:tc>
          <w:tcPr>
            <w:tcW w:w="1205" w:type="dxa"/>
          </w:tcPr>
          <w:p w14:paraId="4DEC58F5"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2030-31</w:t>
            </w:r>
          </w:p>
        </w:tc>
        <w:tc>
          <w:tcPr>
            <w:tcW w:w="1205" w:type="dxa"/>
          </w:tcPr>
          <w:p w14:paraId="7F1D84CB"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2031-32</w:t>
            </w:r>
          </w:p>
        </w:tc>
        <w:tc>
          <w:tcPr>
            <w:tcW w:w="1205" w:type="dxa"/>
          </w:tcPr>
          <w:p w14:paraId="2A7C5F20"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2032-33</w:t>
            </w:r>
          </w:p>
        </w:tc>
        <w:tc>
          <w:tcPr>
            <w:tcW w:w="1205" w:type="dxa"/>
          </w:tcPr>
          <w:p w14:paraId="005A2060"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2033-34</w:t>
            </w:r>
          </w:p>
        </w:tc>
        <w:tc>
          <w:tcPr>
            <w:tcW w:w="1205" w:type="dxa"/>
          </w:tcPr>
          <w:p w14:paraId="1C98BCDF"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2034-35</w:t>
            </w:r>
          </w:p>
        </w:tc>
      </w:tr>
      <w:tr w:rsidR="004B1E1C" w:rsidRPr="00D44CF2" w14:paraId="0487EA87" w14:textId="77777777" w:rsidTr="00261D2D">
        <w:trPr>
          <w:trHeight w:val="372"/>
        </w:trPr>
        <w:tc>
          <w:tcPr>
            <w:cnfStyle w:val="001000000000" w:firstRow="0" w:lastRow="0" w:firstColumn="1" w:lastColumn="0" w:oddVBand="0" w:evenVBand="0" w:oddHBand="0" w:evenHBand="0" w:firstRowFirstColumn="0" w:firstRowLastColumn="0" w:lastRowFirstColumn="0" w:lastRowLastColumn="0"/>
            <w:tcW w:w="2977" w:type="dxa"/>
          </w:tcPr>
          <w:p w14:paraId="51703669" w14:textId="77777777" w:rsidR="0087182A" w:rsidRPr="00D44CF2" w:rsidRDefault="0087182A" w:rsidP="001A3F5B">
            <w:pPr>
              <w:pStyle w:val="TableText"/>
            </w:pPr>
            <w:r w:rsidRPr="00D44CF2">
              <w:t>Bulgana 220 kV</w:t>
            </w:r>
          </w:p>
        </w:tc>
        <w:tc>
          <w:tcPr>
            <w:tcW w:w="1204" w:type="dxa"/>
          </w:tcPr>
          <w:p w14:paraId="58E4442B"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48180049"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134</w:t>
            </w:r>
          </w:p>
        </w:tc>
        <w:tc>
          <w:tcPr>
            <w:tcW w:w="1205" w:type="dxa"/>
          </w:tcPr>
          <w:p w14:paraId="5BCFC21D"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1,709</w:t>
            </w:r>
          </w:p>
        </w:tc>
        <w:tc>
          <w:tcPr>
            <w:tcW w:w="1205" w:type="dxa"/>
          </w:tcPr>
          <w:p w14:paraId="4C56CB52"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1,833</w:t>
            </w:r>
          </w:p>
        </w:tc>
        <w:tc>
          <w:tcPr>
            <w:tcW w:w="1205" w:type="dxa"/>
          </w:tcPr>
          <w:p w14:paraId="38C2DB2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2,177</w:t>
            </w:r>
          </w:p>
        </w:tc>
        <w:tc>
          <w:tcPr>
            <w:tcW w:w="1205" w:type="dxa"/>
          </w:tcPr>
          <w:p w14:paraId="265D991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2,207</w:t>
            </w:r>
          </w:p>
        </w:tc>
        <w:tc>
          <w:tcPr>
            <w:tcW w:w="1205" w:type="dxa"/>
          </w:tcPr>
          <w:p w14:paraId="6FC6FD37"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3,062</w:t>
            </w:r>
          </w:p>
        </w:tc>
        <w:tc>
          <w:tcPr>
            <w:tcW w:w="1205" w:type="dxa"/>
          </w:tcPr>
          <w:p w14:paraId="3FED1C7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3,292</w:t>
            </w:r>
          </w:p>
        </w:tc>
        <w:tc>
          <w:tcPr>
            <w:tcW w:w="1205" w:type="dxa"/>
          </w:tcPr>
          <w:p w14:paraId="0669FA3E"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3,114</w:t>
            </w:r>
          </w:p>
        </w:tc>
        <w:tc>
          <w:tcPr>
            <w:tcW w:w="1205" w:type="dxa"/>
          </w:tcPr>
          <w:p w14:paraId="2AB1DD6A"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3,702</w:t>
            </w:r>
          </w:p>
        </w:tc>
      </w:tr>
      <w:tr w:rsidR="004B1E1C" w:rsidRPr="00D44CF2" w14:paraId="3B10E02E" w14:textId="77777777" w:rsidTr="00261D2D">
        <w:tc>
          <w:tcPr>
            <w:cnfStyle w:val="001000000000" w:firstRow="0" w:lastRow="0" w:firstColumn="1" w:lastColumn="0" w:oddVBand="0" w:evenVBand="0" w:oddHBand="0" w:evenHBand="0" w:firstRowFirstColumn="0" w:firstRowLastColumn="0" w:lastRowFirstColumn="0" w:lastRowLastColumn="0"/>
            <w:tcW w:w="2977" w:type="dxa"/>
          </w:tcPr>
          <w:p w14:paraId="6D3CE74D" w14:textId="77777777" w:rsidR="0087182A" w:rsidRPr="00D44CF2" w:rsidRDefault="0087182A" w:rsidP="001A3F5B">
            <w:pPr>
              <w:pStyle w:val="TableText"/>
            </w:pPr>
            <w:r w:rsidRPr="00D44CF2">
              <w:t>Dederang 220 kV</w:t>
            </w:r>
          </w:p>
        </w:tc>
        <w:tc>
          <w:tcPr>
            <w:tcW w:w="1204" w:type="dxa"/>
          </w:tcPr>
          <w:p w14:paraId="54825FE5"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1,997</w:t>
            </w:r>
          </w:p>
        </w:tc>
        <w:tc>
          <w:tcPr>
            <w:tcW w:w="1205" w:type="dxa"/>
          </w:tcPr>
          <w:p w14:paraId="28A5B5D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1,836</w:t>
            </w:r>
          </w:p>
        </w:tc>
        <w:tc>
          <w:tcPr>
            <w:tcW w:w="1205" w:type="dxa"/>
          </w:tcPr>
          <w:p w14:paraId="783D2D2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2,300</w:t>
            </w:r>
          </w:p>
        </w:tc>
        <w:tc>
          <w:tcPr>
            <w:tcW w:w="1205" w:type="dxa"/>
          </w:tcPr>
          <w:p w14:paraId="5DF91DC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2,165</w:t>
            </w:r>
          </w:p>
        </w:tc>
        <w:tc>
          <w:tcPr>
            <w:tcW w:w="1205" w:type="dxa"/>
          </w:tcPr>
          <w:p w14:paraId="38F876EB"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1,919</w:t>
            </w:r>
          </w:p>
        </w:tc>
        <w:tc>
          <w:tcPr>
            <w:tcW w:w="1205" w:type="dxa"/>
          </w:tcPr>
          <w:p w14:paraId="2EF6F97A"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1,989</w:t>
            </w:r>
          </w:p>
        </w:tc>
        <w:tc>
          <w:tcPr>
            <w:tcW w:w="1205" w:type="dxa"/>
          </w:tcPr>
          <w:p w14:paraId="53CD8A92"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2,386</w:t>
            </w:r>
          </w:p>
        </w:tc>
        <w:tc>
          <w:tcPr>
            <w:tcW w:w="1205" w:type="dxa"/>
          </w:tcPr>
          <w:p w14:paraId="0F49E74C"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2,397</w:t>
            </w:r>
          </w:p>
        </w:tc>
        <w:tc>
          <w:tcPr>
            <w:tcW w:w="1205" w:type="dxa"/>
          </w:tcPr>
          <w:p w14:paraId="213B037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1,983</w:t>
            </w:r>
          </w:p>
        </w:tc>
        <w:tc>
          <w:tcPr>
            <w:tcW w:w="1205" w:type="dxa"/>
          </w:tcPr>
          <w:p w14:paraId="6FFF9555"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2,468</w:t>
            </w:r>
          </w:p>
        </w:tc>
      </w:tr>
      <w:tr w:rsidR="004B1E1C" w:rsidRPr="00D44CF2" w14:paraId="1551CFA7" w14:textId="77777777" w:rsidTr="00261D2D">
        <w:tc>
          <w:tcPr>
            <w:cnfStyle w:val="001000000000" w:firstRow="0" w:lastRow="0" w:firstColumn="1" w:lastColumn="0" w:oddVBand="0" w:evenVBand="0" w:oddHBand="0" w:evenHBand="0" w:firstRowFirstColumn="0" w:firstRowLastColumn="0" w:lastRowFirstColumn="0" w:lastRowLastColumn="0"/>
            <w:tcW w:w="2977" w:type="dxa"/>
          </w:tcPr>
          <w:p w14:paraId="117519C2" w14:textId="77777777" w:rsidR="0087182A" w:rsidRPr="00D44CF2" w:rsidRDefault="0087182A" w:rsidP="001A3F5B">
            <w:pPr>
              <w:pStyle w:val="TableText"/>
            </w:pPr>
            <w:r w:rsidRPr="00D44CF2">
              <w:t>Hazelwood 500 kV</w:t>
            </w:r>
          </w:p>
        </w:tc>
        <w:tc>
          <w:tcPr>
            <w:tcW w:w="1204" w:type="dxa"/>
          </w:tcPr>
          <w:p w14:paraId="5469E12C"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0</w:t>
            </w:r>
          </w:p>
        </w:tc>
        <w:tc>
          <w:tcPr>
            <w:tcW w:w="1205" w:type="dxa"/>
          </w:tcPr>
          <w:p w14:paraId="7CF0299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0</w:t>
            </w:r>
          </w:p>
        </w:tc>
        <w:tc>
          <w:tcPr>
            <w:tcW w:w="1205" w:type="dxa"/>
          </w:tcPr>
          <w:p w14:paraId="2477EF61"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1,210</w:t>
            </w:r>
          </w:p>
        </w:tc>
        <w:tc>
          <w:tcPr>
            <w:tcW w:w="1205" w:type="dxa"/>
          </w:tcPr>
          <w:p w14:paraId="28272332"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2,787</w:t>
            </w:r>
          </w:p>
        </w:tc>
        <w:tc>
          <w:tcPr>
            <w:tcW w:w="1205" w:type="dxa"/>
          </w:tcPr>
          <w:p w14:paraId="007E0F8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2,358</w:t>
            </w:r>
          </w:p>
        </w:tc>
        <w:tc>
          <w:tcPr>
            <w:tcW w:w="1205" w:type="dxa"/>
          </w:tcPr>
          <w:p w14:paraId="7F268A2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2,973</w:t>
            </w:r>
          </w:p>
        </w:tc>
        <w:tc>
          <w:tcPr>
            <w:tcW w:w="1205" w:type="dxa"/>
          </w:tcPr>
          <w:p w14:paraId="048DF6E6"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6,460</w:t>
            </w:r>
          </w:p>
        </w:tc>
        <w:tc>
          <w:tcPr>
            <w:tcW w:w="1205" w:type="dxa"/>
          </w:tcPr>
          <w:p w14:paraId="55458B94"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6,990</w:t>
            </w:r>
          </w:p>
        </w:tc>
        <w:tc>
          <w:tcPr>
            <w:tcW w:w="1205" w:type="dxa"/>
          </w:tcPr>
          <w:p w14:paraId="6808852E"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7,264</w:t>
            </w:r>
          </w:p>
        </w:tc>
        <w:tc>
          <w:tcPr>
            <w:tcW w:w="1205" w:type="dxa"/>
          </w:tcPr>
          <w:p w14:paraId="29EA1C7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8,958</w:t>
            </w:r>
          </w:p>
        </w:tc>
      </w:tr>
      <w:tr w:rsidR="004B1E1C" w:rsidRPr="00D44CF2" w14:paraId="2DFAABB7" w14:textId="77777777" w:rsidTr="00261D2D">
        <w:tc>
          <w:tcPr>
            <w:cnfStyle w:val="001000000000" w:firstRow="0" w:lastRow="0" w:firstColumn="1" w:lastColumn="0" w:oddVBand="0" w:evenVBand="0" w:oddHBand="0" w:evenHBand="0" w:firstRowFirstColumn="0" w:firstRowLastColumn="0" w:lastRowFirstColumn="0" w:lastRowLastColumn="0"/>
            <w:tcW w:w="2977" w:type="dxa"/>
          </w:tcPr>
          <w:p w14:paraId="7E9800C5" w14:textId="77777777" w:rsidR="0087182A" w:rsidRPr="00D44CF2" w:rsidRDefault="0087182A" w:rsidP="001A3F5B">
            <w:pPr>
              <w:pStyle w:val="TableText"/>
            </w:pPr>
            <w:r w:rsidRPr="00D44CF2">
              <w:t>Tragowel 500 kV</w:t>
            </w:r>
          </w:p>
        </w:tc>
        <w:tc>
          <w:tcPr>
            <w:tcW w:w="1204" w:type="dxa"/>
          </w:tcPr>
          <w:p w14:paraId="2862943B"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68DD6F47"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1202DA7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12833796"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4EF825BF"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3,100</w:t>
            </w:r>
          </w:p>
        </w:tc>
        <w:tc>
          <w:tcPr>
            <w:tcW w:w="1205" w:type="dxa"/>
          </w:tcPr>
          <w:p w14:paraId="20CCE954"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3,184</w:t>
            </w:r>
          </w:p>
        </w:tc>
        <w:tc>
          <w:tcPr>
            <w:tcW w:w="1205" w:type="dxa"/>
          </w:tcPr>
          <w:p w14:paraId="7020064B"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4,222</w:t>
            </w:r>
          </w:p>
        </w:tc>
        <w:tc>
          <w:tcPr>
            <w:tcW w:w="1205" w:type="dxa"/>
          </w:tcPr>
          <w:p w14:paraId="179E4FBA"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4,402</w:t>
            </w:r>
          </w:p>
        </w:tc>
        <w:tc>
          <w:tcPr>
            <w:tcW w:w="1205" w:type="dxa"/>
          </w:tcPr>
          <w:p w14:paraId="2F655C6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3,846</w:t>
            </w:r>
          </w:p>
        </w:tc>
        <w:tc>
          <w:tcPr>
            <w:tcW w:w="1205" w:type="dxa"/>
          </w:tcPr>
          <w:p w14:paraId="5E95A57E"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4,894</w:t>
            </w:r>
          </w:p>
        </w:tc>
      </w:tr>
      <w:tr w:rsidR="004B1E1C" w:rsidRPr="00D44CF2" w14:paraId="2E08556F" w14:textId="77777777" w:rsidTr="00261D2D">
        <w:tc>
          <w:tcPr>
            <w:cnfStyle w:val="001000000000" w:firstRow="0" w:lastRow="0" w:firstColumn="1" w:lastColumn="0" w:oddVBand="0" w:evenVBand="0" w:oddHBand="0" w:evenHBand="0" w:firstRowFirstColumn="0" w:firstRowLastColumn="0" w:lastRowFirstColumn="0" w:lastRowLastColumn="0"/>
            <w:tcW w:w="2977" w:type="dxa"/>
          </w:tcPr>
          <w:p w14:paraId="049A5643" w14:textId="77777777" w:rsidR="0087182A" w:rsidRPr="00D44CF2" w:rsidRDefault="0087182A" w:rsidP="001A3F5B">
            <w:pPr>
              <w:pStyle w:val="TableText"/>
            </w:pPr>
            <w:r w:rsidRPr="00D44CF2">
              <w:t>Moorabool 220 kV</w:t>
            </w:r>
          </w:p>
        </w:tc>
        <w:tc>
          <w:tcPr>
            <w:tcW w:w="1204" w:type="dxa"/>
          </w:tcPr>
          <w:p w14:paraId="2FEC0675"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0</w:t>
            </w:r>
          </w:p>
        </w:tc>
        <w:tc>
          <w:tcPr>
            <w:tcW w:w="1205" w:type="dxa"/>
          </w:tcPr>
          <w:p w14:paraId="0CC0803D"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0</w:t>
            </w:r>
          </w:p>
        </w:tc>
        <w:tc>
          <w:tcPr>
            <w:tcW w:w="1205" w:type="dxa"/>
          </w:tcPr>
          <w:p w14:paraId="50044D72"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1,202</w:t>
            </w:r>
          </w:p>
        </w:tc>
        <w:tc>
          <w:tcPr>
            <w:tcW w:w="1205" w:type="dxa"/>
          </w:tcPr>
          <w:p w14:paraId="501BEB79"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1,456</w:t>
            </w:r>
          </w:p>
        </w:tc>
        <w:tc>
          <w:tcPr>
            <w:tcW w:w="1205" w:type="dxa"/>
          </w:tcPr>
          <w:p w14:paraId="5A2571B9"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1,536</w:t>
            </w:r>
          </w:p>
        </w:tc>
        <w:tc>
          <w:tcPr>
            <w:tcW w:w="1205" w:type="dxa"/>
          </w:tcPr>
          <w:p w14:paraId="6988AE35"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1,556</w:t>
            </w:r>
          </w:p>
        </w:tc>
        <w:tc>
          <w:tcPr>
            <w:tcW w:w="1205" w:type="dxa"/>
          </w:tcPr>
          <w:p w14:paraId="3B900597"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4,184</w:t>
            </w:r>
          </w:p>
        </w:tc>
        <w:tc>
          <w:tcPr>
            <w:tcW w:w="1205" w:type="dxa"/>
          </w:tcPr>
          <w:p w14:paraId="1F333FA2"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5,823</w:t>
            </w:r>
          </w:p>
        </w:tc>
        <w:tc>
          <w:tcPr>
            <w:tcW w:w="1205" w:type="dxa"/>
          </w:tcPr>
          <w:p w14:paraId="0C1CF229"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5,637</w:t>
            </w:r>
          </w:p>
        </w:tc>
        <w:tc>
          <w:tcPr>
            <w:tcW w:w="1205" w:type="dxa"/>
          </w:tcPr>
          <w:p w14:paraId="4D82CD3C"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6,409</w:t>
            </w:r>
          </w:p>
        </w:tc>
      </w:tr>
      <w:tr w:rsidR="004B1E1C" w:rsidRPr="00D44CF2" w14:paraId="0559EBED" w14:textId="77777777" w:rsidTr="00261D2D">
        <w:tc>
          <w:tcPr>
            <w:cnfStyle w:val="001000000000" w:firstRow="0" w:lastRow="0" w:firstColumn="1" w:lastColumn="0" w:oddVBand="0" w:evenVBand="0" w:oddHBand="0" w:evenHBand="0" w:firstRowFirstColumn="0" w:firstRowLastColumn="0" w:lastRowFirstColumn="0" w:lastRowLastColumn="0"/>
            <w:tcW w:w="2977" w:type="dxa"/>
          </w:tcPr>
          <w:p w14:paraId="10C2469D" w14:textId="77777777" w:rsidR="0087182A" w:rsidRPr="00D44CF2" w:rsidRDefault="0087182A" w:rsidP="001A3F5B">
            <w:pPr>
              <w:pStyle w:val="TableText"/>
            </w:pPr>
            <w:r w:rsidRPr="00D44CF2">
              <w:t>Mortlake 500 kV</w:t>
            </w:r>
          </w:p>
        </w:tc>
        <w:tc>
          <w:tcPr>
            <w:tcW w:w="1204" w:type="dxa"/>
          </w:tcPr>
          <w:p w14:paraId="081BACDC"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0</w:t>
            </w:r>
          </w:p>
        </w:tc>
        <w:tc>
          <w:tcPr>
            <w:tcW w:w="1205" w:type="dxa"/>
          </w:tcPr>
          <w:p w14:paraId="28C333C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51</w:t>
            </w:r>
          </w:p>
        </w:tc>
        <w:tc>
          <w:tcPr>
            <w:tcW w:w="1205" w:type="dxa"/>
          </w:tcPr>
          <w:p w14:paraId="63A5906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1,070</w:t>
            </w:r>
          </w:p>
        </w:tc>
        <w:tc>
          <w:tcPr>
            <w:tcW w:w="1205" w:type="dxa"/>
          </w:tcPr>
          <w:p w14:paraId="61A109EB"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1,260</w:t>
            </w:r>
          </w:p>
        </w:tc>
        <w:tc>
          <w:tcPr>
            <w:tcW w:w="1205" w:type="dxa"/>
          </w:tcPr>
          <w:p w14:paraId="7A06620C"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1,298</w:t>
            </w:r>
          </w:p>
        </w:tc>
        <w:tc>
          <w:tcPr>
            <w:tcW w:w="1205" w:type="dxa"/>
          </w:tcPr>
          <w:p w14:paraId="61EC52DB"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1,311</w:t>
            </w:r>
          </w:p>
        </w:tc>
        <w:tc>
          <w:tcPr>
            <w:tcW w:w="1205" w:type="dxa"/>
          </w:tcPr>
          <w:p w14:paraId="423375FF"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2,507</w:t>
            </w:r>
          </w:p>
        </w:tc>
        <w:tc>
          <w:tcPr>
            <w:tcW w:w="1205" w:type="dxa"/>
          </w:tcPr>
          <w:p w14:paraId="4B429AB1"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2,954</w:t>
            </w:r>
          </w:p>
        </w:tc>
        <w:tc>
          <w:tcPr>
            <w:tcW w:w="1205" w:type="dxa"/>
          </w:tcPr>
          <w:p w14:paraId="55355716"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2,823</w:t>
            </w:r>
          </w:p>
        </w:tc>
        <w:tc>
          <w:tcPr>
            <w:tcW w:w="1205" w:type="dxa"/>
          </w:tcPr>
          <w:p w14:paraId="7A5AB836"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3,273</w:t>
            </w:r>
          </w:p>
        </w:tc>
      </w:tr>
      <w:tr w:rsidR="004B1E1C" w:rsidRPr="00D44CF2" w14:paraId="7AA4F51C" w14:textId="77777777" w:rsidTr="00261D2D">
        <w:tc>
          <w:tcPr>
            <w:cnfStyle w:val="001000000000" w:firstRow="0" w:lastRow="0" w:firstColumn="1" w:lastColumn="0" w:oddVBand="0" w:evenVBand="0" w:oddHBand="0" w:evenHBand="0" w:firstRowFirstColumn="0" w:firstRowLastColumn="0" w:lastRowFirstColumn="0" w:lastRowLastColumn="0"/>
            <w:tcW w:w="2977" w:type="dxa"/>
          </w:tcPr>
          <w:p w14:paraId="65BCA3C2" w14:textId="77777777" w:rsidR="0087182A" w:rsidRPr="00D44CF2" w:rsidRDefault="0087182A" w:rsidP="001A3F5B">
            <w:pPr>
              <w:pStyle w:val="TableText"/>
            </w:pPr>
            <w:r w:rsidRPr="00D44CF2">
              <w:t>Red Cliffs 220 kV</w:t>
            </w:r>
          </w:p>
        </w:tc>
        <w:tc>
          <w:tcPr>
            <w:tcW w:w="1204" w:type="dxa"/>
          </w:tcPr>
          <w:p w14:paraId="10E34051"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0</w:t>
            </w:r>
          </w:p>
        </w:tc>
        <w:tc>
          <w:tcPr>
            <w:tcW w:w="1205" w:type="dxa"/>
          </w:tcPr>
          <w:p w14:paraId="79271A0C"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510</w:t>
            </w:r>
          </w:p>
        </w:tc>
        <w:tc>
          <w:tcPr>
            <w:tcW w:w="1205" w:type="dxa"/>
          </w:tcPr>
          <w:p w14:paraId="6C1F282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704</w:t>
            </w:r>
          </w:p>
        </w:tc>
        <w:tc>
          <w:tcPr>
            <w:tcW w:w="1205" w:type="dxa"/>
          </w:tcPr>
          <w:p w14:paraId="025472A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670</w:t>
            </w:r>
          </w:p>
        </w:tc>
        <w:tc>
          <w:tcPr>
            <w:tcW w:w="1205" w:type="dxa"/>
          </w:tcPr>
          <w:p w14:paraId="7CBF4EB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770</w:t>
            </w:r>
          </w:p>
        </w:tc>
        <w:tc>
          <w:tcPr>
            <w:tcW w:w="1205" w:type="dxa"/>
          </w:tcPr>
          <w:p w14:paraId="523B27A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786</w:t>
            </w:r>
          </w:p>
        </w:tc>
        <w:tc>
          <w:tcPr>
            <w:tcW w:w="1205" w:type="dxa"/>
          </w:tcPr>
          <w:p w14:paraId="426D47E6"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887</w:t>
            </w:r>
          </w:p>
        </w:tc>
        <w:tc>
          <w:tcPr>
            <w:tcW w:w="1205" w:type="dxa"/>
          </w:tcPr>
          <w:p w14:paraId="756C23A9"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895</w:t>
            </w:r>
          </w:p>
        </w:tc>
        <w:tc>
          <w:tcPr>
            <w:tcW w:w="1205" w:type="dxa"/>
          </w:tcPr>
          <w:p w14:paraId="50A0F3D1"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818</w:t>
            </w:r>
          </w:p>
        </w:tc>
        <w:tc>
          <w:tcPr>
            <w:tcW w:w="1205" w:type="dxa"/>
          </w:tcPr>
          <w:p w14:paraId="49B688A5"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945</w:t>
            </w:r>
          </w:p>
        </w:tc>
      </w:tr>
      <w:tr w:rsidR="004B1E1C" w:rsidRPr="00D44CF2" w14:paraId="3DBFE9E3" w14:textId="77777777" w:rsidTr="00261D2D">
        <w:tc>
          <w:tcPr>
            <w:cnfStyle w:val="001000000000" w:firstRow="0" w:lastRow="0" w:firstColumn="1" w:lastColumn="0" w:oddVBand="0" w:evenVBand="0" w:oddHBand="0" w:evenHBand="0" w:firstRowFirstColumn="0" w:firstRowLastColumn="0" w:lastRowFirstColumn="0" w:lastRowLastColumn="0"/>
            <w:tcW w:w="2977" w:type="dxa"/>
          </w:tcPr>
          <w:p w14:paraId="255C24D7" w14:textId="77777777" w:rsidR="0087182A" w:rsidRPr="00D44CF2" w:rsidRDefault="0087182A" w:rsidP="001A3F5B">
            <w:pPr>
              <w:pStyle w:val="TableText"/>
            </w:pPr>
            <w:r w:rsidRPr="00D44CF2">
              <w:t>Thomastown 220 kV</w:t>
            </w:r>
          </w:p>
        </w:tc>
        <w:tc>
          <w:tcPr>
            <w:tcW w:w="1204" w:type="dxa"/>
          </w:tcPr>
          <w:p w14:paraId="5AFE14B6"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1,031</w:t>
            </w:r>
          </w:p>
        </w:tc>
        <w:tc>
          <w:tcPr>
            <w:tcW w:w="1205" w:type="dxa"/>
          </w:tcPr>
          <w:p w14:paraId="606D6454"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1,051</w:t>
            </w:r>
          </w:p>
        </w:tc>
        <w:tc>
          <w:tcPr>
            <w:tcW w:w="1205" w:type="dxa"/>
          </w:tcPr>
          <w:p w14:paraId="5FAEDF07"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2,434</w:t>
            </w:r>
          </w:p>
        </w:tc>
        <w:tc>
          <w:tcPr>
            <w:tcW w:w="1205" w:type="dxa"/>
          </w:tcPr>
          <w:p w14:paraId="52AEFAB1"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2,813</w:t>
            </w:r>
          </w:p>
        </w:tc>
        <w:tc>
          <w:tcPr>
            <w:tcW w:w="1205" w:type="dxa"/>
          </w:tcPr>
          <w:p w14:paraId="1DD42867"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2,692</w:t>
            </w:r>
          </w:p>
        </w:tc>
        <w:tc>
          <w:tcPr>
            <w:tcW w:w="1205" w:type="dxa"/>
          </w:tcPr>
          <w:p w14:paraId="6F1EB18F"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2,837</w:t>
            </w:r>
          </w:p>
        </w:tc>
        <w:tc>
          <w:tcPr>
            <w:tcW w:w="1205" w:type="dxa"/>
          </w:tcPr>
          <w:p w14:paraId="078EB95B"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3,948</w:t>
            </w:r>
          </w:p>
        </w:tc>
        <w:tc>
          <w:tcPr>
            <w:tcW w:w="1205" w:type="dxa"/>
          </w:tcPr>
          <w:p w14:paraId="09699C06"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4,081</w:t>
            </w:r>
          </w:p>
        </w:tc>
        <w:tc>
          <w:tcPr>
            <w:tcW w:w="1205" w:type="dxa"/>
          </w:tcPr>
          <w:p w14:paraId="33933BFE"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3,989</w:t>
            </w:r>
          </w:p>
        </w:tc>
        <w:tc>
          <w:tcPr>
            <w:tcW w:w="1205" w:type="dxa"/>
          </w:tcPr>
          <w:p w14:paraId="3271406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4,328</w:t>
            </w:r>
          </w:p>
        </w:tc>
      </w:tr>
      <w:tr w:rsidR="004B1E1C" w:rsidRPr="00D44CF2" w14:paraId="2CBF6508" w14:textId="77777777" w:rsidTr="00261D2D">
        <w:trPr>
          <w:trHeight w:val="77"/>
        </w:trPr>
        <w:tc>
          <w:tcPr>
            <w:cnfStyle w:val="001000000000" w:firstRow="0" w:lastRow="0" w:firstColumn="1" w:lastColumn="0" w:oddVBand="0" w:evenVBand="0" w:oddHBand="0" w:evenHBand="0" w:firstRowFirstColumn="0" w:firstRowLastColumn="0" w:lastRowFirstColumn="0" w:lastRowLastColumn="0"/>
            <w:tcW w:w="2977" w:type="dxa"/>
          </w:tcPr>
          <w:p w14:paraId="067C6DBA" w14:textId="77777777" w:rsidR="0087182A" w:rsidRPr="00D44CF2" w:rsidRDefault="0087182A" w:rsidP="001A3F5B">
            <w:pPr>
              <w:pStyle w:val="TableText"/>
            </w:pPr>
            <w:r w:rsidRPr="00D44CF2">
              <w:t>Giffard (Gippsland) 500 kV</w:t>
            </w:r>
          </w:p>
        </w:tc>
        <w:tc>
          <w:tcPr>
            <w:tcW w:w="1204" w:type="dxa"/>
          </w:tcPr>
          <w:p w14:paraId="6E8A3E4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48831A9B"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68A081CD"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70A078FA"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574DF10D"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64255EA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3,285</w:t>
            </w:r>
          </w:p>
        </w:tc>
        <w:tc>
          <w:tcPr>
            <w:tcW w:w="1205" w:type="dxa"/>
          </w:tcPr>
          <w:p w14:paraId="08AD3232"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4,870</w:t>
            </w:r>
          </w:p>
        </w:tc>
        <w:tc>
          <w:tcPr>
            <w:tcW w:w="1205" w:type="dxa"/>
          </w:tcPr>
          <w:p w14:paraId="776B4F8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rPr>
                <w:szCs w:val="22"/>
              </w:rPr>
              <w:t>5,014</w:t>
            </w:r>
          </w:p>
        </w:tc>
        <w:tc>
          <w:tcPr>
            <w:tcW w:w="1205" w:type="dxa"/>
          </w:tcPr>
          <w:p w14:paraId="6AD5C93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rPr>
                <w:szCs w:val="22"/>
              </w:rPr>
              <w:t>5,140</w:t>
            </w:r>
          </w:p>
        </w:tc>
        <w:tc>
          <w:tcPr>
            <w:tcW w:w="1205" w:type="dxa"/>
          </w:tcPr>
          <w:p w14:paraId="2694925B"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rPr>
                <w:szCs w:val="22"/>
              </w:rPr>
              <w:t>5,628</w:t>
            </w:r>
          </w:p>
        </w:tc>
      </w:tr>
      <w:tr w:rsidR="004B1E1C" w:rsidRPr="00D44CF2" w14:paraId="23DA2FB1" w14:textId="77777777" w:rsidTr="00261D2D">
        <w:trPr>
          <w:trHeight w:val="77"/>
        </w:trPr>
        <w:tc>
          <w:tcPr>
            <w:cnfStyle w:val="001000000000" w:firstRow="0" w:lastRow="0" w:firstColumn="1" w:lastColumn="0" w:oddVBand="0" w:evenVBand="0" w:oddHBand="0" w:evenHBand="0" w:firstRowFirstColumn="0" w:firstRowLastColumn="0" w:lastRowFirstColumn="0" w:lastRowLastColumn="0"/>
            <w:tcW w:w="2977" w:type="dxa"/>
          </w:tcPr>
          <w:p w14:paraId="4593B1AF" w14:textId="77777777" w:rsidR="0087182A" w:rsidRPr="00D44CF2" w:rsidRDefault="0087182A" w:rsidP="001A3F5B">
            <w:pPr>
              <w:pStyle w:val="TableText"/>
            </w:pPr>
            <w:r w:rsidRPr="00D44CF2">
              <w:lastRenderedPageBreak/>
              <w:t>Woodside (Gippsland) 500 kV</w:t>
            </w:r>
          </w:p>
        </w:tc>
        <w:tc>
          <w:tcPr>
            <w:tcW w:w="1204" w:type="dxa"/>
          </w:tcPr>
          <w:p w14:paraId="4E144EE1"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7C22F27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63BBB7AF"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33829E4D"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34FFAEC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4FE050EC"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6B8D3EA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w:t>
            </w:r>
          </w:p>
        </w:tc>
        <w:tc>
          <w:tcPr>
            <w:tcW w:w="1205" w:type="dxa"/>
          </w:tcPr>
          <w:p w14:paraId="24A99377"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rPr>
                <w:szCs w:val="22"/>
              </w:rPr>
              <w:t>5,124</w:t>
            </w:r>
          </w:p>
        </w:tc>
        <w:tc>
          <w:tcPr>
            <w:tcW w:w="1205" w:type="dxa"/>
          </w:tcPr>
          <w:p w14:paraId="188B0D61"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rPr>
                <w:szCs w:val="22"/>
              </w:rPr>
              <w:t>5,248</w:t>
            </w:r>
          </w:p>
        </w:tc>
        <w:tc>
          <w:tcPr>
            <w:tcW w:w="1205" w:type="dxa"/>
          </w:tcPr>
          <w:p w14:paraId="298D1137"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6,530</w:t>
            </w:r>
          </w:p>
        </w:tc>
      </w:tr>
    </w:tbl>
    <w:bookmarkEnd w:id="266"/>
    <w:p w14:paraId="7E3A4A85" w14:textId="136D656F" w:rsidR="0087182A" w:rsidRPr="00D44CF2" w:rsidRDefault="0087182A" w:rsidP="0087182A">
      <w:pPr>
        <w:pStyle w:val="Heading4"/>
      </w:pPr>
      <w:r w:rsidRPr="00D44CF2">
        <w:t>System strength locational factors</w:t>
      </w:r>
    </w:p>
    <w:p w14:paraId="4E3E5616" w14:textId="77777777" w:rsidR="002F0DB5" w:rsidRPr="00D44CF2" w:rsidRDefault="0087182A" w:rsidP="0087182A">
      <w:pPr>
        <w:pStyle w:val="BodyText"/>
      </w:pPr>
      <w:r w:rsidRPr="00D44CF2">
        <w:t xml:space="preserve">AVP as SSSP for Victoria must publish the system strength locational factor and corresponding system strength node for each of its system strength connection points. AVP currently has two system strength connection points, where a connection proponent has elected to pay the system strength charge (SSC). The System Strength Locational Factor (SSLF) is one of the variables which must be used along with the System Strength Unit Price (SSUP) to calculate the SSC. </w:t>
      </w:r>
    </w:p>
    <w:p w14:paraId="1D49BE17" w14:textId="00616D27" w:rsidR="0087182A" w:rsidRPr="00D44CF2" w:rsidRDefault="0087182A" w:rsidP="0087182A">
      <w:pPr>
        <w:pStyle w:val="BodyText"/>
      </w:pPr>
      <w:r w:rsidRPr="00D44CF2">
        <w:rPr>
          <w:b/>
        </w:rPr>
        <w:fldChar w:fldCharType="begin"/>
      </w:r>
      <w:r w:rsidRPr="00D44CF2">
        <w:rPr>
          <w:b/>
          <w:bCs/>
        </w:rPr>
        <w:instrText xml:space="preserve"> REF _Ref175936290 \r \h  \* MERGEFORMAT </w:instrText>
      </w:r>
      <w:r w:rsidRPr="00D44CF2">
        <w:rPr>
          <w:b/>
        </w:rPr>
      </w:r>
      <w:r w:rsidRPr="00D44CF2">
        <w:rPr>
          <w:b/>
        </w:rPr>
        <w:fldChar w:fldCharType="separate"/>
      </w:r>
      <w:r w:rsidR="004973D2">
        <w:rPr>
          <w:b/>
          <w:bCs/>
        </w:rPr>
        <w:t>Table 16</w:t>
      </w:r>
      <w:r w:rsidRPr="00D44CF2">
        <w:rPr>
          <w:b/>
        </w:rPr>
        <w:fldChar w:fldCharType="end"/>
      </w:r>
      <w:r w:rsidRPr="00D44CF2">
        <w:t xml:space="preserve"> presents the SSLF and corresponding system strength node for AVP’s system strength connection points.</w:t>
      </w:r>
    </w:p>
    <w:p w14:paraId="310E2FE1" w14:textId="77777777" w:rsidR="0087182A" w:rsidRPr="00D44CF2" w:rsidRDefault="0087182A" w:rsidP="0087182A">
      <w:pPr>
        <w:pStyle w:val="CaptionTable"/>
      </w:pPr>
      <w:bookmarkStart w:id="271" w:name="_Ref175936290"/>
      <w:bookmarkStart w:id="272" w:name="_Toc180655842"/>
      <w:bookmarkStart w:id="273" w:name="_Toc212023320"/>
      <w:r w:rsidRPr="00D44CF2">
        <w:t>System strength locational factors</w:t>
      </w:r>
      <w:bookmarkEnd w:id="271"/>
      <w:bookmarkEnd w:id="272"/>
      <w:bookmarkEnd w:id="273"/>
    </w:p>
    <w:tbl>
      <w:tblPr>
        <w:tblStyle w:val="AEMO-Table5"/>
        <w:tblW w:w="5000" w:type="pct"/>
        <w:tblLayout w:type="fixed"/>
        <w:tblLook w:val="04A0" w:firstRow="1" w:lastRow="0" w:firstColumn="1" w:lastColumn="0" w:noHBand="0" w:noVBand="1"/>
      </w:tblPr>
      <w:tblGrid>
        <w:gridCol w:w="3686"/>
        <w:gridCol w:w="3044"/>
        <w:gridCol w:w="3363"/>
      </w:tblGrid>
      <w:tr w:rsidR="00D04E7E" w:rsidRPr="00D44CF2" w14:paraId="239638A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6" w:type="pct"/>
            <w:noWrap/>
            <w:hideMark/>
          </w:tcPr>
          <w:p w14:paraId="084F9512" w14:textId="77777777" w:rsidR="0087182A" w:rsidRPr="00D44CF2" w:rsidRDefault="0087182A" w:rsidP="001A3F5B">
            <w:pPr>
              <w:pStyle w:val="TableText"/>
            </w:pPr>
            <w:r w:rsidRPr="00D44CF2">
              <w:t>System strength connection point</w:t>
            </w:r>
          </w:p>
        </w:tc>
        <w:tc>
          <w:tcPr>
            <w:tcW w:w="1508" w:type="pct"/>
            <w:noWrap/>
            <w:hideMark/>
          </w:tcPr>
          <w:p w14:paraId="70168E35"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System Strength Locational Factor (SSLF)</w:t>
            </w:r>
          </w:p>
        </w:tc>
        <w:tc>
          <w:tcPr>
            <w:tcW w:w="1666" w:type="pct"/>
            <w:noWrap/>
            <w:hideMark/>
          </w:tcPr>
          <w:p w14:paraId="2C5A69B6"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Corresponding system strength node</w:t>
            </w:r>
          </w:p>
        </w:tc>
      </w:tr>
      <w:tr w:rsidR="0087182A" w:rsidRPr="00D44CF2" w14:paraId="75D73533"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1826" w:type="pct"/>
            <w:noWrap/>
            <w:hideMark/>
          </w:tcPr>
          <w:p w14:paraId="5508D1E2" w14:textId="77777777" w:rsidR="0087182A" w:rsidRPr="00D44CF2" w:rsidRDefault="0087182A" w:rsidP="001A3F5B">
            <w:pPr>
              <w:pStyle w:val="TableText"/>
            </w:pPr>
            <w:r w:rsidRPr="00D44CF2">
              <w:t>Cressy Terminal Station 220 kV</w:t>
            </w:r>
          </w:p>
        </w:tc>
        <w:tc>
          <w:tcPr>
            <w:tcW w:w="1508" w:type="pct"/>
            <w:noWrap/>
          </w:tcPr>
          <w:p w14:paraId="4E68BC2B" w14:textId="77777777" w:rsidR="0087182A" w:rsidRPr="00D44CF2" w:rsidRDefault="0087182A" w:rsidP="00A3115F">
            <w:pPr>
              <w:pStyle w:val="TableText"/>
              <w:jc w:val="right"/>
              <w:cnfStyle w:val="000000000000" w:firstRow="0" w:lastRow="0" w:firstColumn="0" w:lastColumn="0" w:oddVBand="0" w:evenVBand="0" w:oddHBand="0" w:evenHBand="0" w:firstRowFirstColumn="0" w:firstRowLastColumn="0" w:lastRowFirstColumn="0" w:lastRowLastColumn="0"/>
            </w:pPr>
            <w:r w:rsidRPr="00D44CF2">
              <w:t>1.02</w:t>
            </w:r>
          </w:p>
        </w:tc>
        <w:tc>
          <w:tcPr>
            <w:tcW w:w="1666" w:type="pct"/>
            <w:noWrap/>
          </w:tcPr>
          <w:p w14:paraId="23079B22"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Moorabool 220 kV</w:t>
            </w:r>
          </w:p>
        </w:tc>
      </w:tr>
      <w:tr w:rsidR="0087182A" w:rsidRPr="00D44CF2" w14:paraId="7EF17797"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1826" w:type="pct"/>
            <w:noWrap/>
          </w:tcPr>
          <w:p w14:paraId="5C20DB2A" w14:textId="4E281700" w:rsidR="0087182A" w:rsidRPr="00D44CF2" w:rsidRDefault="0087182A" w:rsidP="001A3F5B">
            <w:pPr>
              <w:pStyle w:val="TableText"/>
            </w:pPr>
            <w:r w:rsidRPr="00D44CF2">
              <w:t>Axedale Terminal Station 220 kV (proposed operational December 2026)</w:t>
            </w:r>
          </w:p>
        </w:tc>
        <w:tc>
          <w:tcPr>
            <w:tcW w:w="1508" w:type="pct"/>
            <w:shd w:val="clear" w:color="auto" w:fill="auto"/>
            <w:noWrap/>
          </w:tcPr>
          <w:p w14:paraId="7384BAFD" w14:textId="77777777" w:rsidR="0087182A" w:rsidRPr="00D44CF2" w:rsidRDefault="0087182A" w:rsidP="00A3115F">
            <w:pPr>
              <w:pStyle w:val="TableText"/>
              <w:jc w:val="right"/>
              <w:cnfStyle w:val="000000000000" w:firstRow="0" w:lastRow="0" w:firstColumn="0" w:lastColumn="0" w:oddVBand="0" w:evenVBand="0" w:oddHBand="0" w:evenHBand="0" w:firstRowFirstColumn="0" w:firstRowLastColumn="0" w:lastRowFirstColumn="0" w:lastRowLastColumn="0"/>
            </w:pPr>
            <w:r w:rsidRPr="00D44CF2">
              <w:t>1.06</w:t>
            </w:r>
          </w:p>
        </w:tc>
        <w:tc>
          <w:tcPr>
            <w:tcW w:w="1666" w:type="pct"/>
            <w:shd w:val="clear" w:color="auto" w:fill="auto"/>
            <w:noWrap/>
          </w:tcPr>
          <w:p w14:paraId="460668D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Dederang 220 kV</w:t>
            </w:r>
          </w:p>
        </w:tc>
      </w:tr>
    </w:tbl>
    <w:p w14:paraId="1085DA7D" w14:textId="77777777" w:rsidR="0087182A" w:rsidRPr="00D44CF2" w:rsidRDefault="0087182A" w:rsidP="0087182A">
      <w:pPr>
        <w:pStyle w:val="Heading3"/>
      </w:pPr>
      <w:r w:rsidRPr="00D44CF2">
        <w:t>Inertia requirements</w:t>
      </w:r>
    </w:p>
    <w:p w14:paraId="7A1B9FFC" w14:textId="77777777" w:rsidR="0087182A" w:rsidRPr="00D44CF2" w:rsidRDefault="0087182A" w:rsidP="0087182A">
      <w:pPr>
        <w:pStyle w:val="BodyText"/>
      </w:pPr>
      <w:r w:rsidRPr="00D44CF2">
        <w:t>Inertia describes an immediate and inherent electrical response from connected devices that acts to oppose changes in frequency. Ensuring sufficient levels of inertia are available allows the power system to resist large changes in frequency that can arise following a contingency event. Conventionally, inertia is provided by large synchronous machines.</w:t>
      </w:r>
    </w:p>
    <w:p w14:paraId="10D577B1" w14:textId="33E3498E" w:rsidR="0087182A" w:rsidRPr="00D44CF2" w:rsidRDefault="0087182A" w:rsidP="0087182A">
      <w:pPr>
        <w:pStyle w:val="BodyText"/>
      </w:pPr>
      <w:r w:rsidRPr="00D44CF2">
        <w:t>As part of the Improving Security Frameworks for the Energy Transition (ISF) rule determination made by the AEMC in March 2024, multiple changes to the management of inertia have been made, including:</w:t>
      </w:r>
    </w:p>
    <w:p w14:paraId="685D7F90" w14:textId="77777777" w:rsidR="0087182A" w:rsidRPr="00D44CF2" w:rsidRDefault="0087182A" w:rsidP="0087182A">
      <w:pPr>
        <w:pStyle w:val="ListBullet"/>
      </w:pPr>
      <w:r w:rsidRPr="00D44CF2">
        <w:t>introducing a NEM-wide inertia floor for interconnected operation, alongside a modified framework to ensure security under islanded conditions,</w:t>
      </w:r>
    </w:p>
    <w:p w14:paraId="5180B860" w14:textId="26B4EDA2" w:rsidR="0087182A" w:rsidRPr="00D44CF2" w:rsidRDefault="0087182A" w:rsidP="0087182A">
      <w:pPr>
        <w:pStyle w:val="ListBullet"/>
      </w:pPr>
      <w:r w:rsidRPr="00D44CF2">
        <w:t>aligning procurement timeframes with the system strength framework,</w:t>
      </w:r>
    </w:p>
    <w:p w14:paraId="522E18AF" w14:textId="77777777" w:rsidR="0087182A" w:rsidRPr="00D44CF2" w:rsidRDefault="0087182A" w:rsidP="0087182A">
      <w:pPr>
        <w:pStyle w:val="ListBullet"/>
      </w:pPr>
      <w:r w:rsidRPr="00D44CF2">
        <w:t>removing restrictions on the procurement of synthetic inertia, and</w:t>
      </w:r>
    </w:p>
    <w:p w14:paraId="4D75DB4C" w14:textId="482E5752" w:rsidR="0087182A" w:rsidRPr="00D44CF2" w:rsidRDefault="0087182A" w:rsidP="0087182A">
      <w:pPr>
        <w:pStyle w:val="ListBullet"/>
      </w:pPr>
      <w:r w:rsidRPr="00D44CF2">
        <w:t>removing the exclusion on inertia network services and system strength under the NSCAS framework to ensure there is a backstop procurement arrangement in place to procure these services where a shortfall emerges in the near term before primary frameworks can address it.</w:t>
      </w:r>
    </w:p>
    <w:p w14:paraId="3D6AD7C3" w14:textId="77777777" w:rsidR="0087182A" w:rsidRPr="00D44CF2" w:rsidRDefault="0087182A" w:rsidP="0087182A">
      <w:r w:rsidRPr="00D44CF2">
        <w:t xml:space="preserve">Under NER 5.20.4, AEMO published the latest </w:t>
      </w:r>
      <w:r w:rsidRPr="00D44CF2">
        <w:rPr>
          <w:i/>
        </w:rPr>
        <w:t>Inertia Requirements Methodology</w:t>
      </w:r>
      <w:r w:rsidRPr="00D44CF2">
        <w:t xml:space="preserve"> in December 2024, introducing the following new requirements:</w:t>
      </w:r>
    </w:p>
    <w:p w14:paraId="46E435EC" w14:textId="77777777" w:rsidR="0087182A" w:rsidRPr="00D44CF2" w:rsidRDefault="0087182A" w:rsidP="0087182A">
      <w:pPr>
        <w:pStyle w:val="ListBullet"/>
      </w:pPr>
      <w:r w:rsidRPr="00D44CF2">
        <w:t>system-wide inertia level, being the mainland inertia required to operate the mainland regions of the NEM securely, and</w:t>
      </w:r>
    </w:p>
    <w:p w14:paraId="3BF56FA8" w14:textId="77777777" w:rsidR="0087182A" w:rsidRPr="00D44CF2" w:rsidRDefault="0087182A" w:rsidP="0087182A">
      <w:pPr>
        <w:pStyle w:val="ListBullet"/>
      </w:pPr>
      <w:r w:rsidRPr="00D44CF2">
        <w:lastRenderedPageBreak/>
        <w:t xml:space="preserve">inertia sub-network allocation, being the portion of the system-wide inertia level allocated to that inertia sub-network. </w:t>
      </w:r>
    </w:p>
    <w:p w14:paraId="51C96077" w14:textId="3EF17A50" w:rsidR="0087182A" w:rsidRPr="00D44CF2" w:rsidRDefault="0087182A" w:rsidP="0087182A">
      <w:pPr>
        <w:pStyle w:val="BodyText"/>
      </w:pPr>
      <w:r w:rsidRPr="00D44CF2">
        <w:t xml:space="preserve">The 2024 </w:t>
      </w:r>
      <w:r w:rsidRPr="00D44CF2">
        <w:rPr>
          <w:i/>
        </w:rPr>
        <w:t>Inertia Report</w:t>
      </w:r>
      <w:r w:rsidRPr="00D44CF2">
        <w:t xml:space="preserve"> and 2024 </w:t>
      </w:r>
      <w:r w:rsidRPr="00D44CF2">
        <w:rPr>
          <w:i/>
          <w:iCs/>
        </w:rPr>
        <w:t>NSCAS Report</w:t>
      </w:r>
      <w:r w:rsidRPr="00D44CF2">
        <w:t xml:space="preserve"> showed the projected level of inertia in Victoria is expected to fall below the inertia sub</w:t>
      </w:r>
      <w:r w:rsidRPr="00D44CF2">
        <w:noBreakHyphen/>
        <w:t xml:space="preserve">network allocation by 2,606 MWs in 2026-27 and 6,532 MWs in 2027-28 (see </w:t>
      </w:r>
      <w:r w:rsidRPr="00D44CF2">
        <w:rPr>
          <w:b/>
          <w:bCs/>
        </w:rPr>
        <w:fldChar w:fldCharType="begin"/>
      </w:r>
      <w:r w:rsidRPr="00D44CF2">
        <w:rPr>
          <w:b/>
          <w:bCs/>
        </w:rPr>
        <w:instrText xml:space="preserve"> REF _Ref208394243 \r \h  \* MERGEFORMAT </w:instrText>
      </w:r>
      <w:r w:rsidRPr="00D44CF2">
        <w:rPr>
          <w:b/>
          <w:bCs/>
        </w:rPr>
      </w:r>
      <w:r w:rsidRPr="00D44CF2">
        <w:rPr>
          <w:b/>
          <w:bCs/>
        </w:rPr>
        <w:fldChar w:fldCharType="separate"/>
      </w:r>
      <w:r w:rsidR="004973D2">
        <w:rPr>
          <w:b/>
          <w:bCs/>
        </w:rPr>
        <w:t>Table 17</w:t>
      </w:r>
      <w:r w:rsidRPr="00D44CF2">
        <w:rPr>
          <w:b/>
          <w:bCs/>
        </w:rPr>
        <w:fldChar w:fldCharType="end"/>
      </w:r>
      <w:r w:rsidRPr="00D44CF2">
        <w:t xml:space="preserve">).  </w:t>
      </w:r>
    </w:p>
    <w:p w14:paraId="3586864E" w14:textId="581B747A" w:rsidR="0087182A" w:rsidRPr="00D44CF2" w:rsidRDefault="0087182A" w:rsidP="0087182A">
      <w:pPr>
        <w:pStyle w:val="CaptionTable"/>
      </w:pPr>
      <w:bookmarkStart w:id="274" w:name="_Toc212023321"/>
      <w:bookmarkStart w:id="275" w:name="_Ref208394243"/>
      <w:r w:rsidRPr="00D44CF2">
        <w:t>Victoria inertia requirements and projections</w:t>
      </w:r>
      <w:bookmarkEnd w:id="274"/>
    </w:p>
    <w:tbl>
      <w:tblPr>
        <w:tblStyle w:val="AEMO-Table4"/>
        <w:tblW w:w="5000" w:type="pct"/>
        <w:tblLook w:val="04A0" w:firstRow="1" w:lastRow="0" w:firstColumn="1" w:lastColumn="0" w:noHBand="0" w:noVBand="1"/>
      </w:tblPr>
      <w:tblGrid>
        <w:gridCol w:w="5812"/>
        <w:gridCol w:w="4281"/>
      </w:tblGrid>
      <w:tr w:rsidR="0087182A" w:rsidRPr="00D44CF2" w14:paraId="43896F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9" w:type="pct"/>
          </w:tcPr>
          <w:bookmarkEnd w:id="275"/>
          <w:p w14:paraId="04DB2659" w14:textId="77777777" w:rsidR="0087182A" w:rsidRPr="00D44CF2" w:rsidRDefault="0087182A" w:rsidP="001A3F5B">
            <w:pPr>
              <w:pStyle w:val="TableText"/>
              <w:rPr>
                <w:szCs w:val="20"/>
              </w:rPr>
            </w:pPr>
            <w:r w:rsidRPr="00D44CF2">
              <w:t>Quantity</w:t>
            </w:r>
          </w:p>
        </w:tc>
        <w:tc>
          <w:tcPr>
            <w:tcW w:w="2121" w:type="pct"/>
          </w:tcPr>
          <w:p w14:paraId="665AC6CC"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Value</w:t>
            </w:r>
          </w:p>
        </w:tc>
      </w:tr>
      <w:tr w:rsidR="0087182A" w:rsidRPr="00D44CF2" w14:paraId="2613CEEF" w14:textId="77777777" w:rsidTr="00261D2D">
        <w:tc>
          <w:tcPr>
            <w:cnfStyle w:val="001000000000" w:firstRow="0" w:lastRow="0" w:firstColumn="1" w:lastColumn="0" w:oddVBand="0" w:evenVBand="0" w:oddHBand="0" w:evenHBand="0" w:firstRowFirstColumn="0" w:firstRowLastColumn="0" w:lastRowFirstColumn="0" w:lastRowLastColumn="0"/>
            <w:tcW w:w="2879" w:type="pct"/>
          </w:tcPr>
          <w:p w14:paraId="0A7CEC39" w14:textId="52F3B14B" w:rsidR="0087182A" w:rsidRPr="00D44CF2" w:rsidRDefault="0087182A" w:rsidP="001A3F5B">
            <w:pPr>
              <w:pStyle w:val="TableText"/>
            </w:pPr>
            <w:r w:rsidRPr="00D44CF2">
              <w:t xml:space="preserve">Assumed level of 1-second </w:t>
            </w:r>
            <w:r w:rsidR="00FB5755" w:rsidRPr="00D44CF2">
              <w:t>freq</w:t>
            </w:r>
            <w:r w:rsidR="00B135BB" w:rsidRPr="00D44CF2">
              <w:t>uency control anc</w:t>
            </w:r>
            <w:r w:rsidR="00791E5F">
              <w:t>i</w:t>
            </w:r>
            <w:r w:rsidR="00B135BB" w:rsidRPr="00D44CF2">
              <w:t>llary services (</w:t>
            </w:r>
            <w:r w:rsidRPr="00D44CF2">
              <w:t>FCAS</w:t>
            </w:r>
            <w:r w:rsidR="00B135BB" w:rsidRPr="00D44CF2">
              <w:t>)</w:t>
            </w:r>
            <w:r w:rsidRPr="00D44CF2">
              <w:rPr>
                <w:vertAlign w:val="superscript"/>
              </w:rPr>
              <w:t>A</w:t>
            </w:r>
          </w:p>
        </w:tc>
        <w:tc>
          <w:tcPr>
            <w:tcW w:w="2121" w:type="pct"/>
          </w:tcPr>
          <w:p w14:paraId="757F0C9D"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400 MW</w:t>
            </w:r>
          </w:p>
        </w:tc>
      </w:tr>
      <w:tr w:rsidR="0087182A" w:rsidRPr="00D44CF2" w14:paraId="47966CD7" w14:textId="77777777" w:rsidTr="00261D2D">
        <w:tc>
          <w:tcPr>
            <w:cnfStyle w:val="001000000000" w:firstRow="0" w:lastRow="0" w:firstColumn="1" w:lastColumn="0" w:oddVBand="0" w:evenVBand="0" w:oddHBand="0" w:evenHBand="0" w:firstRowFirstColumn="0" w:firstRowLastColumn="0" w:lastRowFirstColumn="0" w:lastRowLastColumn="0"/>
            <w:tcW w:w="2879" w:type="pct"/>
          </w:tcPr>
          <w:p w14:paraId="60F66FE1" w14:textId="77777777" w:rsidR="0087182A" w:rsidRPr="00D44CF2" w:rsidRDefault="0087182A" w:rsidP="001A3F5B">
            <w:pPr>
              <w:pStyle w:val="TableText"/>
            </w:pPr>
            <w:r w:rsidRPr="00D44CF2">
              <w:t>Satisfactory inertia level</w:t>
            </w:r>
          </w:p>
        </w:tc>
        <w:tc>
          <w:tcPr>
            <w:tcW w:w="2121" w:type="pct"/>
          </w:tcPr>
          <w:p w14:paraId="692EE865"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13,700 MWs</w:t>
            </w:r>
          </w:p>
        </w:tc>
      </w:tr>
      <w:tr w:rsidR="0087182A" w:rsidRPr="00D44CF2" w14:paraId="6C1F5F6B" w14:textId="77777777" w:rsidTr="00261D2D">
        <w:tc>
          <w:tcPr>
            <w:cnfStyle w:val="001000000000" w:firstRow="0" w:lastRow="0" w:firstColumn="1" w:lastColumn="0" w:oddVBand="0" w:evenVBand="0" w:oddHBand="0" w:evenHBand="0" w:firstRowFirstColumn="0" w:firstRowLastColumn="0" w:lastRowFirstColumn="0" w:lastRowLastColumn="0"/>
            <w:tcW w:w="2879" w:type="pct"/>
          </w:tcPr>
          <w:p w14:paraId="70DA6180" w14:textId="77777777" w:rsidR="0087182A" w:rsidRPr="00D44CF2" w:rsidRDefault="0087182A" w:rsidP="001A3F5B">
            <w:pPr>
              <w:pStyle w:val="TableText"/>
            </w:pPr>
            <w:r w:rsidRPr="00D44CF2">
              <w:t>Secure inertia level</w:t>
            </w:r>
          </w:p>
        </w:tc>
        <w:tc>
          <w:tcPr>
            <w:tcW w:w="2121" w:type="pct"/>
          </w:tcPr>
          <w:p w14:paraId="04DB4CD6"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15,400 MWs</w:t>
            </w:r>
          </w:p>
        </w:tc>
      </w:tr>
      <w:tr w:rsidR="0087182A" w:rsidRPr="00D44CF2" w14:paraId="68C41C91" w14:textId="77777777" w:rsidTr="00261D2D">
        <w:trPr>
          <w:trHeight w:val="70"/>
        </w:trPr>
        <w:tc>
          <w:tcPr>
            <w:cnfStyle w:val="001000000000" w:firstRow="0" w:lastRow="0" w:firstColumn="1" w:lastColumn="0" w:oddVBand="0" w:evenVBand="0" w:oddHBand="0" w:evenHBand="0" w:firstRowFirstColumn="0" w:firstRowLastColumn="0" w:lastRowFirstColumn="0" w:lastRowLastColumn="0"/>
            <w:tcW w:w="2879" w:type="pct"/>
          </w:tcPr>
          <w:p w14:paraId="0A9C761F" w14:textId="77777777" w:rsidR="0087182A" w:rsidRPr="00D44CF2" w:rsidRDefault="0087182A" w:rsidP="001A3F5B">
            <w:pPr>
              <w:pStyle w:val="TableText"/>
            </w:pPr>
            <w:r w:rsidRPr="00D44CF2">
              <w:t>Inertia sub-network allocation</w:t>
            </w:r>
          </w:p>
        </w:tc>
        <w:tc>
          <w:tcPr>
            <w:tcW w:w="2121" w:type="pct"/>
          </w:tcPr>
          <w:p w14:paraId="2F6C4C9E"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11,800 MWs</w:t>
            </w:r>
          </w:p>
        </w:tc>
      </w:tr>
      <w:tr w:rsidR="0087182A" w:rsidRPr="00D44CF2" w14:paraId="5F48B1BE" w14:textId="77777777" w:rsidTr="00261D2D">
        <w:trPr>
          <w:trHeight w:val="70"/>
        </w:trPr>
        <w:tc>
          <w:tcPr>
            <w:cnfStyle w:val="001000000000" w:firstRow="0" w:lastRow="0" w:firstColumn="1" w:lastColumn="0" w:oddVBand="0" w:evenVBand="0" w:oddHBand="0" w:evenHBand="0" w:firstRowFirstColumn="0" w:firstRowLastColumn="0" w:lastRowFirstColumn="0" w:lastRowLastColumn="0"/>
            <w:tcW w:w="2879" w:type="pct"/>
          </w:tcPr>
          <w:p w14:paraId="4688D858" w14:textId="77777777" w:rsidR="0087182A" w:rsidRPr="00D44CF2" w:rsidRDefault="0087182A" w:rsidP="001A3F5B">
            <w:pPr>
              <w:pStyle w:val="TableText"/>
            </w:pPr>
            <w:r w:rsidRPr="00D44CF2">
              <w:t>Projected available inertia 99.87% of the time in 2026-27</w:t>
            </w:r>
          </w:p>
        </w:tc>
        <w:tc>
          <w:tcPr>
            <w:tcW w:w="2121" w:type="pct"/>
          </w:tcPr>
          <w:p w14:paraId="0AE07081"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9,194 MWs</w:t>
            </w:r>
          </w:p>
        </w:tc>
      </w:tr>
      <w:tr w:rsidR="0087182A" w:rsidRPr="00D44CF2" w14:paraId="64163B75" w14:textId="77777777" w:rsidTr="00261D2D">
        <w:trPr>
          <w:trHeight w:val="70"/>
        </w:trPr>
        <w:tc>
          <w:tcPr>
            <w:cnfStyle w:val="001000000000" w:firstRow="0" w:lastRow="0" w:firstColumn="1" w:lastColumn="0" w:oddVBand="0" w:evenVBand="0" w:oddHBand="0" w:evenHBand="0" w:firstRowFirstColumn="0" w:firstRowLastColumn="0" w:lastRowFirstColumn="0" w:lastRowLastColumn="0"/>
            <w:tcW w:w="2879" w:type="pct"/>
          </w:tcPr>
          <w:p w14:paraId="02D7BEA9" w14:textId="77777777" w:rsidR="0087182A" w:rsidRPr="00D44CF2" w:rsidRDefault="0087182A" w:rsidP="001A3F5B">
            <w:pPr>
              <w:pStyle w:val="TableText"/>
            </w:pPr>
            <w:r w:rsidRPr="00D44CF2">
              <w:t>Projected available inertia 99.87% of the time in 2027-28</w:t>
            </w:r>
          </w:p>
        </w:tc>
        <w:tc>
          <w:tcPr>
            <w:tcW w:w="2121" w:type="pct"/>
          </w:tcPr>
          <w:p w14:paraId="29BA1DCE"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5,268 MWs</w:t>
            </w:r>
          </w:p>
        </w:tc>
      </w:tr>
      <w:tr w:rsidR="0087182A" w:rsidRPr="00D44CF2" w14:paraId="1835A796" w14:textId="77777777" w:rsidTr="00261D2D">
        <w:tc>
          <w:tcPr>
            <w:cnfStyle w:val="001000000000" w:firstRow="0" w:lastRow="0" w:firstColumn="1" w:lastColumn="0" w:oddVBand="0" w:evenVBand="0" w:oddHBand="0" w:evenHBand="0" w:firstRowFirstColumn="0" w:firstRowLastColumn="0" w:lastRowFirstColumn="0" w:lastRowLastColumn="0"/>
            <w:tcW w:w="2879" w:type="pct"/>
          </w:tcPr>
          <w:p w14:paraId="43F3DD42" w14:textId="77777777" w:rsidR="0087182A" w:rsidRPr="00D44CF2" w:rsidRDefault="0087182A" w:rsidP="001A3F5B">
            <w:pPr>
              <w:pStyle w:val="TableText"/>
            </w:pPr>
            <w:r w:rsidRPr="00D44CF2">
              <w:t>Likelihood of islanding</w:t>
            </w:r>
          </w:p>
        </w:tc>
        <w:tc>
          <w:tcPr>
            <w:tcW w:w="2121" w:type="pct"/>
          </w:tcPr>
          <w:p w14:paraId="7D7BFA1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Unlikely</w:t>
            </w:r>
          </w:p>
        </w:tc>
      </w:tr>
    </w:tbl>
    <w:p w14:paraId="5D6AE28F" w14:textId="6A1A9E5F" w:rsidR="0087182A" w:rsidRPr="00D44CF2" w:rsidRDefault="0087182A" w:rsidP="0087182A">
      <w:pPr>
        <w:pStyle w:val="TableFigureFootnote"/>
      </w:pPr>
      <w:r w:rsidRPr="00D44CF2">
        <w:t xml:space="preserve">Note: See AEMO, 2024 </w:t>
      </w:r>
      <w:r w:rsidRPr="00D44CF2">
        <w:rPr>
          <w:i/>
          <w:iCs/>
        </w:rPr>
        <w:t>Inertia Report</w:t>
      </w:r>
      <w:r w:rsidRPr="00D44CF2">
        <w:t xml:space="preserve">, </w:t>
      </w:r>
      <w:r w:rsidR="00CF282D" w:rsidRPr="00D44CF2">
        <w:t>at</w:t>
      </w:r>
      <w:r w:rsidRPr="00D44CF2">
        <w:t xml:space="preserve"> </w:t>
      </w:r>
      <w:hyperlink r:id="rId93" w:history="1">
        <w:r w:rsidRPr="00D44CF2">
          <w:rPr>
            <w:rStyle w:val="Hyperlink"/>
          </w:rPr>
          <w:t>https://www.aemo.com.au/energy-systems/electricity/national-electricity-market-nem/nem-forecasting-and-planning/</w:t>
        </w:r>
        <w:r w:rsidR="003806F1" w:rsidRPr="00D44CF2">
          <w:rPr>
            <w:rFonts w:ascii="Arial" w:hAnsi="Arial" w:cs="Arial"/>
            <w:sz w:val="14"/>
            <w:szCs w:val="14"/>
          </w:rPr>
          <w:t>‌</w:t>
        </w:r>
        <w:r w:rsidRPr="00D44CF2">
          <w:rPr>
            <w:rStyle w:val="Hyperlink"/>
          </w:rPr>
          <w:t>system-security-planning</w:t>
        </w:r>
      </w:hyperlink>
      <w:r w:rsidRPr="00D44CF2">
        <w:t xml:space="preserve"> and AEMO, 2024 </w:t>
      </w:r>
      <w:r w:rsidRPr="00D44CF2">
        <w:rPr>
          <w:i/>
          <w:iCs/>
        </w:rPr>
        <w:t>NSCAS Report</w:t>
      </w:r>
      <w:r w:rsidRPr="00D44CF2">
        <w:t xml:space="preserve">, </w:t>
      </w:r>
      <w:r w:rsidR="00CF282D" w:rsidRPr="00D44CF2">
        <w:t>at</w:t>
      </w:r>
      <w:r w:rsidRPr="00D44CF2">
        <w:t xml:space="preserve"> </w:t>
      </w:r>
      <w:hyperlink r:id="rId94" w:history="1">
        <w:r w:rsidRPr="00D44CF2">
          <w:rPr>
            <w:rStyle w:val="Hyperlink"/>
          </w:rPr>
          <w:t>https://www.aemo.com.au/-/media/files/electricity/nem/security_and_reliability/</w:t>
        </w:r>
        <w:r w:rsidRPr="00D44CF2">
          <w:rPr>
            <w:rFonts w:ascii="Arial" w:hAnsi="Arial" w:cs="Arial"/>
            <w:sz w:val="14"/>
            <w:szCs w:val="14"/>
          </w:rPr>
          <w:t>‌</w:t>
        </w:r>
        <w:r w:rsidRPr="00D44CF2">
          <w:rPr>
            <w:rStyle w:val="Hyperlink"/>
          </w:rPr>
          <w:t>system_security_planning/2024-nscas-report.pdf</w:t>
        </w:r>
      </w:hyperlink>
    </w:p>
    <w:p w14:paraId="68826336" w14:textId="7B7893CB" w:rsidR="0087182A" w:rsidRPr="00D44CF2" w:rsidRDefault="0087182A" w:rsidP="0087182A">
      <w:pPr>
        <w:pStyle w:val="TableFigureFootnote"/>
      </w:pPr>
      <w:r w:rsidRPr="00D44CF2">
        <w:t xml:space="preserve">A. When determining inertia requirements in Victoria, AEMO used an operating point with no contracted </w:t>
      </w:r>
      <w:r w:rsidR="00746B84" w:rsidRPr="00D44CF2">
        <w:t>Fast Frequency Response (</w:t>
      </w:r>
      <w:r w:rsidRPr="00D44CF2">
        <w:t>FFR</w:t>
      </w:r>
      <w:r w:rsidR="00746B84" w:rsidRPr="00D44CF2">
        <w:t>)</w:t>
      </w:r>
      <w:r w:rsidRPr="00D44CF2">
        <w:t>, and assumed 400 MW of 1</w:t>
      </w:r>
      <w:r w:rsidR="003806F1" w:rsidRPr="00D44CF2">
        <w:noBreakHyphen/>
      </w:r>
      <w:r w:rsidRPr="00D44CF2">
        <w:t>second FCAS, which is the amount of 1-second raise FCAS currently registered in Victoria.</w:t>
      </w:r>
    </w:p>
    <w:p w14:paraId="6D24F198" w14:textId="77777777" w:rsidR="0087182A" w:rsidRPr="00D44CF2" w:rsidRDefault="0087182A" w:rsidP="0087182A">
      <w:pPr>
        <w:pStyle w:val="BodyText"/>
      </w:pPr>
      <w:r w:rsidRPr="00D44CF2">
        <w:t xml:space="preserve">Satisfactory inertia level is the minimum level of inertia required to operate an inertia sub-network in a satisfactory operating state when the inertia sub-network is islanded, and secure inertia level is the minimum level of inertia required to operate an inertia sub-network in a secure operating state when the inertia sub-network is islanded. Given its strong interconnection with neighbouring regions, Victoria is considered unlikely to island from the remainder of the power system. AVP has undertaken preliminary inertia level assessments, applying the modelling outcomes and preferred option of the Victorian System Strength Requirement RIT-T, which indicate that procurement of the preferred system strength option is sufficient to meet the majority of its obligations to provide the inertia sub-network allocation from 2 December 2027. Over the next year, AVP intends to further refine this analysis and determine if any additional investment is required to meet its requirements in full, and will include the provision of inertia services in any future system security service agreements considered under it system strength procurement activities. </w:t>
      </w:r>
    </w:p>
    <w:p w14:paraId="3D555266" w14:textId="77777777" w:rsidR="0087182A" w:rsidRPr="00D44CF2" w:rsidRDefault="0087182A" w:rsidP="0087182A">
      <w:pPr>
        <w:pStyle w:val="Heading3"/>
      </w:pPr>
      <w:r w:rsidRPr="00D44CF2">
        <w:t>Network support and control ancillary services requirements and related activities</w:t>
      </w:r>
    </w:p>
    <w:p w14:paraId="0D46E867" w14:textId="29892419" w:rsidR="0087182A" w:rsidRPr="00D44CF2" w:rsidRDefault="0087182A" w:rsidP="0087182A">
      <w:pPr>
        <w:pStyle w:val="BodyText"/>
      </w:pPr>
      <w:r w:rsidRPr="00D44CF2">
        <w:t>NSCAS are non-market ancillary services that may be delivered to maintain power system security and reliability of supply of the transmission network, or to maintain or increase the power transfer capability of the transmission network. AEMO, in its function as National System Security Planner under the NER, conducts an annual assessment of NSCAS needs over a five</w:t>
      </w:r>
      <w:r w:rsidRPr="00D44CF2">
        <w:noBreakHyphen/>
        <w:t xml:space="preserve">year horizon and, where required, declares gaps. </w:t>
      </w:r>
    </w:p>
    <w:p w14:paraId="744E669F" w14:textId="77777777" w:rsidR="0087182A" w:rsidRPr="00D44CF2" w:rsidRDefault="0087182A" w:rsidP="0087182A">
      <w:pPr>
        <w:pStyle w:val="BodyText"/>
      </w:pPr>
      <w:r w:rsidRPr="00D44CF2">
        <w:t xml:space="preserve">The 2024 </w:t>
      </w:r>
      <w:r w:rsidRPr="00D44CF2">
        <w:rPr>
          <w:i/>
          <w:iCs/>
        </w:rPr>
        <w:t>NSCAS Report</w:t>
      </w:r>
      <w:r w:rsidRPr="00D44CF2">
        <w:t xml:space="preserve"> highlighted the following key outcomes.</w:t>
      </w:r>
    </w:p>
    <w:p w14:paraId="7EC3CC3B" w14:textId="3BAFA8D7" w:rsidR="0087182A" w:rsidRPr="00D44CF2" w:rsidRDefault="0087182A" w:rsidP="0087182A">
      <w:pPr>
        <w:pStyle w:val="ListBullet"/>
      </w:pPr>
      <w:r w:rsidRPr="00D44CF2">
        <w:t>System strength services – AEMO identified a need for system strength services of 368 MVA at Red Cliffs from 2025-26, primarily linked with the expected end of existing system strength remediation contracts, but did not declare a gap considering AVP’s intention to extend the related contracts. AVP has extended this arrangement. Shortfalls were also forecast to emerge, assuming typical dispatch patterns in the absence of system strength investment, against the three</w:t>
      </w:r>
      <w:r w:rsidRPr="00D44CF2">
        <w:noBreakHyphen/>
        <w:t xml:space="preserve">phase minimum fault level requirements at Moorabool, Hazelwood, and </w:t>
      </w:r>
      <w:r w:rsidRPr="00D44CF2">
        <w:lastRenderedPageBreak/>
        <w:t>Thomastown from 2027-28. AEMO did not declare an NSCAS gap, noting AVP’s progress on its Victorian System Strength Requirement RIT-T (see above), which is now complete and outlines the preferred portfolio to meet the system strength requirements. Procurement of services agreements in line with the RIT-T preferred option is ongoing.</w:t>
      </w:r>
    </w:p>
    <w:p w14:paraId="387EF7FC" w14:textId="77777777" w:rsidR="0087182A" w:rsidRPr="00D44CF2" w:rsidRDefault="0087182A" w:rsidP="0087182A">
      <w:pPr>
        <w:pStyle w:val="ListBullet"/>
      </w:pPr>
      <w:r w:rsidRPr="00D44CF2">
        <w:t>Inertia – the projected level of inertia is forecast to fall below the inertia sub-network allocation for Victoria. However, AEMO has not declared an inertia NSCAS gap. In addition to the existing Ararat synchronous condenser and KESS system services agreements, both of which include provision of inertia, AVP is investigating the least-cost options available to meet its inertia requirements to make available the inertia sub-network allocation of 11,800 MWs from 2 December 2027. Procurement of system strength services, in line with the Victorian System Strength Requirement RIT-T preferred option, will also consider the level of inertia these services can provide to ensure the holistically efficient procurement of system security services.</w:t>
      </w:r>
    </w:p>
    <w:p w14:paraId="79FC3E75" w14:textId="77777777" w:rsidR="0087182A" w:rsidRPr="00D44CF2" w:rsidRDefault="0087182A" w:rsidP="0087182A">
      <w:pPr>
        <w:pStyle w:val="ListBullet"/>
      </w:pPr>
      <w:r w:rsidRPr="00D44CF2">
        <w:t xml:space="preserve">New thermal capacity limitation or voltage control gaps – AEMO has not identified any new thermal capacity limitation or voltage control gaps in Victoria. Voltage control risks at Eildon during low demand conditions from 2024-25 are being managed with an existing operational solution, but continue to be monitored. </w:t>
      </w:r>
    </w:p>
    <w:p w14:paraId="5CF50C62" w14:textId="20F6B8FF" w:rsidR="0087182A" w:rsidRPr="00D44CF2" w:rsidRDefault="0087182A" w:rsidP="0087182A">
      <w:pPr>
        <w:pStyle w:val="ListBullet"/>
      </w:pPr>
      <w:r w:rsidRPr="00D44CF2">
        <w:t xml:space="preserve">Previously declared thermal overload and voltage control gaps on the 220 kV network near Deer Park – the 2024 NSCAS studies confirmed the previously declared gap at Deer Park for thermal overloads. AVP has commissioned a system overload control scheme to enable higher pre-contingent loading in this area to address the thermal overloading gap, and the 2024 </w:t>
      </w:r>
      <w:r w:rsidRPr="00D44CF2">
        <w:rPr>
          <w:i/>
          <w:iCs/>
        </w:rPr>
        <w:t>NSCAS Report</w:t>
      </w:r>
      <w:r w:rsidRPr="00D44CF2">
        <w:t xml:space="preserve"> confirmed that commissioning of this scheme closed the previously declared gap. AVP has commenced the Western Metropolitan Melbourne Reinforcement RIT-T to identify a longer-term solution to the growing thermal loading on the 220 kV network near Deer Park. Powercor has also commenced a Deer Park Terminal Station Capacity Constraint RIT-T related to this thermal overload limitation. AVP has separately completed a Metropolitan Melbourne Voltage Management RIT-T, which confirmed the preferred option includes installation of a new 220 kV 100 MVAr shunt capacitor at Deer Park Terminal Station to address voltage control needs in the Deer Park area. Procurement of the new 220 kV 100 MVAr shunt capacitor at Deer Park is expected to fill the previously declared voltage control gap near Deer Park. See sections 3.1.2 and 3.1.5 of this VAPR for more information about these RIT</w:t>
      </w:r>
      <w:r w:rsidRPr="00D44CF2">
        <w:noBreakHyphen/>
        <w:t>Ts.</w:t>
      </w:r>
    </w:p>
    <w:p w14:paraId="3FE8EB6F" w14:textId="3D59BE01" w:rsidR="0087182A" w:rsidRPr="00D44CF2" w:rsidRDefault="0087182A" w:rsidP="0087182A">
      <w:pPr>
        <w:pStyle w:val="ListBullet"/>
      </w:pPr>
      <w:r w:rsidRPr="00D44CF2">
        <w:t>Overloading risks for transformers between the 500 kV and 220 kV network supplying metropolitan Melbourne following YWPS retirement in 2028-29 – AEMO is continuing to monitor the tightening of this thermal overload limitation, but has not declared an NSCAS gap, noting that AVP has developed an operational solution, and is considering longer-term remediation options to manage this growing need. The Eastern Metropolitan Grid Reinforcement PSCR was published in November 2024 and the Western Metropolitan Melbourne Reinforcement PSCR was published in March 2025. See Section 3.1.5 for more information about these RIT-Ts.</w:t>
      </w:r>
    </w:p>
    <w:p w14:paraId="659CE760" w14:textId="77777777" w:rsidR="0087182A" w:rsidRPr="00D44CF2" w:rsidRDefault="0087182A" w:rsidP="0087182A">
      <w:pPr>
        <w:pStyle w:val="Heading2"/>
      </w:pPr>
      <w:bookmarkStart w:id="276" w:name="_Toc149138635"/>
      <w:bookmarkStart w:id="277" w:name="_Toc177574608"/>
      <w:bookmarkStart w:id="278" w:name="_Toc180159695"/>
      <w:bookmarkStart w:id="279" w:name="_Ref180479949"/>
      <w:bookmarkStart w:id="280" w:name="_Toc212023286"/>
      <w:bookmarkEnd w:id="276"/>
      <w:bookmarkEnd w:id="277"/>
      <w:r w:rsidRPr="00D44CF2">
        <w:t>Control schemes in the DSN</w:t>
      </w:r>
      <w:bookmarkEnd w:id="278"/>
      <w:bookmarkEnd w:id="279"/>
      <w:bookmarkEnd w:id="280"/>
    </w:p>
    <w:p w14:paraId="4F6536D9" w14:textId="77777777" w:rsidR="0087182A" w:rsidRPr="00D44CF2" w:rsidRDefault="0087182A" w:rsidP="0087182A">
      <w:pPr>
        <w:pStyle w:val="BodyText"/>
      </w:pPr>
      <w:r w:rsidRPr="00D44CF2">
        <w:t xml:space="preserve">This section provides information about the activities undertaken by AVP in compliance with NER 5.12.2, which states that TNSPs’ Annual Planning Reports must address:  </w:t>
      </w:r>
    </w:p>
    <w:p w14:paraId="78F60F06" w14:textId="0B3D1023" w:rsidR="0087182A" w:rsidRPr="00D44CF2" w:rsidRDefault="0087182A" w:rsidP="0087182A">
      <w:pPr>
        <w:pStyle w:val="ListBullet"/>
        <w:numPr>
          <w:ilvl w:val="0"/>
          <w:numId w:val="70"/>
        </w:numPr>
      </w:pPr>
      <w:r w:rsidRPr="00D44CF2">
        <w:lastRenderedPageBreak/>
        <w:t>for proposed new or modified emergency frequency control schemes, the manner in which the project relates to the most recent </w:t>
      </w:r>
      <w:r w:rsidRPr="00D44CF2">
        <w:rPr>
          <w:iCs/>
        </w:rPr>
        <w:t>GPSRR</w:t>
      </w:r>
      <w:r w:rsidRPr="00D44CF2">
        <w:t>, including any identified risks or recommendations relevant to system stability and frequency control,</w:t>
      </w:r>
    </w:p>
    <w:p w14:paraId="12AB6479" w14:textId="77777777" w:rsidR="0087182A" w:rsidRPr="00D44CF2" w:rsidRDefault="0087182A" w:rsidP="0087182A">
      <w:pPr>
        <w:pStyle w:val="ListBullet"/>
        <w:numPr>
          <w:ilvl w:val="0"/>
          <w:numId w:val="70"/>
        </w:numPr>
      </w:pPr>
      <w:r w:rsidRPr="00D44CF2">
        <w:t>the emergency controls implemented under NER 5.1.8</w:t>
      </w:r>
      <w:r w:rsidRPr="00D44CF2" w:rsidDel="006F2921">
        <w:t>,</w:t>
      </w:r>
      <w:r w:rsidRPr="00D44CF2">
        <w:t xml:space="preserve"> including the NSP’s assessment of the need for new or altered emergency controls under that clause, and</w:t>
      </w:r>
    </w:p>
    <w:p w14:paraId="543A4335" w14:textId="77777777" w:rsidR="0087182A" w:rsidRPr="00D44CF2" w:rsidRDefault="0087182A" w:rsidP="0087182A">
      <w:pPr>
        <w:pStyle w:val="ListBullet"/>
        <w:numPr>
          <w:ilvl w:val="0"/>
          <w:numId w:val="70"/>
        </w:numPr>
      </w:pPr>
      <w:r w:rsidRPr="00D44CF2">
        <w:t>the analysis of the operation of, and any known or potential interactions between:</w:t>
      </w:r>
    </w:p>
    <w:p w14:paraId="5A312C82" w14:textId="77777777" w:rsidR="0087182A" w:rsidRPr="00D44CF2" w:rsidRDefault="0087182A" w:rsidP="0087182A">
      <w:pPr>
        <w:pStyle w:val="BodyText"/>
        <w:numPr>
          <w:ilvl w:val="1"/>
          <w:numId w:val="70"/>
        </w:numPr>
      </w:pPr>
      <w:r w:rsidRPr="00D44CF2">
        <w:t>any emergency frequency control schemes or emergency controls place under NER 5.1.8, on its network, and</w:t>
      </w:r>
    </w:p>
    <w:p w14:paraId="2B85526A" w14:textId="77777777" w:rsidR="0087182A" w:rsidRPr="00D44CF2" w:rsidRDefault="0087182A" w:rsidP="0087182A">
      <w:pPr>
        <w:pStyle w:val="BodyText"/>
        <w:numPr>
          <w:ilvl w:val="1"/>
          <w:numId w:val="70"/>
        </w:numPr>
      </w:pPr>
      <w:r w:rsidRPr="00D44CF2">
        <w:t>protection systems or control systems of plant connected to its network (including consideration of whether the settings of those systems are fit for purpose for the future operation of its network).</w:t>
      </w:r>
    </w:p>
    <w:p w14:paraId="34B78885" w14:textId="77777777" w:rsidR="0087182A" w:rsidRPr="00D44CF2" w:rsidRDefault="0087182A" w:rsidP="0087182A">
      <w:pPr>
        <w:pStyle w:val="BodyText"/>
      </w:pPr>
      <w:r w:rsidRPr="00D44CF2">
        <w:t>This analysis includes a description of proposed actions to be undertaken to revise these schemes or controls or systems, or to address any adverse interactions.</w:t>
      </w:r>
    </w:p>
    <w:p w14:paraId="7FFD3240" w14:textId="77777777" w:rsidR="0087182A" w:rsidRPr="00D44CF2" w:rsidRDefault="0087182A" w:rsidP="0087182A">
      <w:pPr>
        <w:pStyle w:val="Heading3"/>
      </w:pPr>
      <w:r w:rsidRPr="00D44CF2">
        <w:t>Need for new control schemes and ongoing review of existing control schemes</w:t>
      </w:r>
    </w:p>
    <w:p w14:paraId="2F7DBC95" w14:textId="5B679A4E" w:rsidR="0087182A" w:rsidRPr="00D44CF2" w:rsidRDefault="0087182A" w:rsidP="0087182A">
      <w:pPr>
        <w:pStyle w:val="BodyText"/>
      </w:pPr>
      <w:r w:rsidRPr="00D44CF2">
        <w:t xml:space="preserve">Since the 2024 VAPR, AVP has reviewed and updated a set of existing control schemes (see Section </w:t>
      </w:r>
      <w:r w:rsidR="00746B84" w:rsidRPr="00D44CF2">
        <w:fldChar w:fldCharType="begin"/>
      </w:r>
      <w:r w:rsidR="00746B84" w:rsidRPr="00D44CF2">
        <w:instrText xml:space="preserve"> REF _Ref178686047 \r \h  \* MERGEFORMAT </w:instrText>
      </w:r>
      <w:r w:rsidR="00746B84" w:rsidRPr="00D44CF2">
        <w:fldChar w:fldCharType="separate"/>
      </w:r>
      <w:r w:rsidR="004973D2">
        <w:t>3.1.1</w:t>
      </w:r>
      <w:r w:rsidR="00746B84" w:rsidRPr="00D44CF2">
        <w:fldChar w:fldCharType="end"/>
      </w:r>
      <w:r w:rsidR="00746B84" w:rsidRPr="00D44CF2">
        <w:t xml:space="preserve"> </w:t>
      </w:r>
      <w:r w:rsidRPr="00D44CF2">
        <w:t xml:space="preserve">for more information on delivered control scheme updates). Currently AVP is progressing the review of another set of existing control schemes and the development of new schemes to address the GPSRR’s recommendations as well as support planned projects including AVP-initiated projects, RDP Stage 1 projects directed by the Victorian Government, and major network changes in neighbouring states through joint planning with the relevant TNSPs. </w:t>
      </w:r>
    </w:p>
    <w:p w14:paraId="05B8795F" w14:textId="77777777" w:rsidR="0087182A" w:rsidRPr="00D44CF2" w:rsidRDefault="0087182A" w:rsidP="0087182A">
      <w:pPr>
        <w:pStyle w:val="BodyText"/>
      </w:pPr>
      <w:r w:rsidRPr="00D44CF2">
        <w:t>In accordance with NER 5.1.8, AVP monitors changes in network configuration and operating conditions. This includes connection point demand, new generation connections, and retirements of existing generation. AVP will upgrade Victorian control schemes when needed to keep them effective and appropriate.</w:t>
      </w:r>
    </w:p>
    <w:p w14:paraId="1114F1CE" w14:textId="77777777" w:rsidR="0087182A" w:rsidRPr="00D44CF2" w:rsidRDefault="0087182A" w:rsidP="0087182A">
      <w:pPr>
        <w:pStyle w:val="BodyText"/>
      </w:pPr>
      <w:r w:rsidRPr="00D44CF2">
        <w:t>The following sections summarise AVP’s review and development activities related to the control schemes, segregated into the main transmission corridors.</w:t>
      </w:r>
    </w:p>
    <w:p w14:paraId="6B8D1977" w14:textId="1249573B" w:rsidR="0087182A" w:rsidRPr="00D44CF2" w:rsidRDefault="0087182A" w:rsidP="0087182A">
      <w:pPr>
        <w:pStyle w:val="Heading3"/>
      </w:pPr>
      <w:bookmarkStart w:id="281" w:name="_Hlk177739772"/>
      <w:r w:rsidRPr="00D44CF2">
        <w:t>South Western corridor</w:t>
      </w:r>
    </w:p>
    <w:p w14:paraId="1F16DBD3" w14:textId="77777777" w:rsidR="0087182A" w:rsidRPr="00D44CF2" w:rsidRDefault="0087182A" w:rsidP="0087182A">
      <w:pPr>
        <w:pStyle w:val="BodyText"/>
      </w:pPr>
      <w:r w:rsidRPr="00D44CF2">
        <w:t>AVP is proposing a new control scheme and reviewing a number of existing control schemes to cater for the new SNI to be built under EnergyConnect Stage 2:</w:t>
      </w:r>
    </w:p>
    <w:p w14:paraId="4AFBEF37" w14:textId="1C795308" w:rsidR="0087182A" w:rsidRPr="00D44CF2" w:rsidRDefault="0087182A" w:rsidP="0087182A">
      <w:pPr>
        <w:pStyle w:val="ListBullet"/>
      </w:pPr>
      <w:r w:rsidRPr="00D44CF2">
        <w:t>AVP is proposing a new control scheme that will operate in conjunction with the SAIT RAS in South Australia to address</w:t>
      </w:r>
      <w:r w:rsidRPr="00D44CF2" w:rsidDel="00890FF5">
        <w:t xml:space="preserve"> </w:t>
      </w:r>
      <w:r w:rsidRPr="00D44CF2">
        <w:t>transient instability issues associated with the new SNI. This scheme would trip Victorian generation or load which could be connected to South Australia following non-credible contingency events in the South West Victorian 500 kV corridor between Heywood and Moorabool, if a set of tripping criteria are met. By addressing these instability issues, the scheme aims to mitigate the potential risk of the mainland NEM separating into four islanded regions, a risk identified in the 2023 GPSRR</w:t>
      </w:r>
      <w:r w:rsidRPr="00D44CF2">
        <w:rPr>
          <w:rStyle w:val="FootnoteReference"/>
        </w:rPr>
        <w:footnoteReference w:id="101"/>
      </w:r>
      <w:r w:rsidRPr="00D44CF2">
        <w:t>. Currently AVP is finalising the proposal jointly with ElectraNet before commencing the development of the control scheme.</w:t>
      </w:r>
    </w:p>
    <w:p w14:paraId="3E14E859" w14:textId="06C3D93A" w:rsidR="0087182A" w:rsidRPr="00D44CF2" w:rsidRDefault="0087182A" w:rsidP="65A8EFB3">
      <w:pPr>
        <w:pStyle w:val="ListBullet"/>
        <w:rPr>
          <w:rStyle w:val="CommentReference"/>
          <w:sz w:val="20"/>
          <w:szCs w:val="20"/>
        </w:rPr>
      </w:pPr>
      <w:r w:rsidRPr="00D44CF2">
        <w:lastRenderedPageBreak/>
        <w:t>When testing the proposed new control scheme, AVP identified a NEM-wide frequency instability risk, as a result of a large amount of generation in South Australia and Victoria being tripped by multiple control schemes following a non-credible contingency in the 500 kV corridor between Heywood and Moorabool post EnergyConnect Stage 2. This risk has been referred to AEMO Operations for consideration in the 2026 GPSRR.</w:t>
      </w:r>
      <w:r w:rsidRPr="00D44CF2">
        <w:rPr>
          <w:rStyle w:val="CommentReference"/>
        </w:rPr>
        <w:t xml:space="preserve"> </w:t>
      </w:r>
    </w:p>
    <w:p w14:paraId="4322703B" w14:textId="22A43772" w:rsidR="0087182A" w:rsidRPr="00D44CF2" w:rsidRDefault="0087182A" w:rsidP="3B5BDFAB">
      <w:pPr>
        <w:pStyle w:val="ListBullet"/>
      </w:pPr>
      <w:r w:rsidRPr="00D44CF2">
        <w:t>AVP is reviewing the existing EAPT control scheme to accommodate network performance changes post EnergyConnect Stage 2.</w:t>
      </w:r>
    </w:p>
    <w:p w14:paraId="1B384F5E" w14:textId="77777777" w:rsidR="0087182A" w:rsidRPr="00D44CF2" w:rsidRDefault="0087182A" w:rsidP="3B5BDFAB">
      <w:pPr>
        <w:pStyle w:val="ListBullet"/>
      </w:pPr>
      <w:r w:rsidRPr="00D44CF2">
        <w:t>AVP is also reviewing the tripping arrangements of the existing EAPT control scheme to consider tripping APD load directly, preserving auxiliary supplies to the site, rather than existing tripping actions which occur at Heywood Terminal Station.</w:t>
      </w:r>
    </w:p>
    <w:p w14:paraId="5A498B02" w14:textId="2B6A21E6" w:rsidR="0087182A" w:rsidRPr="00D44CF2" w:rsidRDefault="0087182A" w:rsidP="3B5BDFAB">
      <w:pPr>
        <w:pStyle w:val="ListBullet"/>
      </w:pPr>
      <w:r w:rsidRPr="00D44CF2">
        <w:t>AVP has reviewed the need for the existing GFT schemes in the South</w:t>
      </w:r>
      <w:r w:rsidR="0031731B" w:rsidRPr="00D44CF2">
        <w:t>-</w:t>
      </w:r>
      <w:r w:rsidRPr="00D44CF2">
        <w:t>West</w:t>
      </w:r>
      <w:r w:rsidR="0031731B" w:rsidRPr="00D44CF2">
        <w:t>ern</w:t>
      </w:r>
      <w:r w:rsidRPr="00D44CF2">
        <w:t xml:space="preserve"> Victorian 500 kV network, and concluded that these schemes are still required post EnergyConnect Stage 2.</w:t>
      </w:r>
    </w:p>
    <w:p w14:paraId="5266BEF7" w14:textId="77777777" w:rsidR="0087182A" w:rsidRPr="00D44CF2" w:rsidRDefault="0087182A" w:rsidP="3B5BDFAB">
      <w:pPr>
        <w:pStyle w:val="ListBullet"/>
        <w:numPr>
          <w:ilvl w:val="0"/>
          <w:numId w:val="0"/>
        </w:numPr>
      </w:pPr>
      <w:r w:rsidRPr="00D44CF2">
        <w:t>AVP has identified the need for a new control scheme to manage periods with high South Western generation and high HIC import into Victoria. With significant renewable generation connected to this corridor and expected increase in HIC transfer capacity (subject to internetwork testing), the simultaneous loss of both Moorabool – Sydenham 500 kV lines could result in voltage instability and severe thermal overloads in the Metropolitan Melbourne region. AVP is conducting power system studies to define the functional requirements for the new scheme and is now evaluating mitigation options – including</w:t>
      </w:r>
      <w:r w:rsidRPr="00D44CF2" w:rsidDel="00433E7C">
        <w:t xml:space="preserve"> </w:t>
      </w:r>
      <w:r w:rsidRPr="00D44CF2">
        <w:t xml:space="preserve">generation trip, load shedding or both – to address both voltage instability and thermal overloading risks. </w:t>
      </w:r>
    </w:p>
    <w:p w14:paraId="4AB8F181" w14:textId="77777777" w:rsidR="0087182A" w:rsidRPr="00D44CF2" w:rsidRDefault="0087182A" w:rsidP="0087182A">
      <w:pPr>
        <w:pStyle w:val="Heading3"/>
      </w:pPr>
      <w:r w:rsidRPr="00D44CF2">
        <w:rPr>
          <w:rFonts w:hint="eastAsia"/>
        </w:rPr>
        <w:t xml:space="preserve">North West </w:t>
      </w:r>
      <w:r w:rsidRPr="00D44CF2">
        <w:t>c</w:t>
      </w:r>
      <w:r w:rsidRPr="00D44CF2">
        <w:rPr>
          <w:rFonts w:hint="eastAsia"/>
        </w:rPr>
        <w:t>orrido</w:t>
      </w:r>
      <w:r w:rsidRPr="00D44CF2">
        <w:t>r</w:t>
      </w:r>
    </w:p>
    <w:p w14:paraId="3415D1A8" w14:textId="77777777" w:rsidR="0087182A" w:rsidRPr="00D44CF2" w:rsidRDefault="0087182A" w:rsidP="0087182A">
      <w:pPr>
        <w:pStyle w:val="BodyText"/>
      </w:pPr>
      <w:r w:rsidRPr="00D44CF2">
        <w:t>AVP is also conducting preliminary investigations into needs for new control schemes and modification of existing control schemes to accommodate network changes post WRL and VNI West projects:</w:t>
      </w:r>
    </w:p>
    <w:p w14:paraId="4418F42C" w14:textId="7F026839" w:rsidR="0087182A" w:rsidRPr="00D44CF2" w:rsidRDefault="0087182A" w:rsidP="0087182A">
      <w:pPr>
        <w:pStyle w:val="ListBullet"/>
      </w:pPr>
      <w:r w:rsidRPr="00D44CF2">
        <w:t>AVP is investigating the need for a new control scheme</w:t>
      </w:r>
      <w:r w:rsidRPr="00D44CF2" w:rsidDel="00E573C2">
        <w:t xml:space="preserve"> </w:t>
      </w:r>
      <w:r w:rsidRPr="00D44CF2">
        <w:t xml:space="preserve">to manage potential stability and line thermal capacity limitation arising from non-credible loss of the proposed double-circuit 500 kV lines from Sydenham to </w:t>
      </w:r>
      <w:r w:rsidR="00C45302" w:rsidRPr="00D44CF2">
        <w:t>JJTS</w:t>
      </w:r>
      <w:r w:rsidR="007067A9" w:rsidRPr="00D44CF2">
        <w:t xml:space="preserve"> </w:t>
      </w:r>
      <w:r w:rsidRPr="00D44CF2">
        <w:t xml:space="preserve">to be developed under the WRL project and Dinawan to </w:t>
      </w:r>
      <w:r w:rsidR="007067A9" w:rsidRPr="00D44CF2">
        <w:t>Tragowel</w:t>
      </w:r>
      <w:r w:rsidR="009D2747" w:rsidRPr="00D44CF2">
        <w:t xml:space="preserve"> </w:t>
      </w:r>
      <w:r w:rsidRPr="00D44CF2">
        <w:t xml:space="preserve">under the VNI West project. Preliminary results identified a need for a new control scheme to cater for non-credible contingencies during high VNI export conditions, so further investigations are underway into potential solution options, including automatic load shedding, generation tripping or both. This project is being carried out through joint planning with Transgrid. Further studies are ongoing to evaluate the thermal impacts during VNI import conditions. See Section 3.1 for more information about WRL and VNI West. </w:t>
      </w:r>
    </w:p>
    <w:p w14:paraId="0C5C032B" w14:textId="47C593E4" w:rsidR="0087182A" w:rsidRPr="00D44CF2" w:rsidRDefault="0087182A" w:rsidP="0087182A">
      <w:pPr>
        <w:pStyle w:val="ListBullet"/>
        <w:numPr>
          <w:ilvl w:val="1"/>
          <w:numId w:val="71"/>
        </w:numPr>
      </w:pPr>
      <w:r w:rsidRPr="00D44CF2">
        <w:t xml:space="preserve">AVP has identified a need to install a new anti-islanding scheme to avoid islanding the Ararat, Waubra, and Crowlands </w:t>
      </w:r>
      <w:r w:rsidR="00862924" w:rsidRPr="00D44CF2">
        <w:t xml:space="preserve">wind farms </w:t>
      </w:r>
      <w:r w:rsidRPr="00D44CF2">
        <w:t xml:space="preserve">post completion of WRL. The purpose of the scheme is to safely disconnect the wind farms when they become electrically isolated from the main grid, to avoid unstable oscillations between the wind farms when islanded. The scheme will monitor the 220 kV network between Ballarat and Bulgana and initiate the scheme when appropriate. The WRL project is progressing the development and subsequent implementation of this new anti-islanding scheme. </w:t>
      </w:r>
    </w:p>
    <w:p w14:paraId="40F25187" w14:textId="77777777" w:rsidR="0087182A" w:rsidRPr="00D44CF2" w:rsidRDefault="0087182A" w:rsidP="0087182A">
      <w:pPr>
        <w:pStyle w:val="ListBullet"/>
      </w:pPr>
      <w:r w:rsidRPr="00D44CF2">
        <w:t xml:space="preserve">AVP has assessed the impact of WRL on the Murraylink VFRB scheme during import, which manages line thermal capacity limitation and voltage stability by rapidly running back Murraylink from South Australia </w:t>
      </w:r>
      <w:r w:rsidRPr="00D44CF2">
        <w:lastRenderedPageBreak/>
        <w:t>following contingencies. The assessment concluded that following WRL commissioning the scheme will remain effective in mitigating transmission line overloading, and it will be retained without modification.</w:t>
      </w:r>
      <w:r w:rsidRPr="00D44CF2" w:rsidDel="00324E2D">
        <w:t xml:space="preserve"> </w:t>
      </w:r>
      <w:r w:rsidRPr="00D44CF2">
        <w:t xml:space="preserve"> </w:t>
      </w:r>
    </w:p>
    <w:p w14:paraId="2B2E77C5" w14:textId="471A96D8" w:rsidR="0087182A" w:rsidRPr="00D44CF2" w:rsidRDefault="0087182A" w:rsidP="0087182A">
      <w:pPr>
        <w:pStyle w:val="ListBullet"/>
      </w:pPr>
      <w:r w:rsidRPr="00D44CF2">
        <w:t xml:space="preserve">AVP has assessed the </w:t>
      </w:r>
      <w:r w:rsidR="00862924" w:rsidRPr="00D44CF2">
        <w:t>Murraylink</w:t>
      </w:r>
      <w:r w:rsidRPr="00D44CF2">
        <w:t xml:space="preserve"> VFRB scheme during export, which manages line thermal capacity limitation and voltage stability by rapidly running back Murraylink to South Australia following contingencies. Following WRL commissioning, the assessment found that some currently monitored 220 kV transmission lines should be disabled in the scheme, and a new 220 kV line contingency should be added.    </w:t>
      </w:r>
    </w:p>
    <w:p w14:paraId="30B57E3C" w14:textId="3E404927" w:rsidR="0087182A" w:rsidRPr="00D44CF2" w:rsidRDefault="0087182A" w:rsidP="0087182A">
      <w:pPr>
        <w:pStyle w:val="ListBullet"/>
        <w:numPr>
          <w:ilvl w:val="1"/>
          <w:numId w:val="71"/>
        </w:numPr>
      </w:pPr>
      <w:r w:rsidRPr="00D44CF2">
        <w:t>AVP has completed an investigation into the System Overload Control Scheme (SOCS) following the completion of VNI West and WRL. The scheme will be maintained, with some modifications to the transmission lines being monitored to reflect the updated network configuration.</w:t>
      </w:r>
    </w:p>
    <w:p w14:paraId="3DB88A15" w14:textId="77777777" w:rsidR="0087182A" w:rsidRPr="00D44CF2" w:rsidRDefault="0087182A" w:rsidP="0087182A">
      <w:pPr>
        <w:pStyle w:val="ListBullet"/>
      </w:pPr>
      <w:r w:rsidRPr="00D44CF2">
        <w:t>AVP has assessed the WRL impact on GFT schemes in the North West Victoria corridor. After WRL is commissioned, existing GFT schemes designed to address system strength issues will require updates, including removal of certain contingencies and addition of new 220 kV contingencies to align with the revised network configuration.</w:t>
      </w:r>
    </w:p>
    <w:p w14:paraId="6B9609A3" w14:textId="622CDC63" w:rsidR="0087182A" w:rsidRPr="00D44CF2" w:rsidRDefault="0087182A" w:rsidP="0087182A">
      <w:pPr>
        <w:pStyle w:val="BodyText"/>
      </w:pPr>
      <w:r w:rsidRPr="00D44CF2">
        <w:t xml:space="preserve">As part of the RDP Stage 1 minor augmentation projects, AVP is progressing development of an automatic generator runback scheme designed to manage thermal capacity limitation on the Ballarat – Bendigo and future Axedale – Fosterville – Bendigo 220 kV network. This scheme aims to dynamically reduce generator output in response to line thermal capacity limitation conditions, helping maintain network reliability and prevent thermal overloads. Development and implementation of the scheme is still progressing. </w:t>
      </w:r>
    </w:p>
    <w:p w14:paraId="75FCB363" w14:textId="77777777" w:rsidR="0087182A" w:rsidRPr="00D44CF2" w:rsidRDefault="0087182A" w:rsidP="0087182A">
      <w:pPr>
        <w:pStyle w:val="Heading3"/>
      </w:pPr>
      <w:r w:rsidRPr="00D44CF2">
        <w:t xml:space="preserve">Northern corridor </w:t>
      </w:r>
    </w:p>
    <w:p w14:paraId="7A7AE2DC" w14:textId="77777777" w:rsidR="0087182A" w:rsidRPr="00D44CF2" w:rsidRDefault="0087182A" w:rsidP="0087182A">
      <w:pPr>
        <w:pStyle w:val="BodyText"/>
      </w:pPr>
      <w:r w:rsidRPr="00D44CF2">
        <w:t xml:space="preserve">AVP, jointly with Transgrid, completed an investigation into the need for a new scheme to address a risk identified in the 2022 </w:t>
      </w:r>
      <w:r w:rsidRPr="00D44CF2">
        <w:rPr>
          <w:i/>
        </w:rPr>
        <w:t xml:space="preserve">Power System Frequency Risk </w:t>
      </w:r>
      <w:r w:rsidRPr="00D44CF2">
        <w:rPr>
          <w:i/>
          <w:iCs/>
        </w:rPr>
        <w:t xml:space="preserve">Review </w:t>
      </w:r>
      <w:r w:rsidRPr="00D44CF2">
        <w:t xml:space="preserve">(PSFRR) – system instability following non-credible contingencies of losing multiple transmission lines between South Morang and Murray during high export from Victoria to New South Wales. </w:t>
      </w:r>
    </w:p>
    <w:p w14:paraId="575E028A" w14:textId="77777777" w:rsidR="0087182A" w:rsidRPr="00D44CF2" w:rsidRDefault="0087182A" w:rsidP="0087182A">
      <w:pPr>
        <w:pStyle w:val="BodyText"/>
      </w:pPr>
      <w:r w:rsidRPr="00D44CF2">
        <w:t xml:space="preserve">No new control scheme has been proposed, as the anticipated VNI West development will eliminate this risk.  </w:t>
      </w:r>
    </w:p>
    <w:p w14:paraId="4C944245" w14:textId="77777777" w:rsidR="0087182A" w:rsidRPr="00D44CF2" w:rsidRDefault="0087182A" w:rsidP="0087182A">
      <w:pPr>
        <w:pStyle w:val="Heading3"/>
      </w:pPr>
      <w:r w:rsidRPr="00D44CF2">
        <w:t>Eastern corridor</w:t>
      </w:r>
    </w:p>
    <w:p w14:paraId="6EBF3E9C" w14:textId="77777777" w:rsidR="0087182A" w:rsidRPr="00D44CF2" w:rsidRDefault="0087182A" w:rsidP="0087182A">
      <w:pPr>
        <w:pStyle w:val="BodyText"/>
      </w:pPr>
      <w:bookmarkStart w:id="282" w:name="_Hlk206159173"/>
      <w:r w:rsidRPr="00D44CF2">
        <w:t>AVP has developed a plan to reconfigure the Latrobe Valley 220 kV network in preparation for the pending retirement of YWPS. These works include installing special protection schemes to prevent line overloads on the Hazelwood – Yallourn lines in the event of a parallel line or a Hazelwood 500/220 kV transformer outage</w:t>
      </w:r>
      <w:r w:rsidRPr="00D44CF2">
        <w:rPr>
          <w:rStyle w:val="FootnoteReference"/>
        </w:rPr>
        <w:footnoteReference w:id="102"/>
      </w:r>
      <w:r w:rsidRPr="00D44CF2">
        <w:t xml:space="preserve">: </w:t>
      </w:r>
    </w:p>
    <w:p w14:paraId="39D1D5F1" w14:textId="4258963C" w:rsidR="0087182A" w:rsidRPr="00D44CF2" w:rsidRDefault="0087182A" w:rsidP="0087182A">
      <w:pPr>
        <w:pStyle w:val="ListBullet"/>
        <w:numPr>
          <w:ilvl w:val="0"/>
          <w:numId w:val="71"/>
        </w:numPr>
      </w:pPr>
      <w:r w:rsidRPr="00D44CF2">
        <w:t>HWPS</w:t>
      </w:r>
      <w:r w:rsidR="008700FA" w:rsidRPr="00D44CF2">
        <w:t>-</w:t>
      </w:r>
      <w:r w:rsidRPr="00D44CF2">
        <w:t>YPS 220 kV Line Overload Scheme – under peak conditions, the loss of either the Hazelwood –</w:t>
      </w:r>
      <w:r w:rsidR="008700FA" w:rsidRPr="00D44CF2">
        <w:t xml:space="preserve"> </w:t>
      </w:r>
      <w:r w:rsidRPr="00D44CF2">
        <w:t>Yallourn No. 1 or No. 2 220 kV line may overload the remaining in-service line. This risk is mitigated by a SOCS</w:t>
      </w:r>
      <w:r w:rsidRPr="00D44CF2">
        <w:noBreakHyphen/>
        <w:t xml:space="preserve">based scheme that trips the Rowville – Yallourn No. 5 and No. 7 lines (see Section 3.1 for further detail). </w:t>
      </w:r>
    </w:p>
    <w:p w14:paraId="42094E5A" w14:textId="77777777" w:rsidR="0087182A" w:rsidRPr="00D44CF2" w:rsidRDefault="0087182A" w:rsidP="0087182A">
      <w:pPr>
        <w:pStyle w:val="ListBullet"/>
        <w:numPr>
          <w:ilvl w:val="0"/>
          <w:numId w:val="71"/>
        </w:numPr>
      </w:pPr>
      <w:r w:rsidRPr="00D44CF2">
        <w:t>HWTS A1/A2 Transformer Overload Scheme – loss of either the Hazelwood 500/220 kV A1 or A2 transformer may cause overload on the remaining unit during peak demand. Overload relief is achieved by tripping Hazelwood – Yallourn No. 1 and Rowville – Yallourn No. 5 and No. 7 220 kV lines (see Section 3.1 for further detail).</w:t>
      </w:r>
      <w:bookmarkEnd w:id="282"/>
    </w:p>
    <w:p w14:paraId="7A0F9754" w14:textId="77777777" w:rsidR="0087182A" w:rsidRPr="00D44CF2" w:rsidRDefault="0087182A" w:rsidP="0087182A">
      <w:pPr>
        <w:pStyle w:val="Heading3"/>
      </w:pPr>
      <w:r w:rsidRPr="00D44CF2">
        <w:rPr>
          <w:rFonts w:hint="eastAsia"/>
        </w:rPr>
        <w:lastRenderedPageBreak/>
        <w:t xml:space="preserve">Review of other schemes in the wider </w:t>
      </w:r>
      <w:r w:rsidRPr="00D44CF2">
        <w:t xml:space="preserve">Victorian </w:t>
      </w:r>
      <w:r w:rsidRPr="00D44CF2">
        <w:rPr>
          <w:rFonts w:hint="eastAsia"/>
        </w:rPr>
        <w:t xml:space="preserve">DSN </w:t>
      </w:r>
    </w:p>
    <w:bookmarkEnd w:id="281"/>
    <w:p w14:paraId="432D5A0A" w14:textId="77777777" w:rsidR="0087182A" w:rsidRPr="00D44CF2" w:rsidRDefault="0087182A" w:rsidP="0087182A">
      <w:pPr>
        <w:pStyle w:val="BodyText"/>
      </w:pPr>
      <w:r w:rsidRPr="00D44CF2">
        <w:t>AVP has commissioned the following control scheme across the wider Victorian DSN:</w:t>
      </w:r>
    </w:p>
    <w:p w14:paraId="3DE41A75" w14:textId="0D5BB52E" w:rsidR="0087182A" w:rsidRPr="00D44CF2" w:rsidRDefault="0087182A" w:rsidP="0087182A">
      <w:pPr>
        <w:pStyle w:val="ListBullet"/>
        <w:rPr>
          <w:b/>
          <w:bCs/>
        </w:rPr>
      </w:pPr>
      <w:r w:rsidRPr="00D44CF2">
        <w:t>KOVPS</w:t>
      </w:r>
      <w:r w:rsidRPr="00D44CF2">
        <w:rPr>
          <w:b/>
          <w:bCs/>
        </w:rPr>
        <w:t xml:space="preserve"> </w:t>
      </w:r>
      <w:r w:rsidRPr="00D44CF2">
        <w:t>– due to reductions in historical minimum demand and the forecast for Victorian regional minimum demand, high voltages in the Keilor area have emerged as a system security concern. Specifically, post-contingent voltages at the KTS 500 kV bus could exceed the short-term rating of the 500/220 kV transformers. AVP has updated the KOVPS control scheme to increase the short-term high voltage limit at the KTS 500 kV bus from 525 kV to 535 kV. The revised scheme was commissioned in January 2025.</w:t>
      </w:r>
    </w:p>
    <w:p w14:paraId="72D7D8C3" w14:textId="77777777" w:rsidR="0087182A" w:rsidRPr="00D44CF2" w:rsidRDefault="0087182A" w:rsidP="0087182A">
      <w:pPr>
        <w:pStyle w:val="Heading2"/>
      </w:pPr>
      <w:bookmarkStart w:id="283" w:name="_Toc212023287"/>
      <w:r w:rsidRPr="00D44CF2">
        <w:t>General Power System Risk Review</w:t>
      </w:r>
      <w:r w:rsidRPr="00D44CF2" w:rsidDel="00E87865">
        <w:t xml:space="preserve"> </w:t>
      </w:r>
      <w:r w:rsidRPr="00D44CF2">
        <w:t>– planned activities</w:t>
      </w:r>
      <w:bookmarkEnd w:id="283"/>
    </w:p>
    <w:p w14:paraId="5DA39E02" w14:textId="5AE7203B" w:rsidR="0087182A" w:rsidRPr="00D44CF2" w:rsidRDefault="0087182A" w:rsidP="0087182A">
      <w:pPr>
        <w:pStyle w:val="BodyText"/>
      </w:pPr>
      <w:r w:rsidRPr="00D44CF2">
        <w:t>The GPSRR is an integrated, annual review of major power system risks in the NEM. AEMO, in accordance with NER 5.20A.3, undertakes this review in consultation with TNSPs. The 2025 GPSRR was published in July 2025</w:t>
      </w:r>
      <w:r w:rsidRPr="00D44CF2">
        <w:rPr>
          <w:vertAlign w:val="superscript"/>
        </w:rPr>
        <w:footnoteReference w:id="103"/>
      </w:r>
      <w:r w:rsidRPr="00D44CF2">
        <w:t xml:space="preserve">. </w:t>
      </w:r>
    </w:p>
    <w:p w14:paraId="68F1A597" w14:textId="77777777" w:rsidR="0087182A" w:rsidRPr="00D44CF2" w:rsidRDefault="0087182A" w:rsidP="0087182A">
      <w:pPr>
        <w:pStyle w:val="BodyText"/>
      </w:pPr>
      <w:r w:rsidRPr="00D44CF2">
        <w:t>Since the 2024 VAPR, AVP has completed investigation into two risks:</w:t>
      </w:r>
    </w:p>
    <w:p w14:paraId="196A7D28" w14:textId="77777777" w:rsidR="0087182A" w:rsidRPr="00D44CF2" w:rsidRDefault="0087182A" w:rsidP="0087182A">
      <w:pPr>
        <w:pStyle w:val="ListBullet"/>
      </w:pPr>
      <w:r w:rsidRPr="00D44CF2">
        <w:t>2022 PSFRR – loss of both Dederang – South Morang 330 kV lines. To avoid multiple transmission line loss following this non-credible event, the following improvements are recommended:</w:t>
      </w:r>
    </w:p>
    <w:p w14:paraId="25501F34" w14:textId="77777777" w:rsidR="0087182A" w:rsidRPr="00D44CF2" w:rsidRDefault="0087182A" w:rsidP="0087182A">
      <w:pPr>
        <w:pStyle w:val="ListBullet2"/>
      </w:pPr>
      <w:r w:rsidRPr="00D44CF2">
        <w:t>AEMO recommended that AVP prioritise the modification of the existing IECS or the implementation of a new Special Protection Scheme (SPS) to manage the non-credible contingency risk associated with the simultaneous loss of both Dederang – South Morang 330 kV transmission lines when Victoria is exporting. AEMO also encouraged collaboration with Transgrid to assess the potential benefits of enhancing this scheme to reduce the impact of such events.</w:t>
      </w:r>
    </w:p>
    <w:p w14:paraId="0DC9E629" w14:textId="77777777" w:rsidR="0087182A" w:rsidRPr="00D44CF2" w:rsidRDefault="0087182A" w:rsidP="0087182A">
      <w:pPr>
        <w:pStyle w:val="ListBullet2"/>
      </w:pPr>
      <w:r w:rsidRPr="00D44CF2">
        <w:t>In response, AVP conducted its own assessment and concluded that no new control scheme or modification to the existing IECS is required to manage the non-credible loss of both Dederang – South Morang 330 kV lines or Dederang – Murray 330 kV lines during Victoria export conditions. The assessment determined that following the commissioning of VNI West, this issue will be resolved.</w:t>
      </w:r>
    </w:p>
    <w:p w14:paraId="158F6553" w14:textId="2E197BC2" w:rsidR="0087182A" w:rsidRPr="00D44CF2" w:rsidRDefault="0087182A" w:rsidP="0087182A">
      <w:pPr>
        <w:pStyle w:val="ListBullet"/>
      </w:pPr>
      <w:r w:rsidRPr="00D44CF2">
        <w:t>2024 GPSRR – key risk and recommendation for Victoria (Risk 1): a fault on the Loy Yang B Unit 2 transformer, followed by failure of the single bus coupler circuit breaker connecting the 500 kV No. 3 bus to Loy Yang B Unit 2. This non</w:t>
      </w:r>
      <w:r w:rsidRPr="00D44CF2">
        <w:noBreakHyphen/>
        <w:t>credible contingency could trigger backup protection schemes that, under specific operating conditions, may lead to the loss of up to 1,300 MW of generation in Victoria. The current configuration of the Loy Yang 500 kV station poses a risk of cascading failures, particularly when operating with limited synchronous generation combinations.</w:t>
      </w:r>
    </w:p>
    <w:p w14:paraId="392EDDFF" w14:textId="77777777" w:rsidR="0087182A" w:rsidRPr="00D44CF2" w:rsidRDefault="0087182A" w:rsidP="0087182A">
      <w:pPr>
        <w:pStyle w:val="ListBullet2"/>
      </w:pPr>
      <w:r w:rsidRPr="00D44CF2">
        <w:t>Due to the strategic importance of the site for system reliability and security, AEMO recommended that AVP prioritise the design and implementation of a solution to enhance the resilience of the Loy Yang 500 kV station, and share outcomes with AEMO for consideration in future GPSRRs.</w:t>
      </w:r>
    </w:p>
    <w:p w14:paraId="560745FE" w14:textId="77777777" w:rsidR="0087182A" w:rsidRPr="00D44CF2" w:rsidRDefault="0087182A" w:rsidP="0087182A">
      <w:pPr>
        <w:pStyle w:val="ListBullet2"/>
        <w:rPr>
          <w:b/>
          <w:bCs/>
        </w:rPr>
      </w:pPr>
      <w:r w:rsidRPr="00D44CF2">
        <w:t>In response, AVP conducted its own High Impact Low Probability (HILP) assessment</w:t>
      </w:r>
      <w:r w:rsidRPr="00D44CF2">
        <w:rPr>
          <w:rStyle w:val="FootnoteReference"/>
        </w:rPr>
        <w:footnoteReference w:id="104"/>
      </w:r>
      <w:r w:rsidRPr="00D44CF2" w:rsidDel="006C7FAB">
        <w:t xml:space="preserve"> and </w:t>
      </w:r>
      <w:r w:rsidRPr="00D44CF2">
        <w:t xml:space="preserve">concluded that any network augmentation to modify the current configuration at Loy Yang 500 kV is unlikely to be </w:t>
      </w:r>
      <w:r w:rsidRPr="00D44CF2">
        <w:lastRenderedPageBreak/>
        <w:t>economically justified, given the very low likelihood of the risk. As a result, no augmentations will be carried out at this stage. However, the addition of future renewable generation in the area may prompt a reassessment, which could justify augmentation on economic grounds.</w:t>
      </w:r>
      <w:r w:rsidRPr="00D44CF2">
        <w:rPr>
          <w:b/>
          <w:bCs/>
        </w:rPr>
        <w:t xml:space="preserve">  </w:t>
      </w:r>
    </w:p>
    <w:p w14:paraId="7015109D" w14:textId="77777777" w:rsidR="0087182A" w:rsidRPr="00D44CF2" w:rsidRDefault="0087182A" w:rsidP="0087182A">
      <w:pPr>
        <w:pStyle w:val="BodyText"/>
      </w:pPr>
      <w:r w:rsidRPr="00D44CF2">
        <w:t>The 2025 GPSRR outlined two recommendations for AVP to investigate further:</w:t>
      </w:r>
    </w:p>
    <w:p w14:paraId="732B5416" w14:textId="77777777" w:rsidR="0087182A" w:rsidRPr="00D44CF2" w:rsidRDefault="0087182A" w:rsidP="0087182A">
      <w:pPr>
        <w:pStyle w:val="ListBullet"/>
      </w:pPr>
      <w:r w:rsidRPr="00D44CF2">
        <w:t>2025 GPSRR – recommendation for all TNSPs (Recommendation 1): rooftop solar, a key component of CER, is rapidly expanding across the NEM, with installed capacity projected to grow from 20</w:t>
      </w:r>
      <w:r w:rsidRPr="00D44CF2">
        <w:rPr>
          <w:rFonts w:ascii="Arial" w:hAnsi="Arial" w:cs="Arial"/>
        </w:rPr>
        <w:t> </w:t>
      </w:r>
      <w:r w:rsidRPr="00D44CF2">
        <w:t>GW in 2025 to 72</w:t>
      </w:r>
      <w:r w:rsidRPr="00D44CF2">
        <w:rPr>
          <w:rFonts w:ascii="Arial" w:hAnsi="Arial" w:cs="Arial"/>
        </w:rPr>
        <w:t> </w:t>
      </w:r>
      <w:r w:rsidRPr="00D44CF2">
        <w:t>GW by 2050. While this growth supports decarbonisation, it also reduces midday operational demand and increases the risk of MSL conditions. These conditions can compromise grid stability by displacing traditional synchronous generation.</w:t>
      </w:r>
    </w:p>
    <w:p w14:paraId="6045D656" w14:textId="77777777" w:rsidR="0087182A" w:rsidRPr="00D44CF2" w:rsidRDefault="0087182A" w:rsidP="0087182A">
      <w:pPr>
        <w:pStyle w:val="ListBullet2"/>
      </w:pPr>
      <w:r w:rsidRPr="00D44CF2">
        <w:t>To address these emerging risks, AVP will continue to develop and refine operational procedures to support secure and reliable system operation as CER penetration increases. Key activities include:</w:t>
      </w:r>
    </w:p>
    <w:p w14:paraId="723C954E" w14:textId="77777777" w:rsidR="0087182A" w:rsidRPr="00D44CF2" w:rsidRDefault="0087182A" w:rsidP="0087182A">
      <w:pPr>
        <w:pStyle w:val="ListBullet3"/>
      </w:pPr>
      <w:r w:rsidRPr="00D44CF2">
        <w:t>providing planning advice for new network developments and modifications to control schemes,</w:t>
      </w:r>
    </w:p>
    <w:p w14:paraId="1938B90A" w14:textId="77777777" w:rsidR="0087182A" w:rsidRPr="00D44CF2" w:rsidRDefault="0087182A" w:rsidP="0087182A">
      <w:pPr>
        <w:pStyle w:val="ListBullet3"/>
      </w:pPr>
      <w:r w:rsidRPr="00D44CF2">
        <w:t>participating in internetwork testing,</w:t>
      </w:r>
    </w:p>
    <w:p w14:paraId="301F7718" w14:textId="77777777" w:rsidR="0087182A" w:rsidRPr="00D44CF2" w:rsidRDefault="0087182A" w:rsidP="0087182A">
      <w:pPr>
        <w:pStyle w:val="ListBullet3"/>
      </w:pPr>
      <w:r w:rsidRPr="00D44CF2">
        <w:t>reviewing maximum contingency sizes for load and generation,</w:t>
      </w:r>
    </w:p>
    <w:p w14:paraId="4228B1FB" w14:textId="77777777" w:rsidR="0087182A" w:rsidRPr="00D44CF2" w:rsidRDefault="0087182A" w:rsidP="0087182A">
      <w:pPr>
        <w:pStyle w:val="ListBullet3"/>
      </w:pPr>
      <w:r w:rsidRPr="00D44CF2">
        <w:t>collaborating with AEMO Operations on incident reviews and control scheme performance,</w:t>
      </w:r>
    </w:p>
    <w:p w14:paraId="2E40B0FE" w14:textId="77777777" w:rsidR="0087182A" w:rsidRPr="00D44CF2" w:rsidRDefault="0087182A" w:rsidP="0087182A">
      <w:pPr>
        <w:pStyle w:val="ListBullet3"/>
      </w:pPr>
      <w:r w:rsidRPr="00D44CF2">
        <w:t>developing limits advice to support operational decision-making,</w:t>
      </w:r>
    </w:p>
    <w:p w14:paraId="02D2CCB4" w14:textId="77777777" w:rsidR="0087182A" w:rsidRPr="00D44CF2" w:rsidRDefault="0087182A" w:rsidP="0087182A">
      <w:pPr>
        <w:pStyle w:val="ListBullet3"/>
      </w:pPr>
      <w:r w:rsidRPr="00D44CF2">
        <w:t>engaging in joint planning with other TNSPs, DNSPs, and DSTOs,</w:t>
      </w:r>
    </w:p>
    <w:p w14:paraId="6C03D35B" w14:textId="77777777" w:rsidR="0087182A" w:rsidRPr="00D44CF2" w:rsidRDefault="0087182A" w:rsidP="0087182A">
      <w:pPr>
        <w:pStyle w:val="ListBullet3"/>
      </w:pPr>
      <w:r w:rsidRPr="00D44CF2">
        <w:t>supporting day-to-day operational issues, and</w:t>
      </w:r>
    </w:p>
    <w:p w14:paraId="69D02C37" w14:textId="77777777" w:rsidR="0087182A" w:rsidRPr="00D44CF2" w:rsidRDefault="0087182A" w:rsidP="0087182A">
      <w:pPr>
        <w:pStyle w:val="ListBullet3"/>
      </w:pPr>
      <w:r w:rsidRPr="00D44CF2">
        <w:t>continuing business-as-usual planning and coordination activities</w:t>
      </w:r>
    </w:p>
    <w:p w14:paraId="723D28F2" w14:textId="12425AEA" w:rsidR="0087182A" w:rsidRPr="00D44CF2" w:rsidRDefault="0087182A" w:rsidP="3AD74A67">
      <w:pPr>
        <w:pStyle w:val="ListBullet"/>
        <w:rPr>
          <w:b/>
          <w:bCs/>
        </w:rPr>
      </w:pPr>
      <w:r w:rsidRPr="00D44CF2">
        <w:t xml:space="preserve">2025 GPSRR – recommendation for all NSPs and AEMO (Recommendation 5): BESS are rapidly expanding across the NEM, with over 30 GW </w:t>
      </w:r>
      <w:r w:rsidR="52D2D738" w:rsidRPr="00D44CF2">
        <w:t>planned</w:t>
      </w:r>
      <w:r w:rsidRPr="00D44CF2">
        <w:t xml:space="preserve"> by 2050. While their fast, dispatchable capacity offers major benefits, concentrated BESS deployments, particularly in regions like South Australia, can pose risks to interconnector stability during frequency events. The GPSRR highlights the need for continuous monitoring of BESS distribution across the NEM, including Victoria and its sub-regions, to mitigate potential stability or thermal issues on interconnectors or other key transmission corridors. </w:t>
      </w:r>
    </w:p>
    <w:p w14:paraId="2F58CC7E" w14:textId="77777777" w:rsidR="0087182A" w:rsidRPr="00D44CF2" w:rsidRDefault="0087182A" w:rsidP="0087182A">
      <w:pPr>
        <w:pStyle w:val="ListBullet2"/>
      </w:pPr>
      <w:r w:rsidRPr="00D44CF2">
        <w:t>To mitigate potential stability and thermal issues across interconnectors and key transmission corridors, the GPSRR recommends ongoing monitoring of BESS distribution across the NEM, including Victoria and its sub-regions. This includes:</w:t>
      </w:r>
    </w:p>
    <w:p w14:paraId="7CA9CBEC" w14:textId="77777777" w:rsidR="0087182A" w:rsidRPr="00D44CF2" w:rsidRDefault="0087182A" w:rsidP="0087182A">
      <w:pPr>
        <w:pStyle w:val="ListBullet3"/>
      </w:pPr>
      <w:r w:rsidRPr="00D44CF2">
        <w:t>continuing to monitor the location, control settings, and commissioning timelines of expected BESS and other fast-acting IBR connections within each network or region, and</w:t>
      </w:r>
    </w:p>
    <w:p w14:paraId="190107E2" w14:textId="77777777" w:rsidR="0087182A" w:rsidRPr="00D44CF2" w:rsidRDefault="0087182A" w:rsidP="0087182A">
      <w:pPr>
        <w:pStyle w:val="ListBullet3"/>
      </w:pPr>
      <w:r w:rsidRPr="00D44CF2">
        <w:t>regularly sharing updates on changes in IBR concentration across regions and sub-regions that may impact power system stability.</w:t>
      </w:r>
    </w:p>
    <w:p w14:paraId="57983959" w14:textId="6FCC5098" w:rsidR="0087182A" w:rsidRPr="00D44CF2" w:rsidRDefault="0087182A" w:rsidP="0087182A">
      <w:pPr>
        <w:pStyle w:val="ListBullet2"/>
        <w:rPr>
          <w:b/>
          <w:bCs/>
        </w:rPr>
      </w:pPr>
      <w:r w:rsidRPr="00D44CF2">
        <w:t>In response, AVP established a process in collaboration with AEMO to deliver regular updates throughout the year on BESS and other fast-acting IBR connections across Victoria. AVP will continue to assess the effectiveness of this process and determine whether adjustments are necessary prior to closing out this recommendation. During assessments, AVP has found that, given the distribution of BESS across the network, similar issues to those found in South Australia have not been present.</w:t>
      </w:r>
    </w:p>
    <w:p w14:paraId="05DCF9C8" w14:textId="77777777" w:rsidR="0087182A" w:rsidRPr="00D44CF2" w:rsidRDefault="0087182A" w:rsidP="0087182A">
      <w:pPr>
        <w:pStyle w:val="Heading2"/>
        <w:rPr>
          <w:lang w:val="en-US"/>
        </w:rPr>
      </w:pPr>
      <w:bookmarkStart w:id="284" w:name="_Toc180159696"/>
      <w:bookmarkStart w:id="285" w:name="_Toc212023288"/>
      <w:r w:rsidRPr="00D44CF2">
        <w:lastRenderedPageBreak/>
        <w:t>Joint planning activities to maintain the DSN</w:t>
      </w:r>
      <w:bookmarkEnd w:id="284"/>
      <w:bookmarkEnd w:id="285"/>
    </w:p>
    <w:p w14:paraId="09671718" w14:textId="77777777" w:rsidR="0087182A" w:rsidRPr="00D44CF2" w:rsidRDefault="0087182A" w:rsidP="0087182A">
      <w:pPr>
        <w:pStyle w:val="BodyText"/>
      </w:pPr>
      <w:r w:rsidRPr="00D44CF2">
        <w:t xml:space="preserve">AVP, as the Victorian TNSP, conducts joint planning to achieve the most efficient whole of system outcome for consumers. Other NSPs, including neighbouring TNSPs and DNSPs, are engaged when identifying network needs to plan the network and facilitate new connections.  </w:t>
      </w:r>
    </w:p>
    <w:p w14:paraId="52EDB85A" w14:textId="77777777" w:rsidR="0087182A" w:rsidRPr="00D44CF2" w:rsidRDefault="0087182A" w:rsidP="0087182A">
      <w:pPr>
        <w:pStyle w:val="BodyText"/>
      </w:pPr>
      <w:r w:rsidRPr="00D44CF2">
        <w:t>While previous sections have focused on the need for network augmentation, appropriate maintenance of Victoria’s existing network remains critical. In 2025, AEMO has again worked closely with DTSOs to assess the need for the replacement, refurbishment, derating, or retirement, of existing DSN assets that are approaching end-of-life. AusNet Services (Transmission) is currently the only DTSO with DSN asset replacement and refurbishment plans over this forecast period</w:t>
      </w:r>
      <w:r w:rsidRPr="00D44CF2">
        <w:rPr>
          <w:vertAlign w:val="superscript"/>
        </w:rPr>
        <w:footnoteReference w:id="105"/>
      </w:r>
      <w:r w:rsidRPr="00D44CF2">
        <w:t xml:space="preserve">. </w:t>
      </w:r>
    </w:p>
    <w:p w14:paraId="04C63D39" w14:textId="77777777" w:rsidR="0087182A" w:rsidRPr="00D44CF2" w:rsidRDefault="0087182A" w:rsidP="0087182A">
      <w:pPr>
        <w:pStyle w:val="Heading3"/>
      </w:pPr>
      <w:r w:rsidRPr="00D44CF2">
        <w:t>Joint planning in relation to replacement retirement or de-ratings of DSN assets</w:t>
      </w:r>
      <w:r w:rsidRPr="00D44CF2" w:rsidDel="005121E0">
        <w:t xml:space="preserve"> </w:t>
      </w:r>
    </w:p>
    <w:p w14:paraId="44277618" w14:textId="77777777" w:rsidR="0087182A" w:rsidRPr="00D44CF2" w:rsidRDefault="0087182A" w:rsidP="0087182A">
      <w:pPr>
        <w:pStyle w:val="BodyText"/>
      </w:pPr>
      <w:r w:rsidRPr="00D44CF2">
        <w:t>AusNet Services’ 2025 asset replacement and refurbishment plans are largely consistent with those presented in the 2024 VAPR, with some changes to scope, cost estimates and completion dates. Several projects identified in 2024 have been split into separate projects in 2025.</w:t>
      </w:r>
    </w:p>
    <w:p w14:paraId="38EA4E03" w14:textId="77777777" w:rsidR="0087182A" w:rsidRPr="00D44CF2" w:rsidRDefault="0087182A" w:rsidP="0087182A">
      <w:pPr>
        <w:pStyle w:val="BodyText"/>
      </w:pPr>
      <w:r w:rsidRPr="00D44CF2">
        <w:t>Since the 2024 VAPR:</w:t>
      </w:r>
    </w:p>
    <w:p w14:paraId="0FBF9405" w14:textId="77777777" w:rsidR="0087182A" w:rsidRPr="00D44CF2" w:rsidRDefault="0087182A" w:rsidP="0087182A">
      <w:pPr>
        <w:pStyle w:val="ListBullet"/>
        <w:numPr>
          <w:ilvl w:val="0"/>
          <w:numId w:val="74"/>
        </w:numPr>
      </w:pPr>
      <w:r w:rsidRPr="00D44CF2">
        <w:t>Three major DSN asset replacement projects have been delivered:</w:t>
      </w:r>
    </w:p>
    <w:p w14:paraId="439E4FDE" w14:textId="0C3CDD45" w:rsidR="0087182A" w:rsidRPr="00D44CF2" w:rsidRDefault="0087182A" w:rsidP="0087182A">
      <w:pPr>
        <w:pStyle w:val="ListBullet2"/>
        <w:numPr>
          <w:ilvl w:val="1"/>
          <w:numId w:val="74"/>
        </w:numPr>
      </w:pPr>
      <w:r w:rsidRPr="00D44CF2">
        <w:t>East Rowville Terminal Station (ERTS) Redevelopment – Stage 1 (replacement of poor condition 220/66 kV transformers, switchgear and secondary equipment),</w:t>
      </w:r>
    </w:p>
    <w:p w14:paraId="2B6ADF80" w14:textId="77777777" w:rsidR="0087182A" w:rsidRPr="00D44CF2" w:rsidRDefault="0087182A" w:rsidP="0087182A">
      <w:pPr>
        <w:pStyle w:val="ListBullet2"/>
        <w:numPr>
          <w:ilvl w:val="1"/>
          <w:numId w:val="74"/>
        </w:numPr>
      </w:pPr>
      <w:r w:rsidRPr="00D44CF2">
        <w:t>ERTS Redevelopment – Stage 2, and</w:t>
      </w:r>
    </w:p>
    <w:p w14:paraId="3E0D01E6" w14:textId="77777777" w:rsidR="0087182A" w:rsidRPr="00D44CF2" w:rsidRDefault="0087182A" w:rsidP="0087182A">
      <w:pPr>
        <w:pStyle w:val="ListBullet2"/>
        <w:numPr>
          <w:ilvl w:val="1"/>
          <w:numId w:val="74"/>
        </w:numPr>
      </w:pPr>
      <w:r w:rsidRPr="00D44CF2">
        <w:t>Anakie 500 kV transmission tower rebuild.</w:t>
      </w:r>
    </w:p>
    <w:p w14:paraId="140EAA93" w14:textId="77777777" w:rsidR="0087182A" w:rsidRPr="00D44CF2" w:rsidRDefault="0087182A" w:rsidP="0087182A">
      <w:pPr>
        <w:pStyle w:val="ListBullet"/>
        <w:numPr>
          <w:ilvl w:val="0"/>
          <w:numId w:val="74"/>
        </w:numPr>
      </w:pPr>
      <w:r w:rsidRPr="00D44CF2">
        <w:t>Two asset renewal projects have reached practical completion and will be delivered in 2025:</w:t>
      </w:r>
    </w:p>
    <w:p w14:paraId="11B290F6" w14:textId="427629C1" w:rsidR="0087182A" w:rsidRPr="00D44CF2" w:rsidRDefault="0087182A" w:rsidP="0087182A">
      <w:pPr>
        <w:pStyle w:val="ListBullet2"/>
        <w:numPr>
          <w:ilvl w:val="1"/>
          <w:numId w:val="75"/>
        </w:numPr>
      </w:pPr>
      <w:r w:rsidRPr="00D44CF2">
        <w:t>BLTS 66 kV Circuit Breaker Replacement, and</w:t>
      </w:r>
    </w:p>
    <w:p w14:paraId="0A6FF2C1" w14:textId="77777777" w:rsidR="0087182A" w:rsidRPr="00D44CF2" w:rsidRDefault="0087182A" w:rsidP="0087182A">
      <w:pPr>
        <w:pStyle w:val="ListBullet2"/>
        <w:numPr>
          <w:ilvl w:val="1"/>
          <w:numId w:val="75"/>
        </w:numPr>
      </w:pPr>
      <w:r w:rsidRPr="00D44CF2">
        <w:t>Murray Switching Station (MSS) to Dederang Terminal Station (DDTS) No. 1 and 2 lines tower upgrades.</w:t>
      </w:r>
    </w:p>
    <w:p w14:paraId="03C0913C" w14:textId="443D0BA2" w:rsidR="0087182A" w:rsidRPr="00D44CF2" w:rsidRDefault="0087182A" w:rsidP="0087182A">
      <w:pPr>
        <w:pStyle w:val="ListBullet2"/>
        <w:numPr>
          <w:ilvl w:val="0"/>
          <w:numId w:val="75"/>
        </w:numPr>
      </w:pPr>
      <w:r w:rsidRPr="00D44CF2">
        <w:t>There have been 11 asset renewal projects deferred to outside of the 10-year assessment horizon:</w:t>
      </w:r>
    </w:p>
    <w:p w14:paraId="0D906A57" w14:textId="77777777" w:rsidR="0087182A" w:rsidRPr="00D44CF2" w:rsidRDefault="0087182A" w:rsidP="0087182A">
      <w:pPr>
        <w:pStyle w:val="ListBullet2"/>
        <w:numPr>
          <w:ilvl w:val="1"/>
          <w:numId w:val="75"/>
        </w:numPr>
      </w:pPr>
      <w:r w:rsidRPr="00D44CF2">
        <w:t>Tyabb Terminal Station (TBTS) B1 220/66 kV Transformer Replacement,</w:t>
      </w:r>
    </w:p>
    <w:p w14:paraId="784C4047" w14:textId="77777777" w:rsidR="0087182A" w:rsidRPr="00D44CF2" w:rsidRDefault="0087182A" w:rsidP="0087182A">
      <w:pPr>
        <w:pStyle w:val="ListBullet2"/>
        <w:numPr>
          <w:ilvl w:val="1"/>
          <w:numId w:val="75"/>
        </w:numPr>
      </w:pPr>
      <w:r w:rsidRPr="00D44CF2">
        <w:t>TBTS 220 kV and 66 kV Circuit Breaker Replacement,</w:t>
      </w:r>
    </w:p>
    <w:p w14:paraId="204AD83C" w14:textId="69E5662E" w:rsidR="0087182A" w:rsidRPr="00D44CF2" w:rsidRDefault="00AE46F9" w:rsidP="0087182A">
      <w:pPr>
        <w:pStyle w:val="ListBullet2"/>
        <w:numPr>
          <w:ilvl w:val="1"/>
          <w:numId w:val="75"/>
        </w:numPr>
      </w:pPr>
      <w:r w:rsidRPr="00D44CF2">
        <w:t>Bendigo Terminal Station (</w:t>
      </w:r>
      <w:r w:rsidR="0087182A" w:rsidRPr="00D44CF2">
        <w:t>BETS</w:t>
      </w:r>
      <w:r w:rsidRPr="00D44CF2">
        <w:t>)</w:t>
      </w:r>
      <w:r w:rsidR="0087182A" w:rsidRPr="00D44CF2">
        <w:t xml:space="preserve"> B4 220/66 kV Transformer and 66 kV Circuit Breaker Replacement,</w:t>
      </w:r>
    </w:p>
    <w:p w14:paraId="725633C3" w14:textId="77777777" w:rsidR="0087182A" w:rsidRPr="00D44CF2" w:rsidRDefault="0087182A" w:rsidP="0087182A">
      <w:pPr>
        <w:pStyle w:val="ListBullet2"/>
        <w:numPr>
          <w:ilvl w:val="1"/>
          <w:numId w:val="75"/>
        </w:numPr>
      </w:pPr>
      <w:r w:rsidRPr="00D44CF2">
        <w:t>Fishermans Bend Terminal Station (FBTS) B3 220/66 kV Transformer and 66 kV Circuit Breaker Replacement,</w:t>
      </w:r>
    </w:p>
    <w:p w14:paraId="700CA1FE" w14:textId="77777777" w:rsidR="0087182A" w:rsidRPr="00D44CF2" w:rsidRDefault="0087182A" w:rsidP="0087182A">
      <w:pPr>
        <w:pStyle w:val="ListBullet2"/>
        <w:numPr>
          <w:ilvl w:val="1"/>
          <w:numId w:val="75"/>
        </w:numPr>
      </w:pPr>
      <w:r w:rsidRPr="00D44CF2">
        <w:t>Morwell Terminal Station (MWTS) B3 220/66 kV Transformer Replacement,</w:t>
      </w:r>
    </w:p>
    <w:p w14:paraId="2FAF8BAE" w14:textId="77777777" w:rsidR="0087182A" w:rsidRPr="00D44CF2" w:rsidRDefault="0087182A" w:rsidP="0087182A">
      <w:pPr>
        <w:pStyle w:val="ListBullet2"/>
        <w:numPr>
          <w:ilvl w:val="1"/>
          <w:numId w:val="75"/>
        </w:numPr>
      </w:pPr>
      <w:r w:rsidRPr="00D44CF2">
        <w:t>Ringwood Terminal Station (RWTS) B3 220/66 kV Transformer Replacement,</w:t>
      </w:r>
    </w:p>
    <w:p w14:paraId="7C8E562B" w14:textId="6CE7C1AE" w:rsidR="0087182A" w:rsidRPr="00D44CF2" w:rsidRDefault="0087182A" w:rsidP="0087182A">
      <w:pPr>
        <w:pStyle w:val="ListBullet2"/>
        <w:numPr>
          <w:ilvl w:val="1"/>
          <w:numId w:val="75"/>
        </w:numPr>
      </w:pPr>
      <w:r w:rsidRPr="00D44CF2">
        <w:t xml:space="preserve">GNTS B2 220/66kV Transformer Replacement, </w:t>
      </w:r>
    </w:p>
    <w:p w14:paraId="7B8CA628" w14:textId="3748173C" w:rsidR="0087182A" w:rsidRPr="00D44CF2" w:rsidRDefault="0087182A" w:rsidP="0087182A">
      <w:pPr>
        <w:pStyle w:val="ListBullet2"/>
        <w:numPr>
          <w:ilvl w:val="1"/>
          <w:numId w:val="75"/>
        </w:numPr>
      </w:pPr>
      <w:r w:rsidRPr="00D44CF2">
        <w:lastRenderedPageBreak/>
        <w:t>TGTS B2 220/66kV Transformer Replacement,</w:t>
      </w:r>
    </w:p>
    <w:p w14:paraId="5DCF3428" w14:textId="77777777" w:rsidR="0087182A" w:rsidRPr="00D44CF2" w:rsidRDefault="0087182A" w:rsidP="0087182A">
      <w:pPr>
        <w:pStyle w:val="ListBullet2"/>
        <w:numPr>
          <w:ilvl w:val="1"/>
          <w:numId w:val="75"/>
        </w:numPr>
      </w:pPr>
      <w:r w:rsidRPr="00D44CF2">
        <w:t>Geelong Terminal Station (GTS) B4 220/66kV Transformer and Switchgear Replacement,</w:t>
      </w:r>
    </w:p>
    <w:p w14:paraId="7110C476" w14:textId="7E3DA66F" w:rsidR="0087182A" w:rsidRPr="00D44CF2" w:rsidRDefault="0087182A" w:rsidP="0087182A">
      <w:pPr>
        <w:pStyle w:val="ListBullet2"/>
        <w:numPr>
          <w:ilvl w:val="1"/>
          <w:numId w:val="75"/>
        </w:numPr>
      </w:pPr>
      <w:r w:rsidRPr="00D44CF2">
        <w:t>KGTS Transformer and Switchgear Replacement, and</w:t>
      </w:r>
    </w:p>
    <w:p w14:paraId="2B4DCC38" w14:textId="474ACD58" w:rsidR="0087182A" w:rsidRPr="00D44CF2" w:rsidRDefault="0087182A" w:rsidP="0087182A">
      <w:pPr>
        <w:pStyle w:val="ListBullet2"/>
        <w:numPr>
          <w:ilvl w:val="1"/>
          <w:numId w:val="75"/>
        </w:numPr>
      </w:pPr>
      <w:r w:rsidRPr="00D44CF2">
        <w:t>MLTS A1 1000 MVA 500/220 kV Transformer Replacement.</w:t>
      </w:r>
    </w:p>
    <w:p w14:paraId="62A042CE" w14:textId="77777777" w:rsidR="0087182A" w:rsidRPr="00D44CF2" w:rsidRDefault="0087182A" w:rsidP="0087182A">
      <w:pPr>
        <w:pStyle w:val="ListBullet2"/>
        <w:numPr>
          <w:ilvl w:val="0"/>
          <w:numId w:val="75"/>
        </w:numPr>
      </w:pPr>
      <w:r w:rsidRPr="00D44CF2">
        <w:t>Four asset renewal projects are no longer considered a major transmission asset replacement project due to scope or cost reduction:</w:t>
      </w:r>
    </w:p>
    <w:p w14:paraId="392FB719" w14:textId="77777777" w:rsidR="0087182A" w:rsidRPr="00D44CF2" w:rsidRDefault="0087182A" w:rsidP="0087182A">
      <w:pPr>
        <w:pStyle w:val="ListBullet2"/>
        <w:numPr>
          <w:ilvl w:val="1"/>
          <w:numId w:val="75"/>
        </w:numPr>
      </w:pPr>
      <w:r w:rsidRPr="00D44CF2">
        <w:t>Instrument Transformer Replacements,</w:t>
      </w:r>
    </w:p>
    <w:p w14:paraId="769000E3" w14:textId="77777777" w:rsidR="0087182A" w:rsidRPr="00D44CF2" w:rsidRDefault="0087182A" w:rsidP="0087182A">
      <w:pPr>
        <w:pStyle w:val="ListBullet2"/>
        <w:numPr>
          <w:ilvl w:val="1"/>
          <w:numId w:val="75"/>
        </w:numPr>
      </w:pPr>
      <w:r w:rsidRPr="00D44CF2">
        <w:t>Rowville Terminal Station (ROTS) 220 kV Circuit Breaker Replacement,</w:t>
      </w:r>
    </w:p>
    <w:p w14:paraId="0D7EF742" w14:textId="7B86010B" w:rsidR="0087182A" w:rsidRPr="00D44CF2" w:rsidRDefault="0087182A" w:rsidP="0087182A">
      <w:pPr>
        <w:pStyle w:val="ListBullet2"/>
        <w:numPr>
          <w:ilvl w:val="1"/>
          <w:numId w:val="75"/>
        </w:numPr>
      </w:pPr>
      <w:r w:rsidRPr="00D44CF2">
        <w:t>Loy Yang 66</w:t>
      </w:r>
      <w:r w:rsidR="00266754" w:rsidRPr="00D44CF2">
        <w:t xml:space="preserve"> </w:t>
      </w:r>
      <w:r w:rsidRPr="00D44CF2">
        <w:t>kV Circuit Breaker Replacement</w:t>
      </w:r>
      <w:r w:rsidR="00266754" w:rsidRPr="00D44CF2">
        <w:t>,</w:t>
      </w:r>
      <w:r w:rsidRPr="00D44CF2">
        <w:t xml:space="preserve"> and</w:t>
      </w:r>
    </w:p>
    <w:p w14:paraId="5AE05CF1" w14:textId="77777777" w:rsidR="0087182A" w:rsidRPr="00D44CF2" w:rsidRDefault="0087182A" w:rsidP="0087182A">
      <w:pPr>
        <w:pStyle w:val="ListBullet"/>
        <w:numPr>
          <w:ilvl w:val="1"/>
          <w:numId w:val="75"/>
        </w:numPr>
      </w:pPr>
      <w:r w:rsidRPr="00D44CF2">
        <w:t>YWPS 220 kV Circuit Breaker Replacement – Stage 2.</w:t>
      </w:r>
    </w:p>
    <w:p w14:paraId="6C5A6BB4" w14:textId="77777777" w:rsidR="0087182A" w:rsidRPr="00D44CF2" w:rsidRDefault="0087182A" w:rsidP="0087182A">
      <w:pPr>
        <w:pStyle w:val="ListBullet"/>
        <w:numPr>
          <w:ilvl w:val="0"/>
          <w:numId w:val="75"/>
        </w:numPr>
      </w:pPr>
      <w:r w:rsidRPr="00D44CF2">
        <w:t xml:space="preserve">Five new asset replacement projects have been identified, or have now moved within the assessment horizon: </w:t>
      </w:r>
    </w:p>
    <w:p w14:paraId="63E2D6A5" w14:textId="77777777" w:rsidR="0087182A" w:rsidRPr="00D44CF2" w:rsidRDefault="0087182A" w:rsidP="0087182A">
      <w:pPr>
        <w:pStyle w:val="ListBullet2"/>
        <w:numPr>
          <w:ilvl w:val="1"/>
          <w:numId w:val="75"/>
        </w:numPr>
      </w:pPr>
      <w:r w:rsidRPr="00D44CF2">
        <w:t>Rectification of Low Transmission Line Conductor Spans – Stage 2,</w:t>
      </w:r>
    </w:p>
    <w:p w14:paraId="10515455" w14:textId="41AD873A" w:rsidR="0087182A" w:rsidRPr="00D44CF2" w:rsidRDefault="0087182A" w:rsidP="0087182A">
      <w:pPr>
        <w:pStyle w:val="ListBullet2"/>
        <w:numPr>
          <w:ilvl w:val="1"/>
          <w:numId w:val="75"/>
        </w:numPr>
      </w:pPr>
      <w:r w:rsidRPr="00D44CF2">
        <w:t>Bulk Oil 66 kV Circuit Breaker Replacement</w:t>
      </w:r>
    </w:p>
    <w:p w14:paraId="1B1CF2EF" w14:textId="77777777" w:rsidR="0087182A" w:rsidRPr="00D44CF2" w:rsidRDefault="0087182A" w:rsidP="0087182A">
      <w:pPr>
        <w:pStyle w:val="ListBullet2"/>
        <w:numPr>
          <w:ilvl w:val="1"/>
          <w:numId w:val="75"/>
        </w:numPr>
      </w:pPr>
      <w:r w:rsidRPr="00D44CF2">
        <w:t>Thomastown Terminal Station (TTS) B4 220/66 kV Transformer Replacement,</w:t>
      </w:r>
    </w:p>
    <w:p w14:paraId="40A07B30" w14:textId="0AE8870D" w:rsidR="0087182A" w:rsidRPr="00D44CF2" w:rsidRDefault="0087182A" w:rsidP="0087182A">
      <w:pPr>
        <w:pStyle w:val="ListBullet2"/>
        <w:numPr>
          <w:ilvl w:val="1"/>
          <w:numId w:val="75"/>
        </w:numPr>
      </w:pPr>
      <w:r w:rsidRPr="00D44CF2">
        <w:t xml:space="preserve">Replacement of </w:t>
      </w:r>
      <w:r w:rsidR="00D32E43" w:rsidRPr="00D44CF2">
        <w:t xml:space="preserve">corroded members </w:t>
      </w:r>
      <w:r w:rsidRPr="00D44CF2">
        <w:t xml:space="preserve">at </w:t>
      </w:r>
      <w:r w:rsidR="00891E0C" w:rsidRPr="00D44CF2">
        <w:t>v</w:t>
      </w:r>
      <w:r w:rsidRPr="00D44CF2">
        <w:t xml:space="preserve">arious </w:t>
      </w:r>
      <w:r w:rsidR="00891E0C" w:rsidRPr="00D44CF2">
        <w:t>t</w:t>
      </w:r>
      <w:r w:rsidRPr="00D44CF2">
        <w:t xml:space="preserve">ransmission </w:t>
      </w:r>
      <w:r w:rsidR="00891E0C" w:rsidRPr="00D44CF2">
        <w:t>t</w:t>
      </w:r>
      <w:r w:rsidRPr="00D44CF2">
        <w:t>owers, and</w:t>
      </w:r>
    </w:p>
    <w:p w14:paraId="67A2BB66" w14:textId="73268B21" w:rsidR="0087182A" w:rsidRPr="00D44CF2" w:rsidRDefault="0087182A" w:rsidP="0087182A">
      <w:pPr>
        <w:pStyle w:val="ListBullet2"/>
        <w:numPr>
          <w:ilvl w:val="1"/>
          <w:numId w:val="75"/>
        </w:numPr>
      </w:pPr>
      <w:r w:rsidRPr="00D44CF2">
        <w:t xml:space="preserve">Tower Strengthening for </w:t>
      </w:r>
      <w:r w:rsidR="00A518B3" w:rsidRPr="00D44CF2">
        <w:t>i</w:t>
      </w:r>
      <w:r w:rsidRPr="00D44CF2">
        <w:t xml:space="preserve">ncreased </w:t>
      </w:r>
      <w:r w:rsidR="00A518B3" w:rsidRPr="00D44CF2">
        <w:t>n</w:t>
      </w:r>
      <w:r w:rsidRPr="00D44CF2">
        <w:t xml:space="preserve">etwork </w:t>
      </w:r>
      <w:r w:rsidR="00A518B3" w:rsidRPr="00D44CF2">
        <w:t>r</w:t>
      </w:r>
      <w:r w:rsidRPr="00D44CF2">
        <w:t>esilience.</w:t>
      </w:r>
    </w:p>
    <w:p w14:paraId="68FC2586" w14:textId="77777777" w:rsidR="0087182A" w:rsidRPr="00D44CF2" w:rsidRDefault="0087182A" w:rsidP="0087182A">
      <w:pPr>
        <w:pStyle w:val="Heading3"/>
      </w:pPr>
      <w:bookmarkStart w:id="286" w:name="_Ref180413843"/>
      <w:r w:rsidRPr="00D44CF2">
        <w:t>Asset replacement, retirement and de-ratings in the DSN</w:t>
      </w:r>
      <w:bookmarkEnd w:id="286"/>
      <w:r w:rsidRPr="00D44CF2" w:rsidDel="0097692F">
        <w:t xml:space="preserve"> </w:t>
      </w:r>
    </w:p>
    <w:p w14:paraId="2C386DFB" w14:textId="77777777" w:rsidR="0087182A" w:rsidRPr="00D44CF2" w:rsidRDefault="0087182A" w:rsidP="0087182A">
      <w:pPr>
        <w:pStyle w:val="Heading4"/>
      </w:pPr>
      <w:r w:rsidRPr="00D44CF2">
        <w:t>Roles and responsibilities</w:t>
      </w:r>
    </w:p>
    <w:p w14:paraId="2CED9233" w14:textId="3220A5D1" w:rsidR="0087182A" w:rsidRPr="00D44CF2" w:rsidRDefault="0087182A" w:rsidP="0087182A">
      <w:pPr>
        <w:pStyle w:val="BodyText"/>
      </w:pPr>
      <w:r w:rsidRPr="00D44CF2">
        <w:t>In Victoria, DTSOs build, own, and operate transmission network infrastructure. Each DTSO is responsible for assessing the condition of its Victorian DSN assets, and for making replacement, retirement, or de-rating decisions for those assets. As the Jurisdictional Planning Body (JPB) for Victoria, AVP’s primary involvement is in providing planning advice to the relevant DTSO (particularly on the continued system need for individual DSN assets).</w:t>
      </w:r>
    </w:p>
    <w:p w14:paraId="310E7855" w14:textId="2C9391C5" w:rsidR="0087182A" w:rsidRPr="00D44CF2" w:rsidRDefault="0087182A" w:rsidP="0087182A">
      <w:pPr>
        <w:pStyle w:val="BodyText"/>
      </w:pPr>
      <w:r w:rsidRPr="00D44CF2">
        <w:t>Many transmission assets in the DSN were built several decades ago and are approaching end of service life. Asset condition, shifts in technology, and changing demand forecasts drive an increasing need to coordinate DSN asset renewal and augmentation activities in Victoria, and to assess both the system need and economic justification for the replacement of existing assets.</w:t>
      </w:r>
    </w:p>
    <w:p w14:paraId="132B2B80" w14:textId="77777777" w:rsidR="0087182A" w:rsidRPr="00D44CF2" w:rsidRDefault="0087182A" w:rsidP="0087182A">
      <w:pPr>
        <w:pStyle w:val="Heading4"/>
      </w:pPr>
      <w:r w:rsidRPr="00D44CF2">
        <w:t>Rule requirements for DSN asset retirements/de-ratings</w:t>
      </w:r>
    </w:p>
    <w:p w14:paraId="7A308013" w14:textId="77777777" w:rsidR="0087182A" w:rsidRPr="00D44CF2" w:rsidRDefault="0087182A" w:rsidP="0087182A">
      <w:pPr>
        <w:pStyle w:val="BodyText"/>
      </w:pPr>
      <w:r w:rsidRPr="00D44CF2">
        <w:t xml:space="preserve">TAPRs must include detailed information relating to all network asset retirements and de-ratings that would result in a network constraint over the planning period. AusNet Services’ current asset renewal plan is available </w:t>
      </w:r>
      <w:r w:rsidRPr="00D44CF2">
        <w:lastRenderedPageBreak/>
        <w:t>alongside the VAPR on AEMO’s website</w:t>
      </w:r>
      <w:r w:rsidRPr="00D44CF2">
        <w:rPr>
          <w:vertAlign w:val="superscript"/>
        </w:rPr>
        <w:footnoteReference w:id="106"/>
      </w:r>
      <w:r w:rsidRPr="00D44CF2">
        <w:t>. Details of current replacement RIT-Ts are also available at AusNet Services’ website</w:t>
      </w:r>
      <w:r w:rsidRPr="00D44CF2">
        <w:rPr>
          <w:vertAlign w:val="superscript"/>
        </w:rPr>
        <w:footnoteReference w:id="107"/>
      </w:r>
      <w:r w:rsidRPr="00D44CF2">
        <w:t>.</w:t>
      </w:r>
    </w:p>
    <w:p w14:paraId="31AE4A0C" w14:textId="77777777" w:rsidR="0087182A" w:rsidRPr="00D44CF2" w:rsidRDefault="0087182A" w:rsidP="0087182A">
      <w:pPr>
        <w:pStyle w:val="BodyText"/>
      </w:pPr>
      <w:r w:rsidRPr="00D44CF2">
        <w:t>Where there is an identified need to retain an asset, AVP and AusNet Services conduct joint planning to identify the most efficient and economic option to address the identified need. The following sections provide more information about the joint planning process for asset retirement, replacement, refurbishment, and deratings.</w:t>
      </w:r>
    </w:p>
    <w:p w14:paraId="065B6CA1" w14:textId="77777777" w:rsidR="0087182A" w:rsidRPr="00D44CF2" w:rsidRDefault="0087182A" w:rsidP="0087182A">
      <w:pPr>
        <w:pStyle w:val="BodyText"/>
      </w:pPr>
      <w:r w:rsidRPr="00D44CF2">
        <w:t>This VAPR, and previous VAPRs, have focused on replacement, retirement and de-ratings of assets owned by AusNet Services only. AVP acknowledges that other DTSOs also own Victorian DSN assets, however the age and condition of those assets has meant a limited need to provide information in the VAPR. AVP intends to work with all DTSOs to ensure that replacement, retirements and de-ratings of all Victorian DSN assets are adequately covered in future.</w:t>
      </w:r>
    </w:p>
    <w:p w14:paraId="7C630DCA" w14:textId="77777777" w:rsidR="0087182A" w:rsidRPr="00D44CF2" w:rsidRDefault="0087182A" w:rsidP="0087182A">
      <w:pPr>
        <w:pStyle w:val="Heading4"/>
      </w:pPr>
      <w:r w:rsidRPr="00D44CF2">
        <w:t>Methodology</w:t>
      </w:r>
    </w:p>
    <w:p w14:paraId="7F14EC26" w14:textId="77777777" w:rsidR="0087182A" w:rsidRPr="00D44CF2" w:rsidRDefault="0087182A" w:rsidP="0087182A">
      <w:pPr>
        <w:pStyle w:val="BodyText"/>
      </w:pPr>
      <w:r w:rsidRPr="00D44CF2">
        <w:t>AVP and AusNet Services agreed on the approach for joint planning adopted in this VAPR:</w:t>
      </w:r>
    </w:p>
    <w:p w14:paraId="60B4720D" w14:textId="77777777" w:rsidR="0087182A" w:rsidRPr="00D44CF2" w:rsidRDefault="0087182A" w:rsidP="0087182A">
      <w:pPr>
        <w:pStyle w:val="ListBullet"/>
        <w:numPr>
          <w:ilvl w:val="0"/>
          <w:numId w:val="76"/>
        </w:numPr>
      </w:pPr>
      <w:r w:rsidRPr="00D44CF2">
        <w:t xml:space="preserve">AVP and AusNet Services jointly selected a set of assets which are included in AusNet Services’ Asset Renewal Plan that are likely to create a DSN constraint and potentially justify RIT-Ts for replacement.  </w:t>
      </w:r>
    </w:p>
    <w:p w14:paraId="05884D7E" w14:textId="77777777" w:rsidR="0087182A" w:rsidRPr="00D44CF2" w:rsidRDefault="0087182A" w:rsidP="0087182A">
      <w:pPr>
        <w:pStyle w:val="ListBullet"/>
        <w:numPr>
          <w:ilvl w:val="0"/>
          <w:numId w:val="76"/>
        </w:numPr>
      </w:pPr>
      <w:r w:rsidRPr="00D44CF2">
        <w:t>The selected assets were grouped with their associated network components whenever possible, and a need assessment was conducted by assessing the overall network impacts of retiring the asset.</w:t>
      </w:r>
    </w:p>
    <w:p w14:paraId="59119C69" w14:textId="77777777" w:rsidR="0087182A" w:rsidRPr="00D44CF2" w:rsidRDefault="0087182A" w:rsidP="0087182A">
      <w:pPr>
        <w:pStyle w:val="ListBullet"/>
        <w:numPr>
          <w:ilvl w:val="0"/>
          <w:numId w:val="76"/>
        </w:numPr>
      </w:pPr>
      <w:r w:rsidRPr="00D44CF2">
        <w:t>Circuit breakers, other switchgear, and secondary systems were grouped with their respective associated network components, such as transmission circuits, transformers, generators, or reactive plants whenever possible.</w:t>
      </w:r>
    </w:p>
    <w:p w14:paraId="13AA467B" w14:textId="77777777" w:rsidR="0087182A" w:rsidRPr="00D44CF2" w:rsidRDefault="0087182A" w:rsidP="0087182A">
      <w:pPr>
        <w:pStyle w:val="ListBullet"/>
        <w:numPr>
          <w:ilvl w:val="0"/>
          <w:numId w:val="76"/>
        </w:numPr>
      </w:pPr>
      <w:r w:rsidRPr="00D44CF2">
        <w:t>Committed projects, projects for which RIT-Ts have been completed, and projects solely associated with transmission assets that do not form part of the DSN, were excluded from the network need assessment.</w:t>
      </w:r>
    </w:p>
    <w:p w14:paraId="065EAA77" w14:textId="77777777" w:rsidR="0087182A" w:rsidRPr="00D44CF2" w:rsidRDefault="0087182A" w:rsidP="0087182A">
      <w:pPr>
        <w:pStyle w:val="ListBullet"/>
      </w:pPr>
      <w:r w:rsidRPr="00D44CF2">
        <w:t>AVP did not assess the need to replace line insulators or conductors in the usual case where this amounts to less than 5% of the line replacement cost, as this cost, and system impact of line retirement, do not comprise a meaningful cost</w:t>
      </w:r>
      <w:r w:rsidRPr="00D44CF2">
        <w:noBreakHyphen/>
        <w:t>benefit assessment.</w:t>
      </w:r>
    </w:p>
    <w:p w14:paraId="78BE392B" w14:textId="77777777" w:rsidR="0087182A" w:rsidRPr="00D44CF2" w:rsidRDefault="0087182A" w:rsidP="0087182A">
      <w:pPr>
        <w:pStyle w:val="ListBullet"/>
      </w:pPr>
      <w:r w:rsidRPr="00D44CF2">
        <w:t>Most of the secondary equipment (such as communication systems and control batteries), structural assets (for example towers), and ground wires in the Asset Renewal Plan were excluded from the network need assessment for individual projects. These assets are considered essential to the associated DSN primary network components, therefore they will be needed while the associated primary network components are still in service. As there is no committed retirement of Victorian transmission lines or Victorian interconnectors at present, AVP and AusNet Services agreed that all the secondary and structural assets which are associated with the Victorian transmission lines and interconnectors are still required, without carrying out need assessment on individual projects.</w:t>
      </w:r>
    </w:p>
    <w:p w14:paraId="34A431B0" w14:textId="77777777" w:rsidR="0087182A" w:rsidRPr="00D44CF2" w:rsidRDefault="0087182A" w:rsidP="0087182A">
      <w:pPr>
        <w:pStyle w:val="ListBullet"/>
      </w:pPr>
      <w:r w:rsidRPr="00D44CF2">
        <w:t>AVP undertook a desktop analysis to assess whether the retirement of the selected asset would result in a network impact (that is, a network need for its replacement). In the case of an asset retirement that causes the disconnection of a generator, the resulting reduction in supply availability was also considered.</w:t>
      </w:r>
    </w:p>
    <w:p w14:paraId="1A130B93" w14:textId="77777777" w:rsidR="0087182A" w:rsidRPr="00D44CF2" w:rsidRDefault="0087182A" w:rsidP="0087182A">
      <w:pPr>
        <w:pStyle w:val="ListBullet"/>
      </w:pPr>
      <w:r w:rsidRPr="00D44CF2">
        <w:lastRenderedPageBreak/>
        <w:t>If the proposed retirements would cause line, transformer, or Static Var Compensator (SVC) outages, the impact of a credible contingency under worst-case operational conditions (normally either maximum or minimum demand conditions) was examined with a prior outage of the respective network elements.</w:t>
      </w:r>
    </w:p>
    <w:p w14:paraId="67AFC9B0" w14:textId="77777777" w:rsidR="0087182A" w:rsidRPr="00D44CF2" w:rsidRDefault="0087182A" w:rsidP="0087182A">
      <w:pPr>
        <w:pStyle w:val="Heading4"/>
      </w:pPr>
      <w:r w:rsidRPr="00D44CF2">
        <w:t>Needs assessment results</w:t>
      </w:r>
    </w:p>
    <w:p w14:paraId="5DD9431F" w14:textId="3FEAEBDB" w:rsidR="0087182A" w:rsidRPr="00D44CF2" w:rsidRDefault="0087182A" w:rsidP="0087182A">
      <w:pPr>
        <w:pStyle w:val="BodyText"/>
      </w:pPr>
      <w:r w:rsidRPr="00D44CF2">
        <w:rPr>
          <w:b/>
          <w:bCs/>
        </w:rPr>
        <w:fldChar w:fldCharType="begin"/>
      </w:r>
      <w:r w:rsidRPr="00D44CF2">
        <w:rPr>
          <w:b/>
          <w:bCs/>
        </w:rPr>
        <w:instrText xml:space="preserve"> REF _Ref207615035 \r \h  \* MERGEFORMAT </w:instrText>
      </w:r>
      <w:r w:rsidRPr="00D44CF2">
        <w:rPr>
          <w:b/>
          <w:bCs/>
        </w:rPr>
      </w:r>
      <w:r w:rsidRPr="00D44CF2">
        <w:rPr>
          <w:b/>
          <w:bCs/>
        </w:rPr>
        <w:fldChar w:fldCharType="separate"/>
      </w:r>
      <w:r w:rsidR="004973D2">
        <w:rPr>
          <w:b/>
          <w:bCs/>
        </w:rPr>
        <w:t>Table 18</w:t>
      </w:r>
      <w:r w:rsidRPr="00D44CF2">
        <w:rPr>
          <w:b/>
          <w:bCs/>
        </w:rPr>
        <w:fldChar w:fldCharType="end"/>
      </w:r>
      <w:r w:rsidRPr="00D44CF2">
        <w:t xml:space="preserve"> presents the summarised findings from the assets needs assessment</w:t>
      </w:r>
      <w:r w:rsidR="3639BC11" w:rsidRPr="00D44CF2">
        <w:t>, showing the anticipated impact to the network if the replacement/refurbishment project were not to proceed</w:t>
      </w:r>
      <w:r w:rsidR="00C2024A" w:rsidRPr="00D44CF2">
        <w:t xml:space="preserve"> </w:t>
      </w:r>
    </w:p>
    <w:p w14:paraId="72F0E276" w14:textId="77777777" w:rsidR="0087182A" w:rsidRPr="00D44CF2" w:rsidRDefault="0087182A" w:rsidP="005346E2">
      <w:pPr>
        <w:pStyle w:val="BodyText"/>
      </w:pPr>
    </w:p>
    <w:p w14:paraId="1E2CBFC8" w14:textId="77777777" w:rsidR="0087182A" w:rsidRPr="00D44CF2" w:rsidRDefault="0087182A" w:rsidP="005346E2">
      <w:pPr>
        <w:pStyle w:val="BodyText"/>
        <w:sectPr w:rsidR="0087182A" w:rsidRPr="00D44CF2" w:rsidSect="0087182A">
          <w:headerReference w:type="default" r:id="rId95"/>
          <w:footerReference w:type="default" r:id="rId96"/>
          <w:pgSz w:w="11907" w:h="16840" w:code="9"/>
          <w:pgMar w:top="1985" w:right="907" w:bottom="1418" w:left="907" w:header="788" w:footer="471" w:gutter="0"/>
          <w:cols w:space="708"/>
          <w:docGrid w:linePitch="360"/>
        </w:sectPr>
      </w:pPr>
    </w:p>
    <w:p w14:paraId="35C61953" w14:textId="77777777" w:rsidR="0087182A" w:rsidRPr="00D44CF2" w:rsidRDefault="0087182A" w:rsidP="0087182A">
      <w:pPr>
        <w:pStyle w:val="CaptionTable"/>
        <w:spacing w:before="0"/>
      </w:pPr>
      <w:bookmarkStart w:id="287" w:name="_Ref207615035"/>
      <w:bookmarkStart w:id="288" w:name="_Toc212023322"/>
      <w:r w:rsidRPr="00D44CF2">
        <w:lastRenderedPageBreak/>
        <w:t>Network needs assessment results</w:t>
      </w:r>
      <w:bookmarkEnd w:id="287"/>
      <w:bookmarkEnd w:id="288"/>
    </w:p>
    <w:tbl>
      <w:tblPr>
        <w:tblStyle w:val="AEMO-Table5"/>
        <w:tblW w:w="15026" w:type="dxa"/>
        <w:tblLayout w:type="fixed"/>
        <w:tblLook w:val="06A0" w:firstRow="1" w:lastRow="0" w:firstColumn="1" w:lastColumn="0" w:noHBand="1" w:noVBand="1"/>
      </w:tblPr>
      <w:tblGrid>
        <w:gridCol w:w="2410"/>
        <w:gridCol w:w="1701"/>
        <w:gridCol w:w="992"/>
        <w:gridCol w:w="1560"/>
        <w:gridCol w:w="4252"/>
        <w:gridCol w:w="4111"/>
      </w:tblGrid>
      <w:tr w:rsidR="00723C05" w:rsidRPr="00D44CF2" w14:paraId="337530C7" w14:textId="77777777" w:rsidTr="6FF2A37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0BC64B70" w14:textId="77777777" w:rsidR="0087182A" w:rsidRPr="00D44CF2" w:rsidRDefault="0087182A" w:rsidP="001A3F5B">
            <w:pPr>
              <w:pStyle w:val="TableText"/>
            </w:pPr>
            <w:r w:rsidRPr="00D44CF2">
              <w:t>Project name</w:t>
            </w:r>
          </w:p>
        </w:tc>
        <w:tc>
          <w:tcPr>
            <w:tcW w:w="0" w:type="dxa"/>
          </w:tcPr>
          <w:p w14:paraId="5148C9B3"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Location</w:t>
            </w:r>
          </w:p>
        </w:tc>
        <w:tc>
          <w:tcPr>
            <w:tcW w:w="0" w:type="dxa"/>
          </w:tcPr>
          <w:p w14:paraId="706EB2D6"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Total cost (nominal $M)</w:t>
            </w:r>
          </w:p>
        </w:tc>
        <w:tc>
          <w:tcPr>
            <w:tcW w:w="0" w:type="dxa"/>
          </w:tcPr>
          <w:p w14:paraId="61CFC1A3"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Target completion (December)</w:t>
            </w:r>
          </w:p>
        </w:tc>
        <w:tc>
          <w:tcPr>
            <w:tcW w:w="0" w:type="dxa"/>
          </w:tcPr>
          <w:p w14:paraId="7A447AD4"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Major DSN assets component(s) affected</w:t>
            </w:r>
          </w:p>
        </w:tc>
        <w:tc>
          <w:tcPr>
            <w:tcW w:w="0" w:type="dxa"/>
          </w:tcPr>
          <w:p w14:paraId="30291772" w14:textId="0E641116" w:rsidR="0087182A" w:rsidRPr="00D44CF2" w:rsidRDefault="14851194" w:rsidP="001A3F5B">
            <w:pPr>
              <w:pStyle w:val="TableText"/>
              <w:cnfStyle w:val="100000000000" w:firstRow="1" w:lastRow="0" w:firstColumn="0" w:lastColumn="0" w:oddVBand="0" w:evenVBand="0" w:oddHBand="0" w:evenHBand="0" w:firstRowFirstColumn="0" w:firstRowLastColumn="0" w:lastRowFirstColumn="0" w:lastRowLastColumn="0"/>
            </w:pPr>
            <w:r w:rsidRPr="00D44CF2">
              <w:t>Network impact if project does not occur</w:t>
            </w:r>
          </w:p>
        </w:tc>
      </w:tr>
      <w:tr w:rsidR="00723C05" w:rsidRPr="00D44CF2" w14:paraId="15AFFBEA"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31DD1D42" w14:textId="000F1D2F" w:rsidR="0087182A" w:rsidRPr="00D44CF2" w:rsidRDefault="0087182A" w:rsidP="004C55F6">
            <w:pPr>
              <w:pStyle w:val="TableText"/>
            </w:pPr>
            <w:r w:rsidRPr="00D44CF2">
              <w:t xml:space="preserve">Rectification of Low Transmission Line Conductor Spans: Stage 1: </w:t>
            </w:r>
            <w:r w:rsidRPr="00D44CF2">
              <w:rPr>
                <w:sz w:val="14"/>
                <w:szCs w:val="14"/>
              </w:rPr>
              <w:t>Ground Clearance &lt; 6m at Maximum Operating Temperature</w:t>
            </w:r>
          </w:p>
        </w:tc>
        <w:tc>
          <w:tcPr>
            <w:tcW w:w="0" w:type="dxa"/>
          </w:tcPr>
          <w:p w14:paraId="0AB83416" w14:textId="79D4E4C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BATS</w:t>
            </w:r>
            <w:r w:rsidR="00D524B1" w:rsidRPr="00D44CF2">
              <w:t>-</w:t>
            </w:r>
            <w:r w:rsidRPr="00D44CF2">
              <w:t>BETS and HWPS</w:t>
            </w:r>
            <w:r w:rsidR="00D524B1" w:rsidRPr="00D44CF2">
              <w:t>-</w:t>
            </w:r>
            <w:r w:rsidRPr="00D44CF2">
              <w:t>ROTS No. 1 220 kV lines</w:t>
            </w:r>
          </w:p>
        </w:tc>
        <w:tc>
          <w:tcPr>
            <w:tcW w:w="0" w:type="dxa"/>
          </w:tcPr>
          <w:p w14:paraId="57B2F1EE"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38</w:t>
            </w:r>
          </w:p>
        </w:tc>
        <w:tc>
          <w:tcPr>
            <w:tcW w:w="0" w:type="dxa"/>
          </w:tcPr>
          <w:p w14:paraId="06F80B4F"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2027</w:t>
            </w:r>
          </w:p>
        </w:tc>
        <w:tc>
          <w:tcPr>
            <w:tcW w:w="0" w:type="dxa"/>
          </w:tcPr>
          <w:p w14:paraId="74D692FD"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 spans across Ballarat – Bendigo 200 kV line, and three spans across Hazelwood – Rowville 220 kV No. 1 line</w:t>
            </w:r>
          </w:p>
        </w:tc>
        <w:tc>
          <w:tcPr>
            <w:tcW w:w="0" w:type="dxa"/>
          </w:tcPr>
          <w:p w14:paraId="66D1E413"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Assessing impact of retiring the affected lines is not applicable. </w:t>
            </w:r>
          </w:p>
          <w:p w14:paraId="1D27A9F6" w14:textId="34386DE3"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Constraints may apply to the operation (de-rating) of these lines during high ambient temperatures, should the ground clearances not be remediated.</w:t>
            </w:r>
          </w:p>
        </w:tc>
      </w:tr>
      <w:tr w:rsidR="00723C05" w:rsidRPr="00D44CF2" w14:paraId="5E9F6DE2"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1B6006AB" w14:textId="77777777" w:rsidR="0087182A" w:rsidRPr="00D44CF2" w:rsidRDefault="0087182A" w:rsidP="001A3F5B">
            <w:pPr>
              <w:pStyle w:val="TableText"/>
            </w:pPr>
            <w:r w:rsidRPr="00D44CF2">
              <w:t>Heywood to Alcoa Portland 500 kV Line Replacement</w:t>
            </w:r>
          </w:p>
        </w:tc>
        <w:tc>
          <w:tcPr>
            <w:tcW w:w="0" w:type="dxa"/>
          </w:tcPr>
          <w:p w14:paraId="4DEC8C9C"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HYTS-APD line</w:t>
            </w:r>
          </w:p>
        </w:tc>
        <w:tc>
          <w:tcPr>
            <w:tcW w:w="0" w:type="dxa"/>
          </w:tcPr>
          <w:p w14:paraId="06DB293F"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rPr>
                <w:i/>
                <w:iCs/>
              </w:rPr>
            </w:pPr>
            <w:r w:rsidRPr="00D44CF2">
              <w:rPr>
                <w:i/>
                <w:iCs/>
              </w:rPr>
              <w:t>TBA</w:t>
            </w:r>
          </w:p>
        </w:tc>
        <w:tc>
          <w:tcPr>
            <w:tcW w:w="0" w:type="dxa"/>
          </w:tcPr>
          <w:p w14:paraId="20CA10EF"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2028</w:t>
            </w:r>
          </w:p>
        </w:tc>
        <w:tc>
          <w:tcPr>
            <w:tcW w:w="0" w:type="dxa"/>
          </w:tcPr>
          <w:p w14:paraId="02F8596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Heywood – Alcoa Portland lines No. 1 and No. 2</w:t>
            </w:r>
          </w:p>
          <w:p w14:paraId="0C8A56D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Selected towers, conductors, and ground wire</w:t>
            </w:r>
          </w:p>
        </w:tc>
        <w:tc>
          <w:tcPr>
            <w:tcW w:w="0" w:type="dxa"/>
          </w:tcPr>
          <w:p w14:paraId="3232B6E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Loss of connection to Alcoa Portland and embedded wind farms, reducing supply reliability</w:t>
            </w:r>
            <w:r w:rsidRPr="00D44CF2">
              <w:rPr>
                <w:vertAlign w:val="superscript"/>
              </w:rPr>
              <w:t>A</w:t>
            </w:r>
            <w:r w:rsidRPr="00D44CF2">
              <w:t>.</w:t>
            </w:r>
          </w:p>
        </w:tc>
      </w:tr>
      <w:tr w:rsidR="00723C05" w:rsidRPr="00D44CF2" w14:paraId="1808CFF5"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25476DFA" w14:textId="77777777" w:rsidR="0087182A" w:rsidRPr="00D44CF2" w:rsidRDefault="0087182A" w:rsidP="001A3F5B">
            <w:pPr>
              <w:pStyle w:val="TableText"/>
            </w:pPr>
            <w:r w:rsidRPr="00D44CF2">
              <w:t>TTS Circuit Breaker Replacement</w:t>
            </w:r>
          </w:p>
        </w:tc>
        <w:tc>
          <w:tcPr>
            <w:tcW w:w="0" w:type="dxa"/>
          </w:tcPr>
          <w:p w14:paraId="4052DD2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Thomastown Terminal Station</w:t>
            </w:r>
          </w:p>
        </w:tc>
        <w:tc>
          <w:tcPr>
            <w:tcW w:w="0" w:type="dxa"/>
          </w:tcPr>
          <w:p w14:paraId="45FABFAA"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36</w:t>
            </w:r>
          </w:p>
        </w:tc>
        <w:tc>
          <w:tcPr>
            <w:tcW w:w="0" w:type="dxa"/>
          </w:tcPr>
          <w:p w14:paraId="3F97B3D3"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2029</w:t>
            </w:r>
          </w:p>
        </w:tc>
        <w:tc>
          <w:tcPr>
            <w:tcW w:w="0" w:type="dxa"/>
          </w:tcPr>
          <w:p w14:paraId="39DA820A"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Thomastown 220 kV No. 1 circuit breaker</w:t>
            </w:r>
          </w:p>
          <w:p w14:paraId="0EBB920D"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66 kV 4B capacitor bank circuit breakers</w:t>
            </w:r>
          </w:p>
        </w:tc>
        <w:tc>
          <w:tcPr>
            <w:tcW w:w="0" w:type="dxa"/>
          </w:tcPr>
          <w:p w14:paraId="4CDEBD1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May reduce maximum supportable demand caused by reduced reactive power margin.</w:t>
            </w:r>
          </w:p>
        </w:tc>
      </w:tr>
      <w:tr w:rsidR="00723C05" w:rsidRPr="00D44CF2" w14:paraId="08E0511D"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251EB11D" w14:textId="77777777" w:rsidR="0087182A" w:rsidRPr="00D44CF2" w:rsidRDefault="0087182A" w:rsidP="001A3F5B">
            <w:pPr>
              <w:pStyle w:val="TableText"/>
            </w:pPr>
            <w:r w:rsidRPr="00D44CF2">
              <w:t>ROTS Gas Insulated Line (GIL) Replacement</w:t>
            </w:r>
          </w:p>
        </w:tc>
        <w:tc>
          <w:tcPr>
            <w:tcW w:w="0" w:type="dxa"/>
          </w:tcPr>
          <w:p w14:paraId="257D6779"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Rowville Terminal Station</w:t>
            </w:r>
          </w:p>
        </w:tc>
        <w:tc>
          <w:tcPr>
            <w:tcW w:w="0" w:type="dxa"/>
          </w:tcPr>
          <w:p w14:paraId="56F760CD"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81</w:t>
            </w:r>
          </w:p>
        </w:tc>
        <w:tc>
          <w:tcPr>
            <w:tcW w:w="0" w:type="dxa"/>
          </w:tcPr>
          <w:p w14:paraId="6B497C2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2029</w:t>
            </w:r>
          </w:p>
        </w:tc>
        <w:tc>
          <w:tcPr>
            <w:tcW w:w="0" w:type="dxa"/>
          </w:tcPr>
          <w:p w14:paraId="7D2BC7CA"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Rowville – South Morang 500 kV line</w:t>
            </w:r>
          </w:p>
          <w:p w14:paraId="139C8D7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Rowville – Thomastown 220 kV line</w:t>
            </w:r>
          </w:p>
        </w:tc>
        <w:tc>
          <w:tcPr>
            <w:tcW w:w="0" w:type="dxa"/>
          </w:tcPr>
          <w:p w14:paraId="77EAE1A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Reduced reliability and interconnector capabilities</w:t>
            </w:r>
          </w:p>
        </w:tc>
      </w:tr>
      <w:tr w:rsidR="00723C05" w:rsidRPr="00D44CF2" w14:paraId="7372F219"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20947FE8" w14:textId="77777777" w:rsidR="0087182A" w:rsidRPr="00D44CF2" w:rsidRDefault="0087182A" w:rsidP="001A3F5B">
            <w:pPr>
              <w:pStyle w:val="TableText"/>
            </w:pPr>
            <w:r w:rsidRPr="00D44CF2">
              <w:t>Moorabool Terminal Station Shunt Reactor Replacement</w:t>
            </w:r>
          </w:p>
        </w:tc>
        <w:tc>
          <w:tcPr>
            <w:tcW w:w="0" w:type="dxa"/>
          </w:tcPr>
          <w:p w14:paraId="7BFBADDC"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Moorabool Terminal Station</w:t>
            </w:r>
          </w:p>
        </w:tc>
        <w:tc>
          <w:tcPr>
            <w:tcW w:w="0" w:type="dxa"/>
          </w:tcPr>
          <w:p w14:paraId="0149D52D"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40</w:t>
            </w:r>
          </w:p>
        </w:tc>
        <w:tc>
          <w:tcPr>
            <w:tcW w:w="0" w:type="dxa"/>
          </w:tcPr>
          <w:p w14:paraId="0883C364"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2030</w:t>
            </w:r>
          </w:p>
        </w:tc>
        <w:tc>
          <w:tcPr>
            <w:tcW w:w="0" w:type="dxa"/>
          </w:tcPr>
          <w:p w14:paraId="41EB94F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No.1 220 kV shunt reactor</w:t>
            </w:r>
          </w:p>
          <w:p w14:paraId="05BEB192"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p>
        </w:tc>
        <w:tc>
          <w:tcPr>
            <w:tcW w:w="0" w:type="dxa"/>
          </w:tcPr>
          <w:p w14:paraId="7FAEE422"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Reduced ability to manage over-voltage during periods of low demand</w:t>
            </w:r>
            <w:r w:rsidRPr="00D44CF2">
              <w:rPr>
                <w:vertAlign w:val="superscript"/>
              </w:rPr>
              <w:t>B</w:t>
            </w:r>
            <w:r w:rsidRPr="00D44CF2">
              <w:t>.</w:t>
            </w:r>
          </w:p>
        </w:tc>
      </w:tr>
      <w:tr w:rsidR="00723C05" w:rsidRPr="00D44CF2" w14:paraId="2B863DCE"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1BBE8BC4" w14:textId="77777777" w:rsidR="0087182A" w:rsidRPr="00D44CF2" w:rsidRDefault="0087182A" w:rsidP="001A3F5B">
            <w:pPr>
              <w:pStyle w:val="TableText"/>
            </w:pPr>
            <w:r w:rsidRPr="00D44CF2">
              <w:t>KTS 500/220 kV Transformer Replacement</w:t>
            </w:r>
          </w:p>
        </w:tc>
        <w:tc>
          <w:tcPr>
            <w:tcW w:w="0" w:type="dxa"/>
          </w:tcPr>
          <w:p w14:paraId="78049A38"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Keilor Terminal Station</w:t>
            </w:r>
          </w:p>
        </w:tc>
        <w:tc>
          <w:tcPr>
            <w:tcW w:w="0" w:type="dxa"/>
          </w:tcPr>
          <w:p w14:paraId="639D432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305</w:t>
            </w:r>
          </w:p>
        </w:tc>
        <w:tc>
          <w:tcPr>
            <w:tcW w:w="0" w:type="dxa"/>
          </w:tcPr>
          <w:p w14:paraId="23258C07" w14:textId="77777777" w:rsidR="0087182A" w:rsidRPr="00D44CF2" w:rsidDel="00472903"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2031</w:t>
            </w:r>
          </w:p>
        </w:tc>
        <w:tc>
          <w:tcPr>
            <w:tcW w:w="0" w:type="dxa"/>
          </w:tcPr>
          <w:p w14:paraId="7279BB1C"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A2, A3 and A4 750 MVA 500/220 kV transformers </w:t>
            </w:r>
          </w:p>
          <w:p w14:paraId="430C27D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No.1 220 kV capacitor bank circuit breakers</w:t>
            </w:r>
          </w:p>
          <w:p w14:paraId="4460668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B4 150 MVA 220/66 kV transformer</w:t>
            </w:r>
          </w:p>
        </w:tc>
        <w:tc>
          <w:tcPr>
            <w:tcW w:w="0" w:type="dxa"/>
          </w:tcPr>
          <w:p w14:paraId="414913B7" w14:textId="77777777" w:rsidR="0087182A" w:rsidRPr="00D44CF2" w:rsidDel="00640434"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Reduced reliability and capability to meet peak demand under certain operating conditions</w:t>
            </w:r>
            <w:r w:rsidRPr="00D44CF2">
              <w:rPr>
                <w:vertAlign w:val="superscript"/>
              </w:rPr>
              <w:t>C</w:t>
            </w:r>
            <w:r w:rsidRPr="00D44CF2">
              <w:t>.</w:t>
            </w:r>
          </w:p>
        </w:tc>
      </w:tr>
      <w:tr w:rsidR="00723C05" w:rsidRPr="00D44CF2" w14:paraId="59D43800"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57FDD802" w14:textId="68F4CB9B" w:rsidR="0087182A" w:rsidRPr="00D44CF2" w:rsidRDefault="00665BAE" w:rsidP="001A3F5B">
            <w:pPr>
              <w:pStyle w:val="TableText"/>
            </w:pPr>
            <w:r w:rsidRPr="00D44CF2">
              <w:t xml:space="preserve">South Morang Terminal Station (SMTS) </w:t>
            </w:r>
            <w:r w:rsidR="0087182A" w:rsidRPr="00D44CF2">
              <w:t>500 kV GIS and F2 500/330 kV Transformer Replacement</w:t>
            </w:r>
          </w:p>
        </w:tc>
        <w:tc>
          <w:tcPr>
            <w:tcW w:w="0" w:type="dxa"/>
          </w:tcPr>
          <w:p w14:paraId="4054AC34"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South Morang Terminal Station</w:t>
            </w:r>
          </w:p>
        </w:tc>
        <w:tc>
          <w:tcPr>
            <w:tcW w:w="0" w:type="dxa"/>
          </w:tcPr>
          <w:p w14:paraId="0B5F1AD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335</w:t>
            </w:r>
          </w:p>
        </w:tc>
        <w:tc>
          <w:tcPr>
            <w:tcW w:w="0" w:type="dxa"/>
          </w:tcPr>
          <w:p w14:paraId="5A9461D2" w14:textId="77777777" w:rsidR="0087182A" w:rsidRPr="00D44CF2" w:rsidDel="00472903"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2032</w:t>
            </w:r>
          </w:p>
        </w:tc>
        <w:tc>
          <w:tcPr>
            <w:tcW w:w="0" w:type="dxa"/>
          </w:tcPr>
          <w:p w14:paraId="0979A15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South Morang – Hazelwood 500 kV lines No. 1 and No. 2 </w:t>
            </w:r>
          </w:p>
          <w:p w14:paraId="1A2F373D"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South Morang – Sydenham 500 kV lines No. 1 and No. 2 </w:t>
            </w:r>
          </w:p>
          <w:p w14:paraId="2066CE38"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South Morang – Rowville 500 kV No.3 line</w:t>
            </w:r>
          </w:p>
          <w:p w14:paraId="2301F085"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South Morang – Keilor 500 kV line</w:t>
            </w:r>
          </w:p>
          <w:p w14:paraId="1C74DE4F"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F2 1000 MVA 500/330 kV transformer</w:t>
            </w:r>
          </w:p>
        </w:tc>
        <w:tc>
          <w:tcPr>
            <w:tcW w:w="0" w:type="dxa"/>
          </w:tcPr>
          <w:p w14:paraId="4A8134D2" w14:textId="77777777" w:rsidR="0087182A" w:rsidRPr="00D44CF2" w:rsidDel="00640434"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Reduced reliability, interconnector capabilities and ability to meet demand.</w:t>
            </w:r>
          </w:p>
        </w:tc>
      </w:tr>
      <w:tr w:rsidR="000E57CB" w:rsidRPr="00D44CF2" w14:paraId="2BB81820"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2410" w:type="dxa"/>
          </w:tcPr>
          <w:p w14:paraId="3D753E6D" w14:textId="77777777" w:rsidR="0087182A" w:rsidRPr="00D44CF2" w:rsidRDefault="0087182A" w:rsidP="001A3F5B">
            <w:pPr>
              <w:pStyle w:val="TableText"/>
            </w:pPr>
            <w:r w:rsidRPr="00D44CF2">
              <w:t>Newport Power Station 220 kV GIS Replacement</w:t>
            </w:r>
          </w:p>
        </w:tc>
        <w:tc>
          <w:tcPr>
            <w:tcW w:w="1701" w:type="dxa"/>
          </w:tcPr>
          <w:p w14:paraId="55E8C10D"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Newport Power Station switchyard</w:t>
            </w:r>
          </w:p>
        </w:tc>
        <w:tc>
          <w:tcPr>
            <w:tcW w:w="992" w:type="dxa"/>
          </w:tcPr>
          <w:p w14:paraId="5D42E750"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172</w:t>
            </w:r>
          </w:p>
        </w:tc>
        <w:tc>
          <w:tcPr>
            <w:tcW w:w="1560" w:type="dxa"/>
          </w:tcPr>
          <w:p w14:paraId="6AB0CEDD" w14:textId="77777777" w:rsidR="0087182A" w:rsidRPr="00D44CF2" w:rsidDel="00472903"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2032</w:t>
            </w:r>
          </w:p>
        </w:tc>
        <w:tc>
          <w:tcPr>
            <w:tcW w:w="4252" w:type="dxa"/>
          </w:tcPr>
          <w:p w14:paraId="1BFCD638"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Newport – Brooklyn 220 kV line </w:t>
            </w:r>
          </w:p>
          <w:p w14:paraId="4DB2E554"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Newport – Fishermans Bend 220 kV line</w:t>
            </w:r>
          </w:p>
        </w:tc>
        <w:tc>
          <w:tcPr>
            <w:tcW w:w="4111" w:type="dxa"/>
          </w:tcPr>
          <w:p w14:paraId="6314B030" w14:textId="10D4C860" w:rsidR="0087182A" w:rsidRPr="00D44CF2" w:rsidDel="00640434"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Loss of connection to Newport generation (noting Newport </w:t>
            </w:r>
            <w:r w:rsidR="7D8D4535" w:rsidRPr="00D44CF2">
              <w:t>planned</w:t>
            </w:r>
            <w:r w:rsidRPr="00D44CF2">
              <w:t xml:space="preserve"> closure year is 2039).</w:t>
            </w:r>
          </w:p>
        </w:tc>
      </w:tr>
      <w:tr w:rsidR="00723C05" w:rsidRPr="00D44CF2" w14:paraId="7C9F83D2"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508252AC" w14:textId="77777777" w:rsidR="0087182A" w:rsidRPr="00D44CF2" w:rsidRDefault="0087182A" w:rsidP="001A3F5B">
            <w:pPr>
              <w:pStyle w:val="TableText"/>
            </w:pPr>
            <w:r w:rsidRPr="00D44CF2">
              <w:lastRenderedPageBreak/>
              <w:t>Loy Yang Power Station and Hazelwood Terminal Station 500 kV Circuit Breaker Replacement - Stage 2</w:t>
            </w:r>
          </w:p>
        </w:tc>
        <w:tc>
          <w:tcPr>
            <w:tcW w:w="0" w:type="dxa"/>
          </w:tcPr>
          <w:p w14:paraId="32AA828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LYPS Switchyard and Hazelwood Terminal Station</w:t>
            </w:r>
          </w:p>
        </w:tc>
        <w:tc>
          <w:tcPr>
            <w:tcW w:w="0" w:type="dxa"/>
          </w:tcPr>
          <w:p w14:paraId="525E3A0D"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77</w:t>
            </w:r>
          </w:p>
        </w:tc>
        <w:tc>
          <w:tcPr>
            <w:tcW w:w="0" w:type="dxa"/>
          </w:tcPr>
          <w:p w14:paraId="03E5E9B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2032</w:t>
            </w:r>
          </w:p>
        </w:tc>
        <w:tc>
          <w:tcPr>
            <w:tcW w:w="0" w:type="dxa"/>
          </w:tcPr>
          <w:p w14:paraId="264458B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Loy Yang – Hazelwood 500 kV No. 1 line double breaker switch bay</w:t>
            </w:r>
          </w:p>
          <w:p w14:paraId="270C3DA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Loy Yang – Hazelwood 500 kV No. 2 line</w:t>
            </w:r>
          </w:p>
          <w:p w14:paraId="1BA5C2A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Loy Yang – Hazelwood 500 kV No. 3 line</w:t>
            </w:r>
          </w:p>
          <w:p w14:paraId="41284C3E"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Hazelwood – Loy Yang 500 kV No. 2 line</w:t>
            </w:r>
          </w:p>
          <w:p w14:paraId="4201B16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Hazelwood – Loy Yang 500 kV No. 3 line</w:t>
            </w:r>
          </w:p>
          <w:p w14:paraId="55FE9B52"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Hazelwood – Rowville 500 kV No. 3 line breaker-and-half switch bay (Hazelwood end)</w:t>
            </w:r>
          </w:p>
          <w:p w14:paraId="239984C3"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Hazelwood – Cranbourne 500 kV No. 4 line breaker-and-half switch bay (Hazelwood end)</w:t>
            </w:r>
          </w:p>
        </w:tc>
        <w:tc>
          <w:tcPr>
            <w:tcW w:w="0" w:type="dxa"/>
          </w:tcPr>
          <w:p w14:paraId="5386FCDD"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Additional generation constraints and reduced reliability.</w:t>
            </w:r>
          </w:p>
        </w:tc>
      </w:tr>
      <w:tr w:rsidR="00723C05" w:rsidRPr="00D44CF2" w14:paraId="67F2568E"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0E9111D1" w14:textId="77777777" w:rsidR="0087182A" w:rsidRPr="00D44CF2" w:rsidRDefault="0087182A" w:rsidP="001A3F5B">
            <w:pPr>
              <w:pStyle w:val="TableText"/>
            </w:pPr>
            <w:r w:rsidRPr="00D44CF2">
              <w:t>DDTS H3 330/220kV Transformer and Circuit Breaker Replacement</w:t>
            </w:r>
          </w:p>
        </w:tc>
        <w:tc>
          <w:tcPr>
            <w:tcW w:w="0" w:type="dxa"/>
          </w:tcPr>
          <w:p w14:paraId="6E654295"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Dederang Terminal Station</w:t>
            </w:r>
          </w:p>
        </w:tc>
        <w:tc>
          <w:tcPr>
            <w:tcW w:w="0" w:type="dxa"/>
          </w:tcPr>
          <w:p w14:paraId="3DB84F28"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56</w:t>
            </w:r>
          </w:p>
        </w:tc>
        <w:tc>
          <w:tcPr>
            <w:tcW w:w="0" w:type="dxa"/>
          </w:tcPr>
          <w:p w14:paraId="62C1834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2032</w:t>
            </w:r>
          </w:p>
        </w:tc>
        <w:tc>
          <w:tcPr>
            <w:tcW w:w="0" w:type="dxa"/>
          </w:tcPr>
          <w:p w14:paraId="34D61B2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H3 340 MVA 330/220 kV transformer and two 330 kV circuit breakers</w:t>
            </w:r>
          </w:p>
        </w:tc>
        <w:tc>
          <w:tcPr>
            <w:tcW w:w="0" w:type="dxa"/>
          </w:tcPr>
          <w:p w14:paraId="14DC714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Reduced reliability and capability to supply Wodonga (330 kV), Mt Beauty and Glenrowan (220 kV) and reduced Victoria to New South Wales export capability.</w:t>
            </w:r>
          </w:p>
        </w:tc>
      </w:tr>
      <w:tr w:rsidR="00723C05" w:rsidRPr="00D44CF2" w14:paraId="350F1524"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56EF7467" w14:textId="77777777" w:rsidR="0087182A" w:rsidRPr="00D44CF2" w:rsidRDefault="0087182A" w:rsidP="001A3F5B">
            <w:pPr>
              <w:pStyle w:val="TableText"/>
            </w:pPr>
            <w:r w:rsidRPr="00D44CF2">
              <w:t>MWTS 66kV Circuit Breaker Replacement</w:t>
            </w:r>
          </w:p>
        </w:tc>
        <w:tc>
          <w:tcPr>
            <w:tcW w:w="0" w:type="dxa"/>
          </w:tcPr>
          <w:p w14:paraId="3B51860F"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Morwell Terminal Station</w:t>
            </w:r>
          </w:p>
        </w:tc>
        <w:tc>
          <w:tcPr>
            <w:tcW w:w="0" w:type="dxa"/>
          </w:tcPr>
          <w:p w14:paraId="4190C3D7"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36</w:t>
            </w:r>
          </w:p>
        </w:tc>
        <w:tc>
          <w:tcPr>
            <w:tcW w:w="0" w:type="dxa"/>
          </w:tcPr>
          <w:p w14:paraId="69B5F98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2032</w:t>
            </w:r>
          </w:p>
        </w:tc>
        <w:tc>
          <w:tcPr>
            <w:tcW w:w="0" w:type="dxa"/>
          </w:tcPr>
          <w:p w14:paraId="0531A102"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Morwell to Loy Yang 66 kV lines No. 3 and No. 4  </w:t>
            </w:r>
          </w:p>
        </w:tc>
        <w:tc>
          <w:tcPr>
            <w:tcW w:w="0" w:type="dxa"/>
          </w:tcPr>
          <w:p w14:paraId="5BFA86B8"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Loss of supply for Loy Yang raw coal bunker emergency fire services, potentially resulting in no Loy Yang generation (A or B) for up to six months.</w:t>
            </w:r>
          </w:p>
        </w:tc>
      </w:tr>
      <w:tr w:rsidR="00723C05" w:rsidRPr="00D44CF2" w14:paraId="780AC771" w14:textId="77777777" w:rsidTr="6FF2A378">
        <w:trPr>
          <w:cantSplit/>
          <w:trHeight w:val="20"/>
        </w:trPr>
        <w:tc>
          <w:tcPr>
            <w:cnfStyle w:val="001000000000" w:firstRow="0" w:lastRow="0" w:firstColumn="1" w:lastColumn="0" w:oddVBand="0" w:evenVBand="0" w:oddHBand="0" w:evenHBand="0" w:firstRowFirstColumn="0" w:firstRowLastColumn="0" w:lastRowFirstColumn="0" w:lastRowLastColumn="0"/>
            <w:tcW w:w="0" w:type="dxa"/>
          </w:tcPr>
          <w:p w14:paraId="1EAAC6D2" w14:textId="77777777" w:rsidR="0087182A" w:rsidRPr="00D44CF2" w:rsidRDefault="0087182A" w:rsidP="001A3F5B">
            <w:pPr>
              <w:pStyle w:val="TableText"/>
            </w:pPr>
            <w:r w:rsidRPr="00D44CF2">
              <w:t>Rectification of Low Transmission Line Conductor Spans – Stage 2</w:t>
            </w:r>
          </w:p>
        </w:tc>
        <w:tc>
          <w:tcPr>
            <w:tcW w:w="0" w:type="dxa"/>
          </w:tcPr>
          <w:p w14:paraId="189A175F"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Spans along various 220 kV and 330 kV circuits</w:t>
            </w:r>
          </w:p>
        </w:tc>
        <w:tc>
          <w:tcPr>
            <w:tcW w:w="0" w:type="dxa"/>
          </w:tcPr>
          <w:p w14:paraId="6A7F4A03" w14:textId="77777777" w:rsidR="0087182A" w:rsidRPr="00D44CF2" w:rsidRDefault="0087182A" w:rsidP="001A3F5B">
            <w:pPr>
              <w:pStyle w:val="TableText"/>
              <w:jc w:val="right"/>
              <w:cnfStyle w:val="000000000000" w:firstRow="0" w:lastRow="0" w:firstColumn="0" w:lastColumn="0" w:oddVBand="0" w:evenVBand="0" w:oddHBand="0" w:evenHBand="0" w:firstRowFirstColumn="0" w:firstRowLastColumn="0" w:lastRowFirstColumn="0" w:lastRowLastColumn="0"/>
            </w:pPr>
            <w:r w:rsidRPr="00D44CF2">
              <w:t>88</w:t>
            </w:r>
          </w:p>
        </w:tc>
        <w:tc>
          <w:tcPr>
            <w:tcW w:w="0" w:type="dxa"/>
          </w:tcPr>
          <w:p w14:paraId="30473F44"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2032</w:t>
            </w:r>
          </w:p>
        </w:tc>
        <w:tc>
          <w:tcPr>
            <w:tcW w:w="0" w:type="dxa"/>
          </w:tcPr>
          <w:p w14:paraId="3852D5F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64 spans across 23 220 kV lines, and 34 spans across three 330 kV lines</w:t>
            </w:r>
          </w:p>
        </w:tc>
        <w:tc>
          <w:tcPr>
            <w:tcW w:w="0" w:type="dxa"/>
          </w:tcPr>
          <w:p w14:paraId="5CE647E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Assessing impact of retiring the affected lines is not applicable. </w:t>
            </w:r>
          </w:p>
          <w:p w14:paraId="09616275"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Constraints may apply to the operation (de-rating) of these lines during periods of high ambient temperatures, should the ground clearances not be remediated.</w:t>
            </w:r>
          </w:p>
        </w:tc>
      </w:tr>
    </w:tbl>
    <w:p w14:paraId="509228F2" w14:textId="77777777" w:rsidR="0087182A" w:rsidRPr="00D44CF2" w:rsidRDefault="0087182A" w:rsidP="0087182A">
      <w:pPr>
        <w:pStyle w:val="TableFigureFootnote"/>
      </w:pPr>
      <w:r w:rsidRPr="00D44CF2">
        <w:t>A. This project merges the HYTS – APD 500 kV line replacement Stage 1 and Stage 2 projects as reported in the 2024 VAPR.</w:t>
      </w:r>
    </w:p>
    <w:p w14:paraId="12399F2A" w14:textId="77777777" w:rsidR="0087182A" w:rsidRPr="00D44CF2" w:rsidRDefault="0087182A" w:rsidP="0087182A">
      <w:pPr>
        <w:pStyle w:val="TableFigureFootnote"/>
      </w:pPr>
      <w:r w:rsidRPr="00D44CF2">
        <w:t>B. AusNet Services and AEMO will work together to determine the preferred option to maintain reactive support when these MLTS reactors retire. Replacement of the A1 1,000 MVA 500/220 kV transformer and the CRTS No. 1 and No. 2 500 kV shunt reactors is deferred to occur outside the assessment window, hence removed from this project.</w:t>
      </w:r>
    </w:p>
    <w:p w14:paraId="479BBA2A" w14:textId="77777777" w:rsidR="0087182A" w:rsidRPr="00D44CF2" w:rsidRDefault="0087182A" w:rsidP="0087182A">
      <w:pPr>
        <w:pStyle w:val="TableFigureFootnote"/>
      </w:pPr>
      <w:r w:rsidRPr="00D44CF2">
        <w:t>C. AusNet Services and AEMO will continuously work together to determine the preferred option in replacing the existing Keilor transformers.</w:t>
      </w:r>
    </w:p>
    <w:p w14:paraId="3C41C808" w14:textId="77777777" w:rsidR="0087182A" w:rsidRPr="00D44CF2" w:rsidRDefault="0087182A" w:rsidP="0087182A">
      <w:pPr>
        <w:pStyle w:val="TableFigureFootnote"/>
      </w:pPr>
      <w:r w:rsidRPr="00D44CF2">
        <w:t xml:space="preserve">D. </w:t>
      </w:r>
      <w:r w:rsidRPr="00D44CF2">
        <w:rPr>
          <w:szCs w:val="24"/>
        </w:rPr>
        <w:t>Replacement of these assets may be incorporated into augmentation options for upgrading GTS-MLTS and the Western Metro network.</w:t>
      </w:r>
    </w:p>
    <w:p w14:paraId="42A3AE87" w14:textId="77777777" w:rsidR="0087182A" w:rsidRPr="00D44CF2" w:rsidRDefault="0087182A" w:rsidP="0087182A">
      <w:pPr>
        <w:pStyle w:val="Heading4"/>
      </w:pPr>
      <w:r w:rsidRPr="00D44CF2">
        <w:t>Asset retirements</w:t>
      </w:r>
    </w:p>
    <w:p w14:paraId="1C6B3FCC" w14:textId="337FF9D3" w:rsidR="0087182A" w:rsidRPr="00D44CF2" w:rsidRDefault="0087182A" w:rsidP="0087182A">
      <w:pPr>
        <w:pStyle w:val="BodyText"/>
      </w:pPr>
      <w:r w:rsidRPr="00D44CF2">
        <w:t xml:space="preserve">DSN assets planned for retirement, and not forming part of AusNet’s Asset Renewal Plan, are detailed in </w:t>
      </w:r>
      <w:r w:rsidRPr="00D44CF2">
        <w:rPr>
          <w:b/>
          <w:bCs/>
        </w:rPr>
        <w:fldChar w:fldCharType="begin"/>
      </w:r>
      <w:r w:rsidRPr="00D44CF2">
        <w:rPr>
          <w:b/>
          <w:bCs/>
        </w:rPr>
        <w:instrText xml:space="preserve"> REF _Ref176865901 \n \h  \* MERGEFORMAT </w:instrText>
      </w:r>
      <w:r w:rsidRPr="00D44CF2">
        <w:rPr>
          <w:b/>
          <w:bCs/>
        </w:rPr>
      </w:r>
      <w:r w:rsidRPr="00D44CF2">
        <w:rPr>
          <w:b/>
          <w:bCs/>
        </w:rPr>
        <w:fldChar w:fldCharType="separate"/>
      </w:r>
      <w:r w:rsidR="004973D2">
        <w:rPr>
          <w:b/>
          <w:bCs/>
        </w:rPr>
        <w:t>Table 19</w:t>
      </w:r>
      <w:r w:rsidRPr="00D44CF2">
        <w:rPr>
          <w:b/>
          <w:bCs/>
        </w:rPr>
        <w:fldChar w:fldCharType="end"/>
      </w:r>
      <w:r w:rsidR="4C60ABEE" w:rsidRPr="00D44CF2">
        <w:t>, including commentary from AVP justifying the retirement of the equipment</w:t>
      </w:r>
      <w:r w:rsidRPr="00D44CF2">
        <w:t>.</w:t>
      </w:r>
    </w:p>
    <w:p w14:paraId="597B24EA" w14:textId="77777777" w:rsidR="0087182A" w:rsidRPr="00D44CF2" w:rsidRDefault="0087182A" w:rsidP="0087182A">
      <w:pPr>
        <w:pStyle w:val="CaptionTable"/>
      </w:pPr>
      <w:bookmarkStart w:id="289" w:name="_Ref176865901"/>
      <w:bookmarkStart w:id="290" w:name="_Toc180655845"/>
      <w:bookmarkStart w:id="291" w:name="_Toc212023323"/>
      <w:r w:rsidRPr="00D44CF2">
        <w:lastRenderedPageBreak/>
        <w:t>Asset retirements in the DSN</w:t>
      </w:r>
      <w:bookmarkEnd w:id="289"/>
      <w:bookmarkEnd w:id="290"/>
      <w:bookmarkEnd w:id="291"/>
    </w:p>
    <w:tbl>
      <w:tblPr>
        <w:tblStyle w:val="AEMO-Table5"/>
        <w:tblW w:w="15024" w:type="dxa"/>
        <w:tblLook w:val="04A0" w:firstRow="1" w:lastRow="0" w:firstColumn="1" w:lastColumn="0" w:noHBand="0" w:noVBand="1"/>
      </w:tblPr>
      <w:tblGrid>
        <w:gridCol w:w="2268"/>
        <w:gridCol w:w="2211"/>
        <w:gridCol w:w="1814"/>
        <w:gridCol w:w="8731"/>
      </w:tblGrid>
      <w:tr w:rsidR="00422EA2" w:rsidRPr="00D44CF2" w14:paraId="768FE174" w14:textId="77777777" w:rsidTr="3AD74A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8" w:type="dxa"/>
          </w:tcPr>
          <w:p w14:paraId="6443FA80" w14:textId="77777777" w:rsidR="0087182A" w:rsidRPr="00D44CF2" w:rsidRDefault="0087182A" w:rsidP="001A3F5B">
            <w:pPr>
              <w:pStyle w:val="TableText"/>
            </w:pPr>
            <w:r w:rsidRPr="00D44CF2">
              <w:t>Location</w:t>
            </w:r>
          </w:p>
        </w:tc>
        <w:tc>
          <w:tcPr>
            <w:tcW w:w="2211" w:type="dxa"/>
          </w:tcPr>
          <w:p w14:paraId="1EEDE402"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 xml:space="preserve">Asset to be retired </w:t>
            </w:r>
          </w:p>
        </w:tc>
        <w:tc>
          <w:tcPr>
            <w:tcW w:w="1814" w:type="dxa"/>
          </w:tcPr>
          <w:p w14:paraId="2750DC99" w14:textId="4E17C94A" w:rsidR="0087182A" w:rsidRPr="00D44CF2" w:rsidRDefault="5CB681B7" w:rsidP="001A3F5B">
            <w:pPr>
              <w:pStyle w:val="TableText"/>
              <w:cnfStyle w:val="100000000000" w:firstRow="1" w:lastRow="0" w:firstColumn="0" w:lastColumn="0" w:oddVBand="0" w:evenVBand="0" w:oddHBand="0" w:evenHBand="0" w:firstRowFirstColumn="0" w:firstRowLastColumn="0" w:lastRowFirstColumn="0" w:lastRowLastColumn="0"/>
            </w:pPr>
            <w:r w:rsidRPr="00D44CF2">
              <w:t>Planned</w:t>
            </w:r>
            <w:r w:rsidR="0087182A" w:rsidRPr="00D44CF2">
              <w:t xml:space="preserve"> retirement date</w:t>
            </w:r>
          </w:p>
        </w:tc>
        <w:tc>
          <w:tcPr>
            <w:tcW w:w="8731" w:type="dxa"/>
          </w:tcPr>
          <w:p w14:paraId="642B9213" w14:textId="77777777" w:rsidR="0087182A" w:rsidRPr="00D44CF2" w:rsidRDefault="0087182A" w:rsidP="001A3F5B">
            <w:pPr>
              <w:pStyle w:val="TableText"/>
              <w:cnfStyle w:val="100000000000" w:firstRow="1" w:lastRow="0" w:firstColumn="0" w:lastColumn="0" w:oddVBand="0" w:evenVBand="0" w:oddHBand="0" w:evenHBand="0" w:firstRowFirstColumn="0" w:firstRowLastColumn="0" w:lastRowFirstColumn="0" w:lastRowLastColumn="0"/>
            </w:pPr>
            <w:r w:rsidRPr="00D44CF2">
              <w:t xml:space="preserve">Retirement justification </w:t>
            </w:r>
          </w:p>
        </w:tc>
      </w:tr>
      <w:tr w:rsidR="0017564B" w:rsidRPr="00D44CF2" w14:paraId="15A4A27D" w14:textId="77777777" w:rsidTr="3AD74A67">
        <w:trPr>
          <w:cantSplit/>
          <w:trHeight w:val="227"/>
        </w:trPr>
        <w:tc>
          <w:tcPr>
            <w:cnfStyle w:val="001000000000" w:firstRow="0" w:lastRow="0" w:firstColumn="1" w:lastColumn="0" w:oddVBand="0" w:evenVBand="0" w:oddHBand="0" w:evenHBand="0" w:firstRowFirstColumn="0" w:firstRowLastColumn="0" w:lastRowFirstColumn="0" w:lastRowLastColumn="0"/>
            <w:tcW w:w="2268" w:type="dxa"/>
          </w:tcPr>
          <w:p w14:paraId="08C91754" w14:textId="77777777" w:rsidR="0087182A" w:rsidRPr="00D44CF2" w:rsidDel="00CF0316" w:rsidRDefault="0087182A" w:rsidP="001A3F5B">
            <w:pPr>
              <w:pStyle w:val="TableText"/>
            </w:pPr>
            <w:r w:rsidRPr="00D44CF2">
              <w:t xml:space="preserve">Horsham Terminal Station </w:t>
            </w:r>
          </w:p>
        </w:tc>
        <w:tc>
          <w:tcPr>
            <w:tcW w:w="2211" w:type="dxa"/>
          </w:tcPr>
          <w:p w14:paraId="2590B27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SVC</w:t>
            </w:r>
          </w:p>
        </w:tc>
        <w:tc>
          <w:tcPr>
            <w:tcW w:w="1814" w:type="dxa"/>
          </w:tcPr>
          <w:p w14:paraId="3B1BDEAB" w14:textId="77777777" w:rsidR="0087182A" w:rsidRPr="00D44CF2" w:rsidDel="008217B3"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Mid-2026</w:t>
            </w:r>
          </w:p>
        </w:tc>
        <w:tc>
          <w:tcPr>
            <w:tcW w:w="8731" w:type="dxa"/>
          </w:tcPr>
          <w:p w14:paraId="373A12A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Reduced ability to maintain voltages within limits in North West Victoria.</w:t>
            </w:r>
          </w:p>
          <w:p w14:paraId="49E9490F"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Dynamic voltage and reactive power requirements will be addressed by the Ararat synchronous condenser installed under RDP Stage 1 (Section 3.1.2).</w:t>
            </w:r>
          </w:p>
        </w:tc>
      </w:tr>
      <w:tr w:rsidR="0017564B" w:rsidRPr="00D44CF2" w14:paraId="2A7EA620" w14:textId="77777777" w:rsidTr="3AD74A67">
        <w:trPr>
          <w:cantSplit/>
          <w:trHeight w:val="227"/>
        </w:trPr>
        <w:tc>
          <w:tcPr>
            <w:cnfStyle w:val="001000000000" w:firstRow="0" w:lastRow="0" w:firstColumn="1" w:lastColumn="0" w:oddVBand="0" w:evenVBand="0" w:oddHBand="0" w:evenHBand="0" w:firstRowFirstColumn="0" w:firstRowLastColumn="0" w:lastRowFirstColumn="0" w:lastRowLastColumn="0"/>
            <w:tcW w:w="2268" w:type="dxa"/>
          </w:tcPr>
          <w:p w14:paraId="67FA474F" w14:textId="77777777" w:rsidR="0087182A" w:rsidRPr="00D44CF2" w:rsidRDefault="0087182A" w:rsidP="001A3F5B">
            <w:pPr>
              <w:pStyle w:val="TableText"/>
            </w:pPr>
            <w:r w:rsidRPr="00D44CF2">
              <w:t>Tyabb Terminal Station</w:t>
            </w:r>
          </w:p>
        </w:tc>
        <w:tc>
          <w:tcPr>
            <w:tcW w:w="2211" w:type="dxa"/>
          </w:tcPr>
          <w:p w14:paraId="078EA0D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50 MVAr 66 kV capacitor</w:t>
            </w:r>
            <w:r w:rsidRPr="00D44CF2" w:rsidDel="005A0FB3">
              <w:t xml:space="preserve"> </w:t>
            </w:r>
            <w:r w:rsidRPr="00D44CF2">
              <w:t>bank</w:t>
            </w:r>
          </w:p>
        </w:tc>
        <w:tc>
          <w:tcPr>
            <w:tcW w:w="1814" w:type="dxa"/>
          </w:tcPr>
          <w:p w14:paraId="05BDAE6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c>
          <w:tcPr>
            <w:tcW w:w="8731" w:type="dxa"/>
          </w:tcPr>
          <w:p w14:paraId="58D86BC6"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Reduction in maximum supportable demand in Cranbourne and Tyabb. Some alleviation in 2029-30 from changes in network configuration in Latrobe Valley post YWPS retirement and introduction of VNI West. However, further investment required to address the reactive shortfall in later years. </w:t>
            </w:r>
          </w:p>
          <w:p w14:paraId="01AB7A4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The impact of this asset retirement was assessed, and investment options identified, in AVP’s Melbourne Metropolitan Voltage Management RIT-T (Section 3.1.2).</w:t>
            </w:r>
          </w:p>
        </w:tc>
      </w:tr>
      <w:tr w:rsidR="0017564B" w:rsidRPr="00D44CF2" w14:paraId="6A0D5FC7" w14:textId="77777777" w:rsidTr="3AD74A67">
        <w:trPr>
          <w:cantSplit/>
          <w:trHeight w:val="227"/>
        </w:trPr>
        <w:tc>
          <w:tcPr>
            <w:cnfStyle w:val="001000000000" w:firstRow="0" w:lastRow="0" w:firstColumn="1" w:lastColumn="0" w:oddVBand="0" w:evenVBand="0" w:oddHBand="0" w:evenHBand="0" w:firstRowFirstColumn="0" w:firstRowLastColumn="0" w:lastRowFirstColumn="0" w:lastRowLastColumn="0"/>
            <w:tcW w:w="2268" w:type="dxa"/>
          </w:tcPr>
          <w:p w14:paraId="57B7D32C" w14:textId="77777777" w:rsidR="0087182A" w:rsidRPr="00D44CF2" w:rsidDel="00CF0316" w:rsidRDefault="0087182A" w:rsidP="001A3F5B">
            <w:pPr>
              <w:pStyle w:val="TableText"/>
            </w:pPr>
            <w:r w:rsidRPr="00D44CF2">
              <w:t>Rowville Terminal Station</w:t>
            </w:r>
          </w:p>
        </w:tc>
        <w:tc>
          <w:tcPr>
            <w:tcW w:w="2211" w:type="dxa"/>
          </w:tcPr>
          <w:p w14:paraId="422D1CA5"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200 MVAr 220 kV capacitor bank No.1</w:t>
            </w:r>
          </w:p>
        </w:tc>
        <w:tc>
          <w:tcPr>
            <w:tcW w:w="1814" w:type="dxa"/>
          </w:tcPr>
          <w:p w14:paraId="57B0C1BA" w14:textId="77777777" w:rsidR="0087182A" w:rsidRPr="00D44CF2" w:rsidDel="008217B3"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c>
          <w:tcPr>
            <w:tcW w:w="8731" w:type="dxa"/>
          </w:tcPr>
          <w:p w14:paraId="3304E9F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Contributes to reduction in maximum supportable demand in Malvern, Heatherton and Springvale. Some alleviation in 2030 due to VNI West, however investment required to address the reactive shortfall in later years. </w:t>
            </w:r>
          </w:p>
          <w:p w14:paraId="5E908A1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The impact of this asset retirement was assessed, and investment options identified, in AVP’s Melbourne Metropolitan Voltage Management RIT-T (Section 3.1.2).</w:t>
            </w:r>
          </w:p>
        </w:tc>
      </w:tr>
      <w:tr w:rsidR="0017564B" w:rsidRPr="00D44CF2" w14:paraId="31357DB2" w14:textId="77777777" w:rsidTr="3AD74A67">
        <w:trPr>
          <w:cantSplit/>
          <w:trHeight w:val="227"/>
        </w:trPr>
        <w:tc>
          <w:tcPr>
            <w:cnfStyle w:val="001000000000" w:firstRow="0" w:lastRow="0" w:firstColumn="1" w:lastColumn="0" w:oddVBand="0" w:evenVBand="0" w:oddHBand="0" w:evenHBand="0" w:firstRowFirstColumn="0" w:firstRowLastColumn="0" w:lastRowFirstColumn="0" w:lastRowLastColumn="0"/>
            <w:tcW w:w="2268" w:type="dxa"/>
          </w:tcPr>
          <w:p w14:paraId="1E203893" w14:textId="77777777" w:rsidR="0087182A" w:rsidRPr="00D44CF2" w:rsidRDefault="0087182A" w:rsidP="001A3F5B">
            <w:pPr>
              <w:pStyle w:val="TableText"/>
            </w:pPr>
            <w:r w:rsidRPr="00D44CF2">
              <w:t>Templestowe Terminal Station</w:t>
            </w:r>
          </w:p>
        </w:tc>
        <w:tc>
          <w:tcPr>
            <w:tcW w:w="2211" w:type="dxa"/>
          </w:tcPr>
          <w:p w14:paraId="55272CBA" w14:textId="77777777" w:rsidR="0087182A" w:rsidRPr="00D44CF2" w:rsidDel="00943715"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50 MVAr 66 kV capacitor bank</w:t>
            </w:r>
          </w:p>
        </w:tc>
        <w:tc>
          <w:tcPr>
            <w:tcW w:w="1814" w:type="dxa"/>
          </w:tcPr>
          <w:p w14:paraId="5AEBC6C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c>
          <w:tcPr>
            <w:tcW w:w="8731" w:type="dxa"/>
          </w:tcPr>
          <w:p w14:paraId="223630D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Contributes to reduction in maximum supportable demand in Malvern, Heatherton and Springvale. Some alleviation in 2030 due to VNI West, however investment required to address the reactive shortfall in later years. </w:t>
            </w:r>
          </w:p>
          <w:p w14:paraId="13FB77F4"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The impact of this asset retirement was assessed, and investment options identified, in AVP’s Melbourne Metropolitan Voltage Management RIT-T (Section 3.1.2).</w:t>
            </w:r>
          </w:p>
        </w:tc>
      </w:tr>
      <w:tr w:rsidR="0017564B" w:rsidRPr="00D44CF2" w14:paraId="47F92FA5" w14:textId="77777777" w:rsidTr="3AD74A67">
        <w:trPr>
          <w:cantSplit/>
          <w:trHeight w:val="227"/>
        </w:trPr>
        <w:tc>
          <w:tcPr>
            <w:cnfStyle w:val="001000000000" w:firstRow="0" w:lastRow="0" w:firstColumn="1" w:lastColumn="0" w:oddVBand="0" w:evenVBand="0" w:oddHBand="0" w:evenHBand="0" w:firstRowFirstColumn="0" w:firstRowLastColumn="0" w:lastRowFirstColumn="0" w:lastRowLastColumn="0"/>
            <w:tcW w:w="2268" w:type="dxa"/>
          </w:tcPr>
          <w:p w14:paraId="6C23D606" w14:textId="77777777" w:rsidR="0087182A" w:rsidRPr="00D44CF2" w:rsidRDefault="0087182A" w:rsidP="001A3F5B">
            <w:pPr>
              <w:pStyle w:val="TableText"/>
            </w:pPr>
            <w:r w:rsidRPr="00D44CF2">
              <w:t>Altona Terminal Station</w:t>
            </w:r>
          </w:p>
        </w:tc>
        <w:tc>
          <w:tcPr>
            <w:tcW w:w="2211" w:type="dxa"/>
          </w:tcPr>
          <w:p w14:paraId="35D6A582"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200 MVAr 220 kV capacitor bank</w:t>
            </w:r>
          </w:p>
        </w:tc>
        <w:tc>
          <w:tcPr>
            <w:tcW w:w="1814" w:type="dxa"/>
          </w:tcPr>
          <w:p w14:paraId="0698337D"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c>
          <w:tcPr>
            <w:tcW w:w="8731" w:type="dxa"/>
          </w:tcPr>
          <w:p w14:paraId="17FBEBEC"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Contributes to reduction in maximum supportable demand in metropolitan Melbourne. </w:t>
            </w:r>
          </w:p>
          <w:p w14:paraId="3696885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The impact of this asset retirement was assessed, and investment options identified, in AVP’s Melbourne Metropolitan Voltage Management RIT-T (Section 3.1.2).</w:t>
            </w:r>
          </w:p>
        </w:tc>
      </w:tr>
      <w:tr w:rsidR="0017564B" w:rsidRPr="00D44CF2" w14:paraId="6B9F8D26" w14:textId="77777777" w:rsidTr="3AD74A67">
        <w:trPr>
          <w:cantSplit/>
          <w:trHeight w:val="227"/>
        </w:trPr>
        <w:tc>
          <w:tcPr>
            <w:cnfStyle w:val="001000000000" w:firstRow="0" w:lastRow="0" w:firstColumn="1" w:lastColumn="0" w:oddVBand="0" w:evenVBand="0" w:oddHBand="0" w:evenHBand="0" w:firstRowFirstColumn="0" w:firstRowLastColumn="0" w:lastRowFirstColumn="0" w:lastRowLastColumn="0"/>
            <w:tcW w:w="2268" w:type="dxa"/>
          </w:tcPr>
          <w:p w14:paraId="3DA5B611" w14:textId="77777777" w:rsidR="0087182A" w:rsidRPr="00D44CF2" w:rsidRDefault="0087182A" w:rsidP="001A3F5B">
            <w:pPr>
              <w:pStyle w:val="TableText"/>
            </w:pPr>
            <w:r w:rsidRPr="00D44CF2">
              <w:t>Moorabool Terminal Station</w:t>
            </w:r>
          </w:p>
        </w:tc>
        <w:tc>
          <w:tcPr>
            <w:tcW w:w="2211" w:type="dxa"/>
          </w:tcPr>
          <w:p w14:paraId="19467DF3"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D44CF2">
              <w:t xml:space="preserve">150 MVAr 220 kV capacitor bank No. 2 </w:t>
            </w:r>
          </w:p>
        </w:tc>
        <w:tc>
          <w:tcPr>
            <w:tcW w:w="1814" w:type="dxa"/>
          </w:tcPr>
          <w:p w14:paraId="405A899A"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c>
          <w:tcPr>
            <w:tcW w:w="8731" w:type="dxa"/>
          </w:tcPr>
          <w:p w14:paraId="6C5DA6DE"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Contributes to reduction in maximum supportable demand in metropolitan Melbourne. </w:t>
            </w:r>
          </w:p>
          <w:p w14:paraId="5FD78F4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The impact of this asset retirement was assessed, and investment options identified, in AVP’s Melbourne Metropolitan Voltage Management RIT-T (Section 3.1.2).</w:t>
            </w:r>
          </w:p>
        </w:tc>
      </w:tr>
      <w:tr w:rsidR="0017564B" w:rsidRPr="00D44CF2" w14:paraId="6D8E5B6E" w14:textId="77777777" w:rsidTr="3AD74A67">
        <w:trPr>
          <w:cantSplit/>
          <w:trHeight w:val="227"/>
        </w:trPr>
        <w:tc>
          <w:tcPr>
            <w:cnfStyle w:val="001000000000" w:firstRow="0" w:lastRow="0" w:firstColumn="1" w:lastColumn="0" w:oddVBand="0" w:evenVBand="0" w:oddHBand="0" w:evenHBand="0" w:firstRowFirstColumn="0" w:firstRowLastColumn="0" w:lastRowFirstColumn="0" w:lastRowLastColumn="0"/>
            <w:tcW w:w="2268" w:type="dxa"/>
          </w:tcPr>
          <w:p w14:paraId="62F6D128" w14:textId="77777777" w:rsidR="0087182A" w:rsidRPr="00D44CF2" w:rsidRDefault="0087182A" w:rsidP="001A3F5B">
            <w:pPr>
              <w:pStyle w:val="TableText"/>
            </w:pPr>
            <w:r w:rsidRPr="00D44CF2">
              <w:t>Dederang Terminal Station</w:t>
            </w:r>
          </w:p>
        </w:tc>
        <w:tc>
          <w:tcPr>
            <w:tcW w:w="2211" w:type="dxa"/>
          </w:tcPr>
          <w:p w14:paraId="31C2CA2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100 MVAr 220 kV capacitor bank</w:t>
            </w:r>
          </w:p>
        </w:tc>
        <w:tc>
          <w:tcPr>
            <w:tcW w:w="1814" w:type="dxa"/>
          </w:tcPr>
          <w:p w14:paraId="18D296E9"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c>
          <w:tcPr>
            <w:tcW w:w="8731" w:type="dxa"/>
          </w:tcPr>
          <w:p w14:paraId="61F4207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Minor contribution to voltage collapse in southern New South Wales following loss of large Victorian generation or Basslink, during periods of import from New South Wales.</w:t>
            </w:r>
          </w:p>
        </w:tc>
      </w:tr>
      <w:tr w:rsidR="0017564B" w:rsidRPr="00D44CF2" w14:paraId="499DD06F" w14:textId="77777777" w:rsidTr="3AD74A67">
        <w:trPr>
          <w:cantSplit/>
          <w:trHeight w:val="227"/>
        </w:trPr>
        <w:tc>
          <w:tcPr>
            <w:cnfStyle w:val="001000000000" w:firstRow="0" w:lastRow="0" w:firstColumn="1" w:lastColumn="0" w:oddVBand="0" w:evenVBand="0" w:oddHBand="0" w:evenHBand="0" w:firstRowFirstColumn="0" w:firstRowLastColumn="0" w:lastRowFirstColumn="0" w:lastRowLastColumn="0"/>
            <w:tcW w:w="2268" w:type="dxa"/>
          </w:tcPr>
          <w:p w14:paraId="095681E0" w14:textId="77777777" w:rsidR="0087182A" w:rsidRPr="00D44CF2" w:rsidRDefault="0087182A" w:rsidP="001A3F5B">
            <w:pPr>
              <w:pStyle w:val="TableText"/>
            </w:pPr>
            <w:r w:rsidRPr="00D44CF2">
              <w:t>Dederang Terminal Station</w:t>
            </w:r>
          </w:p>
        </w:tc>
        <w:tc>
          <w:tcPr>
            <w:tcW w:w="2211" w:type="dxa"/>
          </w:tcPr>
          <w:p w14:paraId="56C12C0A"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225 MVAr 330 kV capacitor banks No. 1 and No. 2</w:t>
            </w:r>
          </w:p>
        </w:tc>
        <w:tc>
          <w:tcPr>
            <w:tcW w:w="1814" w:type="dxa"/>
          </w:tcPr>
          <w:p w14:paraId="4BC3684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c>
          <w:tcPr>
            <w:tcW w:w="8731" w:type="dxa"/>
          </w:tcPr>
          <w:p w14:paraId="2284542C"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Contract expires in December 2027. AVP intend to assess the network need to retain reactive support at Dederang.</w:t>
            </w:r>
          </w:p>
        </w:tc>
      </w:tr>
      <w:tr w:rsidR="0017564B" w:rsidRPr="00D44CF2" w14:paraId="0E351309" w14:textId="77777777" w:rsidTr="3AD74A67">
        <w:trPr>
          <w:cantSplit/>
          <w:trHeight w:val="227"/>
        </w:trPr>
        <w:tc>
          <w:tcPr>
            <w:cnfStyle w:val="001000000000" w:firstRow="0" w:lastRow="0" w:firstColumn="1" w:lastColumn="0" w:oddVBand="0" w:evenVBand="0" w:oddHBand="0" w:evenHBand="0" w:firstRowFirstColumn="0" w:firstRowLastColumn="0" w:lastRowFirstColumn="0" w:lastRowLastColumn="0"/>
            <w:tcW w:w="2268" w:type="dxa"/>
          </w:tcPr>
          <w:p w14:paraId="465211DC" w14:textId="77777777" w:rsidR="0087182A" w:rsidRPr="00D44CF2" w:rsidRDefault="0087182A" w:rsidP="001A3F5B">
            <w:pPr>
              <w:pStyle w:val="TableText"/>
            </w:pPr>
            <w:r w:rsidRPr="00D44CF2">
              <w:t>Wodonga Terminal Station</w:t>
            </w:r>
          </w:p>
        </w:tc>
        <w:tc>
          <w:tcPr>
            <w:tcW w:w="2211" w:type="dxa"/>
          </w:tcPr>
          <w:p w14:paraId="5583EF1A"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150 MVAr 330 kV capacitor bank No. 2</w:t>
            </w:r>
          </w:p>
        </w:tc>
        <w:tc>
          <w:tcPr>
            <w:tcW w:w="1814" w:type="dxa"/>
          </w:tcPr>
          <w:p w14:paraId="41788B8B"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FY 2027-28</w:t>
            </w:r>
          </w:p>
        </w:tc>
        <w:tc>
          <w:tcPr>
            <w:tcW w:w="8731" w:type="dxa"/>
          </w:tcPr>
          <w:p w14:paraId="488E17D5"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Contract expires in December 2027. AVP intend to assess the network need to retain reactive support at Wodonga.</w:t>
            </w:r>
          </w:p>
        </w:tc>
      </w:tr>
    </w:tbl>
    <w:p w14:paraId="2527ECC7" w14:textId="77777777" w:rsidR="0087182A" w:rsidRPr="00D44CF2" w:rsidRDefault="0087182A" w:rsidP="0087182A">
      <w:pPr>
        <w:pStyle w:val="BodyText"/>
        <w:sectPr w:rsidR="0087182A" w:rsidRPr="00D44CF2" w:rsidSect="0087182A">
          <w:headerReference w:type="default" r:id="rId97"/>
          <w:footerReference w:type="default" r:id="rId98"/>
          <w:pgSz w:w="16840" w:h="11907" w:orient="landscape" w:code="9"/>
          <w:pgMar w:top="1985" w:right="907" w:bottom="1418" w:left="907" w:header="788" w:footer="471" w:gutter="0"/>
          <w:cols w:space="708"/>
          <w:docGrid w:linePitch="360"/>
        </w:sectPr>
      </w:pPr>
    </w:p>
    <w:p w14:paraId="07B36417" w14:textId="77777777" w:rsidR="0087182A" w:rsidRPr="00D44CF2" w:rsidRDefault="0087182A" w:rsidP="0087182A">
      <w:pPr>
        <w:pStyle w:val="Heading3"/>
      </w:pPr>
      <w:r w:rsidRPr="00D44CF2">
        <w:lastRenderedPageBreak/>
        <w:t>Asset replacement RIT-Ts</w:t>
      </w:r>
    </w:p>
    <w:p w14:paraId="08137903" w14:textId="77777777" w:rsidR="0087182A" w:rsidRPr="00D44CF2" w:rsidRDefault="0087182A" w:rsidP="0087182A">
      <w:pPr>
        <w:pStyle w:val="BodyText"/>
      </w:pPr>
      <w:r w:rsidRPr="00D44CF2">
        <w:t>AusNet Services completed RIT-Ts for the following asset renewal projects since publication of the 2024 VAPR:</w:t>
      </w:r>
    </w:p>
    <w:p w14:paraId="6E161379" w14:textId="197A1F0E" w:rsidR="0087182A" w:rsidRPr="00D44CF2" w:rsidRDefault="0087182A" w:rsidP="0087182A">
      <w:pPr>
        <w:pStyle w:val="ListBullet"/>
      </w:pPr>
      <w:r w:rsidRPr="00D44CF2">
        <w:t xml:space="preserve">maintaining reliable 330/220 kV transformation network services at </w:t>
      </w:r>
      <w:r w:rsidR="00D25731" w:rsidRPr="00D44CF2">
        <w:t>South Morang Terminal Station (</w:t>
      </w:r>
      <w:r w:rsidRPr="00D44CF2">
        <w:t>SMTS</w:t>
      </w:r>
      <w:r w:rsidR="00D25731" w:rsidRPr="00D44CF2">
        <w:t>)</w:t>
      </w:r>
      <w:r w:rsidRPr="00D44CF2">
        <w:t>, and</w:t>
      </w:r>
    </w:p>
    <w:p w14:paraId="5FF5E950" w14:textId="77777777" w:rsidR="0087182A" w:rsidRPr="00D44CF2" w:rsidRDefault="0087182A" w:rsidP="0087182A">
      <w:pPr>
        <w:pStyle w:val="ListBullet"/>
        <w:numPr>
          <w:ilvl w:val="0"/>
          <w:numId w:val="77"/>
        </w:numPr>
      </w:pPr>
      <w:r w:rsidRPr="00D44CF2">
        <w:t>conductor and ground wire replacement – Phase 1.</w:t>
      </w:r>
    </w:p>
    <w:p w14:paraId="780492AD" w14:textId="77777777" w:rsidR="0087182A" w:rsidRPr="00D44CF2" w:rsidRDefault="0087182A" w:rsidP="0087182A">
      <w:pPr>
        <w:pStyle w:val="BodyText"/>
      </w:pPr>
      <w:r w:rsidRPr="00D44CF2">
        <w:t>AusNet Services is progressing several DSN asset renewal project RIT-Ts on primary and secondary assets as detailed below.</w:t>
      </w:r>
    </w:p>
    <w:p w14:paraId="627BF746" w14:textId="77777777" w:rsidR="0087182A" w:rsidRPr="00D44CF2" w:rsidRDefault="0087182A" w:rsidP="0087182A">
      <w:pPr>
        <w:pStyle w:val="Heading4"/>
      </w:pPr>
      <w:r w:rsidRPr="00D44CF2">
        <w:t>Tower replacement on the Heywood to Alcoa Portland 500 kV line</w:t>
      </w:r>
    </w:p>
    <w:p w14:paraId="48CA1F28" w14:textId="77777777" w:rsidR="0087182A" w:rsidRPr="00D44CF2" w:rsidRDefault="0087182A" w:rsidP="0087182A">
      <w:pPr>
        <w:pStyle w:val="BodyText"/>
      </w:pPr>
      <w:r w:rsidRPr="00D44CF2">
        <w:t xml:space="preserve">AusNet Services commenced this RIT-T to identify the preferred option of corrosion management for towers along the HYTS – APD 500 kV lines. This RIT-T is needed to: </w:t>
      </w:r>
    </w:p>
    <w:p w14:paraId="0D1A1C7F" w14:textId="77777777" w:rsidR="0087182A" w:rsidRPr="00D44CF2" w:rsidRDefault="0087182A" w:rsidP="0087182A">
      <w:pPr>
        <w:pStyle w:val="ListBullet"/>
        <w:numPr>
          <w:ilvl w:val="0"/>
          <w:numId w:val="79"/>
        </w:numPr>
      </w:pPr>
      <w:r w:rsidRPr="00D44CF2">
        <w:t>maintain the required reliability of supply to the Portland Aluminium smelter, through actively managing the risks and consequences of tower failure, and</w:t>
      </w:r>
    </w:p>
    <w:p w14:paraId="3DC3FB3E" w14:textId="77777777" w:rsidR="0087182A" w:rsidRPr="00D44CF2" w:rsidRDefault="0087182A" w:rsidP="0087182A">
      <w:pPr>
        <w:pStyle w:val="ListBullet"/>
        <w:numPr>
          <w:ilvl w:val="0"/>
          <w:numId w:val="79"/>
        </w:numPr>
      </w:pPr>
      <w:r w:rsidRPr="00D44CF2">
        <w:t xml:space="preserve">ensure that it complies with its regulatory obligations, including those in the </w:t>
      </w:r>
      <w:r w:rsidRPr="00D44CF2">
        <w:rPr>
          <w:i/>
        </w:rPr>
        <w:t>Electricity Safety Act 1998.</w:t>
      </w:r>
      <w:r w:rsidRPr="00D44CF2">
        <w:t xml:space="preserve">   </w:t>
      </w:r>
    </w:p>
    <w:p w14:paraId="228A61D3" w14:textId="77777777" w:rsidR="0087182A" w:rsidRPr="00D44CF2" w:rsidRDefault="0087182A" w:rsidP="0087182A">
      <w:pPr>
        <w:pStyle w:val="BodyText"/>
      </w:pPr>
      <w:r w:rsidRPr="00D44CF2">
        <w:t>AusNet Services published the PADR in August 2024</w:t>
      </w:r>
      <w:r w:rsidRPr="00D44CF2">
        <w:rPr>
          <w:vertAlign w:val="superscript"/>
        </w:rPr>
        <w:footnoteReference w:id="108"/>
      </w:r>
      <w:r w:rsidRPr="00D44CF2">
        <w:t xml:space="preserve"> and intends to publish the PACR by the end of 2025.</w:t>
      </w:r>
    </w:p>
    <w:p w14:paraId="31D7AF80" w14:textId="77777777" w:rsidR="0087182A" w:rsidRPr="00D44CF2" w:rsidRDefault="0087182A" w:rsidP="0087182A">
      <w:pPr>
        <w:pStyle w:val="Heading4"/>
      </w:pPr>
      <w:r w:rsidRPr="00D44CF2">
        <w:t>Maintaining reliable transmission network services at South Morang Terminal Station (SMTS)</w:t>
      </w:r>
    </w:p>
    <w:p w14:paraId="3A747ECB" w14:textId="160151E6" w:rsidR="0087182A" w:rsidRPr="00D44CF2" w:rsidRDefault="0087182A" w:rsidP="0087182A">
      <w:pPr>
        <w:pStyle w:val="BodyText"/>
      </w:pPr>
      <w:r w:rsidRPr="00D44CF2">
        <w:t xml:space="preserve">AusNet Services commenced this RIT-T to identify the preferred option of replacing 500 kV Gas Insulated Switchgear (GIS) and the F2 500/330 kV transformer. This RIT-T is needed to: </w:t>
      </w:r>
    </w:p>
    <w:p w14:paraId="2230FB8D" w14:textId="77777777" w:rsidR="0087182A" w:rsidRPr="00D44CF2" w:rsidRDefault="0087182A" w:rsidP="0087182A">
      <w:pPr>
        <w:pStyle w:val="ListBullet"/>
        <w:numPr>
          <w:ilvl w:val="0"/>
          <w:numId w:val="80"/>
        </w:numPr>
      </w:pPr>
      <w:r w:rsidRPr="00D44CF2">
        <w:t>maintain the required reliability of transmission services at SMTS, through actively managing the risks and consequences</w:t>
      </w:r>
      <w:r w:rsidRPr="00D44CF2">
        <w:rPr>
          <w:rFonts w:hint="eastAsia"/>
        </w:rPr>
        <w:t> </w:t>
      </w:r>
      <w:r w:rsidRPr="00D44CF2">
        <w:t>of:</w:t>
      </w:r>
    </w:p>
    <w:p w14:paraId="4C2F26D7" w14:textId="77777777" w:rsidR="0087182A" w:rsidRPr="00D44CF2" w:rsidRDefault="0087182A" w:rsidP="0087182A">
      <w:pPr>
        <w:pStyle w:val="ListBullet2"/>
        <w:numPr>
          <w:ilvl w:val="1"/>
          <w:numId w:val="80"/>
        </w:numPr>
      </w:pPr>
      <w:r w:rsidRPr="00D44CF2">
        <w:t>500 kV switchgear failure, and</w:t>
      </w:r>
    </w:p>
    <w:p w14:paraId="47F1DF0C" w14:textId="77777777" w:rsidR="0087182A" w:rsidRPr="00D44CF2" w:rsidRDefault="0087182A" w:rsidP="0087182A">
      <w:pPr>
        <w:pStyle w:val="ListBullet2"/>
        <w:numPr>
          <w:ilvl w:val="1"/>
          <w:numId w:val="80"/>
        </w:numPr>
      </w:pPr>
      <w:r w:rsidRPr="00D44CF2">
        <w:t>500/330 kV transformation failure, and</w:t>
      </w:r>
    </w:p>
    <w:p w14:paraId="25069A24" w14:textId="16FD40F7" w:rsidR="0087182A" w:rsidRPr="00D44CF2" w:rsidRDefault="0087182A" w:rsidP="0087182A">
      <w:pPr>
        <w:pStyle w:val="ListBullet"/>
        <w:numPr>
          <w:ilvl w:val="0"/>
          <w:numId w:val="80"/>
        </w:numPr>
      </w:pPr>
      <w:r w:rsidRPr="00D44CF2">
        <w:t xml:space="preserve">ensure it complies with its regulatory obligations, including those in the </w:t>
      </w:r>
      <w:r w:rsidRPr="00D44CF2">
        <w:rPr>
          <w:i/>
        </w:rPr>
        <w:t>Electricity Safety Act 1998.</w:t>
      </w:r>
      <w:r w:rsidRPr="00D44CF2">
        <w:t xml:space="preserve">   </w:t>
      </w:r>
    </w:p>
    <w:p w14:paraId="09541533" w14:textId="77777777" w:rsidR="0087182A" w:rsidRPr="00D44CF2" w:rsidRDefault="0087182A" w:rsidP="0087182A">
      <w:pPr>
        <w:pStyle w:val="BodyText"/>
      </w:pPr>
      <w:r w:rsidRPr="00D44CF2">
        <w:t>AusNet Services published the PADR in September 2025</w:t>
      </w:r>
      <w:r w:rsidRPr="00D44CF2">
        <w:rPr>
          <w:vertAlign w:val="superscript"/>
        </w:rPr>
        <w:footnoteReference w:id="109"/>
      </w:r>
      <w:r w:rsidRPr="00D44CF2">
        <w:t xml:space="preserve"> and intends to publish the PACR by the end of 2025.</w:t>
      </w:r>
    </w:p>
    <w:p w14:paraId="79BDE8E4" w14:textId="77777777" w:rsidR="0087182A" w:rsidRPr="00D44CF2" w:rsidRDefault="0087182A" w:rsidP="0087182A">
      <w:pPr>
        <w:pStyle w:val="Heading4"/>
      </w:pPr>
      <w:r w:rsidRPr="00D44CF2">
        <w:t>Maintaining reliable transmission network services at Keilor Terminal Station (KTS)</w:t>
      </w:r>
    </w:p>
    <w:p w14:paraId="059C68D8" w14:textId="77777777" w:rsidR="0087182A" w:rsidRPr="00D44CF2" w:rsidRDefault="0087182A" w:rsidP="0087182A">
      <w:pPr>
        <w:pStyle w:val="BodyText"/>
      </w:pPr>
      <w:r w:rsidRPr="00D44CF2">
        <w:t xml:space="preserve">AusNet Services commenced this RIT-T to identify the preferred option of replacing three 750 MVA 500/220 kV transformers. This RIT-T is needed to: </w:t>
      </w:r>
    </w:p>
    <w:p w14:paraId="5C6EDD3D" w14:textId="77777777" w:rsidR="0087182A" w:rsidRPr="00D44CF2" w:rsidRDefault="0087182A" w:rsidP="0087182A">
      <w:pPr>
        <w:pStyle w:val="ListBullet"/>
        <w:numPr>
          <w:ilvl w:val="0"/>
          <w:numId w:val="81"/>
        </w:numPr>
      </w:pPr>
      <w:r w:rsidRPr="00D44CF2">
        <w:t>maintain the required reliability of transmission services at KTS, through actively managing the risks and consequences of transformation failure, and</w:t>
      </w:r>
    </w:p>
    <w:p w14:paraId="242A64E6" w14:textId="0CB1F004" w:rsidR="0087182A" w:rsidRPr="00D44CF2" w:rsidRDefault="0087182A" w:rsidP="0087182A">
      <w:pPr>
        <w:pStyle w:val="ListBullet"/>
        <w:numPr>
          <w:ilvl w:val="0"/>
          <w:numId w:val="81"/>
        </w:numPr>
      </w:pPr>
      <w:r w:rsidRPr="00D44CF2">
        <w:lastRenderedPageBreak/>
        <w:t xml:space="preserve">ensure it complies with its regulatory obligations, including those in the </w:t>
      </w:r>
      <w:r w:rsidRPr="00D44CF2">
        <w:rPr>
          <w:i/>
        </w:rPr>
        <w:t>Electricity Safety Act 1998.</w:t>
      </w:r>
      <w:r w:rsidRPr="00D44CF2">
        <w:t xml:space="preserve">   </w:t>
      </w:r>
    </w:p>
    <w:p w14:paraId="096D8913" w14:textId="77777777" w:rsidR="0087182A" w:rsidRPr="00D44CF2" w:rsidRDefault="0087182A" w:rsidP="0087182A">
      <w:pPr>
        <w:pStyle w:val="BodyText"/>
      </w:pPr>
      <w:r w:rsidRPr="00D44CF2">
        <w:t>AusNet Services published the PADR in May 2025</w:t>
      </w:r>
      <w:r w:rsidRPr="00D44CF2">
        <w:rPr>
          <w:vertAlign w:val="superscript"/>
        </w:rPr>
        <w:footnoteReference w:id="110"/>
      </w:r>
      <w:r w:rsidRPr="00D44CF2">
        <w:t xml:space="preserve"> and intends to publish the PACR by the end of 2025.</w:t>
      </w:r>
    </w:p>
    <w:p w14:paraId="4A305640" w14:textId="7FB27D7F" w:rsidR="0087182A" w:rsidRPr="00D44CF2" w:rsidRDefault="0087182A" w:rsidP="0087182A">
      <w:pPr>
        <w:pStyle w:val="BodyText"/>
      </w:pPr>
      <w:r w:rsidRPr="00D44CF2">
        <w:t>AusNet Services and AVP will continue to work jointly to determine the preferred replacement option for the existing KTS transformers, optimising the solution for any augmentation needed to support increasing demand in the western metropolitan area.</w:t>
      </w:r>
    </w:p>
    <w:p w14:paraId="3B699F81" w14:textId="77777777" w:rsidR="0087182A" w:rsidRPr="00D44CF2" w:rsidRDefault="0087182A" w:rsidP="0087182A">
      <w:pPr>
        <w:pStyle w:val="Heading4"/>
      </w:pPr>
      <w:r w:rsidRPr="00D44CF2">
        <w:t>Transmission Insulator Replacement 500 kV and 220 kV</w:t>
      </w:r>
    </w:p>
    <w:p w14:paraId="5E18F1ED" w14:textId="77777777" w:rsidR="0087182A" w:rsidRPr="00D44CF2" w:rsidRDefault="0087182A" w:rsidP="0087182A">
      <w:pPr>
        <w:pStyle w:val="BodyText"/>
      </w:pPr>
      <w:r w:rsidRPr="00D44CF2">
        <w:t>Ausnet Services commenced this RIT-T to identify the preferred option in addressing the risk of accelerated corrosion of insulators on 500 kV and 220 kV towers.</w:t>
      </w:r>
    </w:p>
    <w:p w14:paraId="7E05F7AC" w14:textId="77777777" w:rsidR="0087182A" w:rsidRPr="00D44CF2" w:rsidRDefault="0087182A" w:rsidP="0087182A">
      <w:pPr>
        <w:pStyle w:val="BodyText"/>
        <w:rPr>
          <w:color w:val="auto"/>
        </w:rPr>
      </w:pPr>
      <w:r w:rsidRPr="00D44CF2">
        <w:t>AusNet Services published the PACR in August 2025</w:t>
      </w:r>
      <w:r w:rsidRPr="00D44CF2">
        <w:rPr>
          <w:vertAlign w:val="superscript"/>
        </w:rPr>
        <w:footnoteReference w:id="111"/>
      </w:r>
      <w:r w:rsidRPr="00D44CF2">
        <w:t>.</w:t>
      </w:r>
    </w:p>
    <w:p w14:paraId="45FB74E0" w14:textId="4F765069" w:rsidR="0087182A" w:rsidRPr="00D44CF2" w:rsidRDefault="0087182A" w:rsidP="0087182A">
      <w:pPr>
        <w:pStyle w:val="BodyText"/>
      </w:pPr>
      <w:r w:rsidRPr="00D44CF2">
        <w:t>More details are provided in AusNet Services</w:t>
      </w:r>
      <w:r w:rsidRPr="00D44CF2">
        <w:rPr>
          <w:rFonts w:hint="eastAsia"/>
        </w:rPr>
        <w:t>’</w:t>
      </w:r>
      <w:r w:rsidRPr="00D44CF2">
        <w:t xml:space="preserve"> Asset Renewal Plan, which is available with the VAPR on AEMO</w:t>
      </w:r>
      <w:r w:rsidRPr="00D44CF2">
        <w:rPr>
          <w:rFonts w:hint="eastAsia"/>
        </w:rPr>
        <w:t>’</w:t>
      </w:r>
      <w:r w:rsidRPr="00D44CF2">
        <w:t>s website. Details of current RIT-Ts are available at AusNet Services</w:t>
      </w:r>
      <w:r w:rsidRPr="00D44CF2">
        <w:rPr>
          <w:rFonts w:hint="eastAsia"/>
        </w:rPr>
        <w:t>’</w:t>
      </w:r>
      <w:r w:rsidRPr="00D44CF2">
        <w:t xml:space="preserve"> website</w:t>
      </w:r>
      <w:r w:rsidRPr="00D44CF2">
        <w:rPr>
          <w:vertAlign w:val="superscript"/>
        </w:rPr>
        <w:footnoteReference w:id="112"/>
      </w:r>
      <w:r w:rsidRPr="00D44CF2">
        <w:t>.</w:t>
      </w:r>
    </w:p>
    <w:p w14:paraId="5ABF84B9" w14:textId="77777777" w:rsidR="0087182A" w:rsidRPr="00D44CF2" w:rsidRDefault="0087182A" w:rsidP="0087182A">
      <w:pPr>
        <w:pStyle w:val="Heading3"/>
      </w:pPr>
      <w:r w:rsidRPr="00D44CF2">
        <w:t>Joint planning activities with other TNSPs</w:t>
      </w:r>
    </w:p>
    <w:p w14:paraId="005394C3" w14:textId="77777777" w:rsidR="0087182A" w:rsidRPr="00D44CF2" w:rsidRDefault="0087182A" w:rsidP="0087182A">
      <w:pPr>
        <w:pStyle w:val="BodyText"/>
      </w:pPr>
      <w:r w:rsidRPr="00D44CF2">
        <w:t>AVP is required to engage in joint planning with neighbouring TNSPs when:</w:t>
      </w:r>
    </w:p>
    <w:p w14:paraId="217EB15E" w14:textId="77777777" w:rsidR="0087182A" w:rsidRPr="00D44CF2" w:rsidRDefault="0087182A" w:rsidP="0087182A">
      <w:pPr>
        <w:pStyle w:val="ListBullet"/>
        <w:numPr>
          <w:ilvl w:val="0"/>
          <w:numId w:val="83"/>
        </w:numPr>
      </w:pPr>
      <w:r w:rsidRPr="00D44CF2">
        <w:t xml:space="preserve">a credible option to alleviate a transmission network constraint involves augmentation of another TNSP’s network, and </w:t>
      </w:r>
    </w:p>
    <w:p w14:paraId="1467234B" w14:textId="77777777" w:rsidR="0087182A" w:rsidRPr="00D44CF2" w:rsidRDefault="0087182A" w:rsidP="0087182A">
      <w:pPr>
        <w:pStyle w:val="ListBullet"/>
        <w:numPr>
          <w:ilvl w:val="0"/>
          <w:numId w:val="83"/>
        </w:numPr>
      </w:pPr>
      <w:r w:rsidRPr="00D44CF2">
        <w:t xml:space="preserve">the constraint is not already being addressed through other mechanisms under the NER. </w:t>
      </w:r>
    </w:p>
    <w:p w14:paraId="53C1A253" w14:textId="77777777" w:rsidR="0087182A" w:rsidRPr="00D44CF2" w:rsidRDefault="0087182A" w:rsidP="0087182A">
      <w:pPr>
        <w:pStyle w:val="BodyText"/>
      </w:pPr>
      <w:r w:rsidRPr="00D44CF2">
        <w:t>In fulfilling this responsibility, AVP has been actively collaborating with adjacent TNSPs on augmentation initiatives related to both upgrades of existing interconnectors and the development of new ones</w:t>
      </w:r>
      <w:r w:rsidRPr="00D44CF2" w:rsidDel="00903D7B">
        <w:t>, including</w:t>
      </w:r>
      <w:r w:rsidRPr="00D44CF2">
        <w:t>:</w:t>
      </w:r>
    </w:p>
    <w:p w14:paraId="467D3F31" w14:textId="115BF2D8" w:rsidR="0087182A" w:rsidRPr="00D44CF2" w:rsidRDefault="0087182A" w:rsidP="0087182A">
      <w:pPr>
        <w:pStyle w:val="ListBullet"/>
      </w:pPr>
      <w:r w:rsidRPr="00D44CF2">
        <w:t xml:space="preserve">inter-network testing, </w:t>
      </w:r>
    </w:p>
    <w:p w14:paraId="4DEE0A00" w14:textId="667E4BFF" w:rsidR="0087182A" w:rsidRPr="00D44CF2" w:rsidRDefault="0087182A" w:rsidP="0087182A">
      <w:pPr>
        <w:pStyle w:val="ListBullet"/>
        <w:numPr>
          <w:ilvl w:val="0"/>
          <w:numId w:val="84"/>
        </w:numPr>
      </w:pPr>
      <w:r w:rsidRPr="00D44CF2">
        <w:t>any joint RIT-T, and</w:t>
      </w:r>
    </w:p>
    <w:p w14:paraId="40027B9D" w14:textId="77777777" w:rsidR="0087182A" w:rsidRPr="00D44CF2" w:rsidRDefault="0087182A" w:rsidP="0087182A">
      <w:pPr>
        <w:pStyle w:val="ListBullet"/>
        <w:numPr>
          <w:ilvl w:val="0"/>
          <w:numId w:val="84"/>
        </w:numPr>
      </w:pPr>
      <w:r w:rsidRPr="00D44CF2">
        <w:t xml:space="preserve">designing control schemes that may influence power system performance across multiple jurisdictions or respond to recommendations from the GPSRR. </w:t>
      </w:r>
    </w:p>
    <w:p w14:paraId="3A4D192A" w14:textId="77777777" w:rsidR="0087182A" w:rsidRPr="00D44CF2" w:rsidRDefault="0087182A" w:rsidP="0087182A">
      <w:pPr>
        <w:pStyle w:val="Heading4"/>
      </w:pPr>
      <w:r w:rsidRPr="00D44CF2">
        <w:t>Inter-network tests associated with the EnergyConnect project</w:t>
      </w:r>
    </w:p>
    <w:p w14:paraId="3ACB4603" w14:textId="4BAF9003" w:rsidR="0087182A" w:rsidRPr="00D44CF2" w:rsidRDefault="0087182A" w:rsidP="0087182A">
      <w:pPr>
        <w:pStyle w:val="BodyText"/>
      </w:pPr>
      <w:r w:rsidRPr="00D44CF2">
        <w:t>Inter-network testing for Stage 1 of EnergyConnect was completed in April 2025. AVP is now collaborating with AEMO Operations and ElectraNet to conduct further inter-network tests aimed at releasing the full design capacity of HIC, that is, 650 MW for both import and export.</w:t>
      </w:r>
    </w:p>
    <w:p w14:paraId="2349AE31" w14:textId="77777777" w:rsidR="0087182A" w:rsidRPr="00D44CF2" w:rsidRDefault="0087182A" w:rsidP="0087182A">
      <w:pPr>
        <w:pStyle w:val="Heading4"/>
      </w:pPr>
      <w:r w:rsidRPr="00D44CF2">
        <w:lastRenderedPageBreak/>
        <w:t>Other joint planning activities with TNSPs underway</w:t>
      </w:r>
    </w:p>
    <w:p w14:paraId="5CAC641E" w14:textId="77777777" w:rsidR="0087182A" w:rsidRPr="00D44CF2" w:rsidRDefault="0087182A" w:rsidP="0087182A">
      <w:pPr>
        <w:pStyle w:val="BodyText"/>
      </w:pPr>
      <w:r w:rsidRPr="00D44CF2">
        <w:t>AVP has been conducting joint planning with TNSPs over the past 12 months on the following key initiatives:</w:t>
      </w:r>
    </w:p>
    <w:p w14:paraId="5C89B654" w14:textId="77777777" w:rsidR="0087182A" w:rsidRPr="00D44CF2" w:rsidRDefault="0087182A" w:rsidP="0087182A">
      <w:pPr>
        <w:pStyle w:val="ListBullet"/>
      </w:pPr>
      <w:r w:rsidRPr="00D44CF2">
        <w:t>joint VNI West RIT-T process with Transgrid,</w:t>
      </w:r>
    </w:p>
    <w:p w14:paraId="2A248FC8" w14:textId="77777777" w:rsidR="0087182A" w:rsidRPr="00D44CF2" w:rsidRDefault="0087182A" w:rsidP="0087182A">
      <w:pPr>
        <w:pStyle w:val="ListBullet"/>
      </w:pPr>
      <w:r w:rsidRPr="00D44CF2">
        <w:t>collaborative planning of control schemes with Transgrid to address GPSRR recommendations,</w:t>
      </w:r>
    </w:p>
    <w:p w14:paraId="57ACA846" w14:textId="77777777" w:rsidR="0087182A" w:rsidRPr="00D44CF2" w:rsidRDefault="0087182A" w:rsidP="0087182A">
      <w:pPr>
        <w:pStyle w:val="ListBullet"/>
      </w:pPr>
      <w:r w:rsidRPr="00D44CF2">
        <w:t>joint development of control schemes related to VNI West separation,</w:t>
      </w:r>
    </w:p>
    <w:p w14:paraId="15C05D40" w14:textId="77777777" w:rsidR="0087182A" w:rsidRPr="00D44CF2" w:rsidRDefault="0087182A" w:rsidP="0087182A">
      <w:pPr>
        <w:pStyle w:val="ListBullet"/>
      </w:pPr>
      <w:r w:rsidRPr="00D44CF2">
        <w:t>control scheme coordination for EnergyConnect in partnership with ElectraNet, and</w:t>
      </w:r>
    </w:p>
    <w:p w14:paraId="0FC60F3C" w14:textId="77777777" w:rsidR="0087182A" w:rsidRPr="00D44CF2" w:rsidRDefault="0087182A" w:rsidP="0087182A">
      <w:pPr>
        <w:pStyle w:val="ListBullet"/>
      </w:pPr>
      <w:r w:rsidRPr="00D44CF2">
        <w:t>joint development of Marinus Link with TasNetworks.</w:t>
      </w:r>
    </w:p>
    <w:p w14:paraId="3C432001" w14:textId="7A845160" w:rsidR="0087182A" w:rsidRPr="00D44CF2" w:rsidRDefault="0087182A" w:rsidP="0087182A">
      <w:r w:rsidRPr="00D44CF2">
        <w:t xml:space="preserve">See Section </w:t>
      </w:r>
      <w:r w:rsidRPr="00D44CF2">
        <w:fldChar w:fldCharType="begin"/>
      </w:r>
      <w:r w:rsidRPr="00D44CF2">
        <w:instrText xml:space="preserve"> REF _Ref180391359 \r \h  \* MERGEFORMAT </w:instrText>
      </w:r>
      <w:r w:rsidRPr="00D44CF2">
        <w:fldChar w:fldCharType="separate"/>
      </w:r>
      <w:r w:rsidR="004973D2" w:rsidRPr="003536AD">
        <w:rPr>
          <w:lang w:val="en-US"/>
        </w:rPr>
        <w:t>3.1</w:t>
      </w:r>
      <w:r w:rsidRPr="00D44CF2">
        <w:fldChar w:fldCharType="end"/>
      </w:r>
      <w:r w:rsidRPr="00D44CF2">
        <w:t xml:space="preserve"> for more details about EnergyConnect and VNI West, and Section </w:t>
      </w:r>
      <w:r w:rsidRPr="00D44CF2">
        <w:fldChar w:fldCharType="begin"/>
      </w:r>
      <w:r w:rsidRPr="00D44CF2">
        <w:instrText xml:space="preserve"> REF _Ref180479949 \n \h  \* MERGEFORMAT </w:instrText>
      </w:r>
      <w:r w:rsidRPr="00D44CF2">
        <w:fldChar w:fldCharType="separate"/>
      </w:r>
      <w:r w:rsidR="004973D2">
        <w:t>4.4</w:t>
      </w:r>
      <w:r w:rsidRPr="00D44CF2">
        <w:fldChar w:fldCharType="end"/>
      </w:r>
      <w:r w:rsidRPr="00D44CF2">
        <w:t xml:space="preserve"> for more information about Victorian control schemes.</w:t>
      </w:r>
    </w:p>
    <w:p w14:paraId="762F8A78" w14:textId="77777777" w:rsidR="0087182A" w:rsidRPr="00D44CF2" w:rsidRDefault="0087182A" w:rsidP="0087182A">
      <w:pPr>
        <w:pStyle w:val="Heading3"/>
      </w:pPr>
      <w:r w:rsidRPr="00D44CF2">
        <w:t>Joint planning activities with DNSPs</w:t>
      </w:r>
    </w:p>
    <w:p w14:paraId="18E02212" w14:textId="77777777" w:rsidR="0087182A" w:rsidRPr="00D44CF2" w:rsidRDefault="0087182A" w:rsidP="0087182A">
      <w:pPr>
        <w:pStyle w:val="BodyText"/>
      </w:pPr>
      <w:r w:rsidRPr="00D44CF2">
        <w:t>Each TNSP is required to undertake conduct joint planning with the DNSP of the distribution networks connected to its transmission assets. In line with this obligation, AVP participates in regular joint planning discussions with each Victorian DNSP and collaborates closely to support effective planning outcomes. This process helps identify the most efficient solutions to address the following network issues.</w:t>
      </w:r>
    </w:p>
    <w:p w14:paraId="6987C568" w14:textId="77777777" w:rsidR="0087182A" w:rsidRPr="00D44CF2" w:rsidRDefault="0087182A" w:rsidP="0087182A">
      <w:pPr>
        <w:pStyle w:val="BodyText"/>
      </w:pPr>
      <w:r w:rsidRPr="00D44CF2">
        <w:t xml:space="preserve">During 2025, the focus areas of joint planning between AVP and the DNSP were load connections to the DSN and continuing to address fault level issues. The focus around load connections was predominantly driven by data centre connection interest in the distribution network and by continued growth in the demand of existing customers which were already identified in the 2024 Transmission Connection Point Report (TCPR). This is discussed further in Section 4.6.7.  </w:t>
      </w:r>
    </w:p>
    <w:p w14:paraId="18AD21D1" w14:textId="77777777" w:rsidR="0087182A" w:rsidRPr="00D44CF2" w:rsidRDefault="0087182A" w:rsidP="0087182A">
      <w:pPr>
        <w:pStyle w:val="Heading4"/>
      </w:pPr>
      <w:r w:rsidRPr="00D44CF2">
        <w:t>Distribution-connected data centres</w:t>
      </w:r>
    </w:p>
    <w:p w14:paraId="44F70C24" w14:textId="77777777" w:rsidR="0087182A" w:rsidRPr="00D44CF2" w:rsidRDefault="0087182A" w:rsidP="0087182A">
      <w:pPr>
        <w:pStyle w:val="BodyText"/>
      </w:pPr>
      <w:r w:rsidRPr="00D44CF2">
        <w:t xml:space="preserve">The data centre connection interest in the distribution network relates to proposed projects that are of a smaller scale than those proposed to connect to the transmission network, however the scale of many of the connections is large enough to trigger the transmission network to require further investment. </w:t>
      </w:r>
    </w:p>
    <w:p w14:paraId="5499AA47" w14:textId="77777777" w:rsidR="0087182A" w:rsidRPr="00D44CF2" w:rsidRDefault="0087182A" w:rsidP="0087182A">
      <w:pPr>
        <w:pStyle w:val="BodyText"/>
      </w:pPr>
      <w:r w:rsidRPr="00D44CF2">
        <w:t xml:space="preserve">The proposed locations for data centres in the distribution network to date have been similar to the locations proposed in the transmission network, and it is likely that both distribution and transmission connections will trigger similar transmission augmentation projects. In addition to the possible transmission augmentation projects identified in </w:t>
      </w:r>
      <w:r w:rsidRPr="00D44CF2">
        <w:br/>
        <w:t>Section 4.2.5, it is anticipated that, to enable distribution-connected data centres, projects to install connection asset transformers will also be required.</w:t>
      </w:r>
    </w:p>
    <w:p w14:paraId="26264088" w14:textId="77777777" w:rsidR="0087182A" w:rsidRPr="00D44CF2" w:rsidRDefault="0087182A" w:rsidP="0087182A">
      <w:pPr>
        <w:pStyle w:val="Heading4"/>
      </w:pPr>
      <w:r w:rsidRPr="00D44CF2">
        <w:t>Distribution fault level</w:t>
      </w:r>
    </w:p>
    <w:p w14:paraId="248679F9" w14:textId="77777777" w:rsidR="0087182A" w:rsidRPr="00D44CF2" w:rsidRDefault="0087182A" w:rsidP="0087182A">
      <w:pPr>
        <w:pStyle w:val="BodyText"/>
      </w:pPr>
      <w:r w:rsidRPr="00D44CF2">
        <w:t xml:space="preserve">In planning the DSN, AEMO must use its best endeavours to ensure that fault levels at a connection point do not exceed 21.9 kiloamperes (kA) at 66 kV or 26.2 kA at 22 kV as a result of a short circuit at that connection point, unless a derogation has been agreed between AVP and the relevant DNSP. In its 2024 annual maximum fault level </w:t>
      </w:r>
      <w:r w:rsidRPr="00D44CF2">
        <w:lastRenderedPageBreak/>
        <w:t>review, AVP assessed fault level risks under the worst-case fault contribution scenario</w:t>
      </w:r>
      <w:r w:rsidRPr="00D44CF2">
        <w:rPr>
          <w:rStyle w:val="FootnoteReference"/>
        </w:rPr>
        <w:footnoteReference w:id="113"/>
      </w:r>
      <w:r w:rsidRPr="00D44CF2">
        <w:t xml:space="preserve"> and identified several sites requiring further management:</w:t>
      </w:r>
    </w:p>
    <w:p w14:paraId="560213C2" w14:textId="36D9C9D2" w:rsidR="0087182A" w:rsidRPr="00D44CF2" w:rsidRDefault="0087182A" w:rsidP="0087182A">
      <w:pPr>
        <w:pStyle w:val="ListBullet"/>
      </w:pPr>
      <w:r w:rsidRPr="00D44CF2">
        <w:t>GTS 66 kV fault levels could exceed the 21.9 kA limit whenever the GTS 66 kV buses are tied together due to increased fault contribution from upstream generators. To mitigate this, the buses are typically run in a split arrangement and only tied automatically during a 220/66 kV transformer outage via a Normally-Open-Auto-Close (NOAC) scheme.</w:t>
      </w:r>
    </w:p>
    <w:p w14:paraId="28BCCC33" w14:textId="77777777" w:rsidR="0087182A" w:rsidRPr="00D44CF2" w:rsidRDefault="0087182A" w:rsidP="0087182A">
      <w:pPr>
        <w:pStyle w:val="ListBullet"/>
      </w:pPr>
      <w:r w:rsidRPr="00D44CF2">
        <w:t>Keilor Bus 1 66 kV fault levels could exceed the 21.9 kA limit under system normal conditions. AVP is working with AusNet Services, Jemena and Powercor to assess whether the exceedance can be accommodated by aligning fault level limits with equipment ratings specified in the Use of System Agreement (UoSA) or if network or plant changes are required to reduce the fault level.</w:t>
      </w:r>
      <w:r w:rsidRPr="00D44CF2" w:rsidDel="00C13DB9">
        <w:t xml:space="preserve"> </w:t>
      </w:r>
    </w:p>
    <w:p w14:paraId="6DF28862" w14:textId="77777777" w:rsidR="0087182A" w:rsidRPr="00D44CF2" w:rsidRDefault="0087182A" w:rsidP="0087182A">
      <w:pPr>
        <w:pStyle w:val="Heading3"/>
      </w:pPr>
      <w:r w:rsidRPr="00D44CF2">
        <w:t>High voltage control at connection points</w:t>
      </w:r>
      <w:r w:rsidRPr="00D44CF2">
        <w:rPr>
          <w:bCs/>
        </w:rPr>
        <w:t xml:space="preserve"> </w:t>
      </w:r>
    </w:p>
    <w:p w14:paraId="0C66F8DD" w14:textId="44C34038" w:rsidR="0087182A" w:rsidRPr="00D44CF2" w:rsidRDefault="0087182A" w:rsidP="0087182A">
      <w:pPr>
        <w:pStyle w:val="BodyText"/>
      </w:pPr>
      <w:r w:rsidRPr="00D44CF2">
        <w:t xml:space="preserve">Control of high voltages in both transmission and distribution networks has been challenging during low/minimum demand periods, particularly with increased distributed PV generation relative to underlying demand. In January 2025, Victoria recorded a new </w:t>
      </w:r>
      <w:r w:rsidR="00604684">
        <w:t>minim</w:t>
      </w:r>
      <w:r w:rsidR="00DF23C1">
        <w:t>um operational demand</w:t>
      </w:r>
      <w:r w:rsidRPr="00D44CF2">
        <w:t xml:space="preserve"> of 1,504 MW, which contributed to elevated voltage conditions on the 500</w:t>
      </w:r>
      <w:r w:rsidR="00410E97">
        <w:t> </w:t>
      </w:r>
      <w:r w:rsidRPr="00D44CF2">
        <w:t>kV network</w:t>
      </w:r>
      <w:r w:rsidRPr="00D44CF2">
        <w:rPr>
          <w:vertAlign w:val="superscript"/>
        </w:rPr>
        <w:footnoteReference w:id="114"/>
      </w:r>
      <w:r w:rsidRPr="00D44CF2">
        <w:t xml:space="preserve">. </w:t>
      </w:r>
    </w:p>
    <w:p w14:paraId="6565E111" w14:textId="77777777" w:rsidR="0087182A" w:rsidRPr="00D44CF2" w:rsidRDefault="0087182A" w:rsidP="0087182A">
      <w:pPr>
        <w:pStyle w:val="BodyText"/>
      </w:pPr>
      <w:r w:rsidRPr="00D44CF2">
        <w:t>In addition to low operational demand, reactive power injection from the distribution networks to the DSN has contributed to high DSN voltages that need to be carefully managed to stay within operational and design limits. In 2024-25, out of 32 terminal stations assessed, 28 terminal stations were found to be injecting reactive power for more than 10% of the year</w:t>
      </w:r>
      <w:r w:rsidRPr="00D44CF2">
        <w:rPr>
          <w:rStyle w:val="FootnoteReference"/>
        </w:rPr>
        <w:footnoteReference w:id="115"/>
      </w:r>
      <w:r w:rsidRPr="00D44CF2" w:rsidDel="00B3718A">
        <w:t>.</w:t>
      </w:r>
      <w:r w:rsidRPr="00D44CF2" w:rsidDel="36CB83DF">
        <w:t xml:space="preserve"> </w:t>
      </w:r>
    </w:p>
    <w:p w14:paraId="10783E84" w14:textId="77777777" w:rsidR="0087182A" w:rsidRPr="00D44CF2" w:rsidRDefault="0087182A" w:rsidP="0087182A">
      <w:pPr>
        <w:pStyle w:val="BodyText"/>
      </w:pPr>
      <w:r w:rsidRPr="00D44CF2">
        <w:rPr>
          <w:szCs w:val="20"/>
        </w:rPr>
        <w:t xml:space="preserve">There has been no need for operational intervention to manage high voltages, due to the new reactors installed at KTS and MLTS in 2022. In addition, </w:t>
      </w:r>
      <w:r w:rsidRPr="00D44CF2">
        <w:t xml:space="preserve">AVP collaborated with AEMO Operations to identify and support the development of a new system load voltage management strategy for Victoria. </w:t>
      </w:r>
    </w:p>
    <w:p w14:paraId="700312A9" w14:textId="76894B78" w:rsidR="0087182A" w:rsidRPr="00D44CF2" w:rsidRDefault="0087182A" w:rsidP="0087182A">
      <w:pPr>
        <w:pStyle w:val="BodyText"/>
      </w:pPr>
      <w:r w:rsidRPr="00D44CF2">
        <w:t xml:space="preserve">As part of this strategy, the </w:t>
      </w:r>
      <w:r w:rsidR="00A460F8" w:rsidRPr="00D44CF2">
        <w:t>KTS</w:t>
      </w:r>
      <w:r w:rsidRPr="00D44CF2">
        <w:t xml:space="preserve"> OVPS was upgraded in October 2024. Before the upgrade, KTS</w:t>
      </w:r>
      <w:r w:rsidR="001537A2" w:rsidRPr="00D44CF2">
        <w:t xml:space="preserve"> </w:t>
      </w:r>
      <w:r w:rsidRPr="00D44CF2">
        <w:t>OVPS was only operationally available under emergency conditions. This enhancement allows for a higher high voltage limit on the Keilor 500 kV Bus, reducing the risk of post-contingent high voltage limit violations.</w:t>
      </w:r>
    </w:p>
    <w:p w14:paraId="40EFCCE3" w14:textId="41FE9630" w:rsidR="0087182A" w:rsidRPr="00D44CF2" w:rsidRDefault="0087182A" w:rsidP="0087182A">
      <w:pPr>
        <w:pStyle w:val="BodyText"/>
      </w:pPr>
      <w:r w:rsidRPr="00D44CF2">
        <w:t xml:space="preserve">AVP completed a RIT-T for Metropolitan Melbourne voltage management. The proposed investment is required to maintain Victorian DSN voltages within operational and design limits in the Metropolitan Melbourne during both maximum and minimum demand periods. The preferred option identified in the RIT-T involves installing additional reactive power support at 220 kV, to address high voltage control issues at transmission system voltages. Refer to Section </w:t>
      </w:r>
      <w:r w:rsidRPr="00D44CF2">
        <w:fldChar w:fldCharType="begin"/>
      </w:r>
      <w:r w:rsidRPr="00D44CF2">
        <w:instrText xml:space="preserve"> REF _Ref177639803 \n \h  \* MERGEFORMAT </w:instrText>
      </w:r>
      <w:r w:rsidRPr="00D44CF2">
        <w:fldChar w:fldCharType="separate"/>
      </w:r>
      <w:r w:rsidR="004973D2" w:rsidRPr="003536AD">
        <w:rPr>
          <w:lang w:val="en-US"/>
        </w:rPr>
        <w:t>3.1.5</w:t>
      </w:r>
      <w:r w:rsidRPr="00D44CF2">
        <w:fldChar w:fldCharType="end"/>
      </w:r>
      <w:r w:rsidRPr="00D44CF2">
        <w:t xml:space="preserve"> for more information about this RIT-T. </w:t>
      </w:r>
    </w:p>
    <w:p w14:paraId="4A940518" w14:textId="77777777" w:rsidR="0087182A" w:rsidRPr="00D44CF2" w:rsidRDefault="0087182A" w:rsidP="0087182A">
      <w:pPr>
        <w:pStyle w:val="Heading3"/>
      </w:pPr>
      <w:r w:rsidRPr="00D44CF2">
        <w:lastRenderedPageBreak/>
        <w:t>Transmission connection planning</w:t>
      </w:r>
    </w:p>
    <w:p w14:paraId="2B944163" w14:textId="77777777" w:rsidR="0087182A" w:rsidRPr="00D44CF2" w:rsidRDefault="0087182A" w:rsidP="0087182A">
      <w:pPr>
        <w:pStyle w:val="BodyText"/>
      </w:pPr>
      <w:r w:rsidRPr="00D44CF2">
        <w:t>AVP reviews DNSP plans for existing and new connection points and incorporates the impact of any distribution network modifications in its transmission planning work. AVP and DNSPs work together to resolve connection asset limitations, and this cooperation ensures a co-optimised and efficient solution for both the distribution network and the DSN.</w:t>
      </w:r>
    </w:p>
    <w:p w14:paraId="719D3A5E" w14:textId="6C9A91B7" w:rsidR="0087182A" w:rsidRPr="00D44CF2" w:rsidRDefault="0087182A" w:rsidP="0087182A">
      <w:pPr>
        <w:pStyle w:val="BodyText"/>
      </w:pPr>
      <w:r w:rsidRPr="00D44CF2">
        <w:rPr>
          <w:b/>
          <w:bCs/>
        </w:rPr>
        <w:fldChar w:fldCharType="begin"/>
      </w:r>
      <w:r w:rsidRPr="00D44CF2">
        <w:rPr>
          <w:b/>
          <w:bCs/>
        </w:rPr>
        <w:instrText xml:space="preserve"> REF _Ref177573401 \n \h  \* MERGEFORMAT </w:instrText>
      </w:r>
      <w:r w:rsidRPr="00D44CF2">
        <w:rPr>
          <w:b/>
          <w:bCs/>
        </w:rPr>
      </w:r>
      <w:r w:rsidRPr="00D44CF2">
        <w:rPr>
          <w:b/>
          <w:bCs/>
        </w:rPr>
        <w:fldChar w:fldCharType="separate"/>
      </w:r>
      <w:r w:rsidR="004973D2">
        <w:rPr>
          <w:b/>
          <w:bCs/>
        </w:rPr>
        <w:t>Table 20</w:t>
      </w:r>
      <w:r w:rsidRPr="00D44CF2">
        <w:rPr>
          <w:b/>
          <w:bCs/>
        </w:rPr>
        <w:fldChar w:fldCharType="end"/>
      </w:r>
      <w:r w:rsidRPr="00D44CF2">
        <w:rPr>
          <w:b/>
          <w:bCs/>
        </w:rPr>
        <w:t xml:space="preserve"> </w:t>
      </w:r>
      <w:r w:rsidRPr="00D44CF2">
        <w:t>includes information on constraints and augmentations identified in the 2024 Transmission Connection Planning Report</w:t>
      </w:r>
      <w:bookmarkStart w:id="292" w:name="_Ref204696438"/>
      <w:r w:rsidRPr="00D44CF2">
        <w:rPr>
          <w:vertAlign w:val="superscript"/>
        </w:rPr>
        <w:footnoteReference w:id="116"/>
      </w:r>
      <w:bookmarkEnd w:id="292"/>
      <w:r w:rsidRPr="00D44CF2">
        <w:t xml:space="preserve"> prepared by the Victorian DNSPs that have been assumed to be implemented for the purpose of this Annual Planning Review. </w:t>
      </w:r>
    </w:p>
    <w:p w14:paraId="37D52C53" w14:textId="77777777" w:rsidR="0087182A" w:rsidRPr="00D44CF2" w:rsidRDefault="0087182A" w:rsidP="0087182A">
      <w:pPr>
        <w:pStyle w:val="CaptionTable"/>
      </w:pPr>
      <w:bookmarkStart w:id="294" w:name="_Ref177573401"/>
      <w:bookmarkStart w:id="295" w:name="_Toc180655846"/>
      <w:bookmarkStart w:id="296" w:name="_Toc212023324"/>
      <w:r w:rsidRPr="00D44CF2">
        <w:t>DNSP preferred connection modifications</w:t>
      </w:r>
      <w:bookmarkEnd w:id="294"/>
      <w:bookmarkEnd w:id="295"/>
      <w:bookmarkEnd w:id="296"/>
    </w:p>
    <w:tbl>
      <w:tblPr>
        <w:tblStyle w:val="AEMO-Table5"/>
        <w:tblW w:w="5000" w:type="pct"/>
        <w:tblLayout w:type="fixed"/>
        <w:tblLook w:val="02A0" w:firstRow="1" w:lastRow="0" w:firstColumn="1" w:lastColumn="0" w:noHBand="1" w:noVBand="0"/>
      </w:tblPr>
      <w:tblGrid>
        <w:gridCol w:w="2675"/>
        <w:gridCol w:w="3704"/>
        <w:gridCol w:w="3714"/>
      </w:tblGrid>
      <w:tr w:rsidR="00D04E7E" w:rsidRPr="00D44CF2" w14:paraId="00230CBC"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325" w:type="pct"/>
          </w:tcPr>
          <w:p w14:paraId="08122F84" w14:textId="77777777" w:rsidR="0087182A" w:rsidRPr="00D44CF2" w:rsidRDefault="0087182A" w:rsidP="001A3F5B">
            <w:pPr>
              <w:pStyle w:val="TableText"/>
              <w:keepNext/>
            </w:pPr>
            <w:r w:rsidRPr="00D44CF2">
              <w:t>Location/terminal station</w:t>
            </w:r>
          </w:p>
        </w:tc>
        <w:tc>
          <w:tcPr>
            <w:tcW w:w="1835" w:type="pct"/>
          </w:tcPr>
          <w:p w14:paraId="3CB599BE" w14:textId="77777777" w:rsidR="0087182A" w:rsidRPr="00D44CF2" w:rsidRDefault="0087182A" w:rsidP="001A3F5B">
            <w:pPr>
              <w:pStyle w:val="TableText"/>
              <w:keepNext/>
              <w:cnfStyle w:val="100000000000" w:firstRow="1" w:lastRow="0" w:firstColumn="0" w:lastColumn="0" w:oddVBand="0" w:evenVBand="0" w:oddHBand="0" w:evenHBand="0" w:firstRowFirstColumn="0" w:firstRowLastColumn="0" w:lastRowFirstColumn="0" w:lastRowLastColumn="0"/>
            </w:pPr>
            <w:r w:rsidRPr="00D44CF2">
              <w:t>Preferred connection modification</w:t>
            </w:r>
          </w:p>
        </w:tc>
        <w:tc>
          <w:tcPr>
            <w:tcW w:w="1840" w:type="pct"/>
          </w:tcPr>
          <w:p w14:paraId="1DD7F01B" w14:textId="77777777" w:rsidR="0087182A" w:rsidRPr="00D44CF2" w:rsidRDefault="0087182A" w:rsidP="001A3F5B">
            <w:pPr>
              <w:pStyle w:val="TableText"/>
              <w:keepNext/>
              <w:cnfStyle w:val="100000000000" w:firstRow="1" w:lastRow="0" w:firstColumn="0" w:lastColumn="0" w:oddVBand="0" w:evenVBand="0" w:oddHBand="0" w:evenHBand="0" w:firstRowFirstColumn="0" w:firstRowLastColumn="0" w:lastRowFirstColumn="0" w:lastRowLastColumn="0"/>
            </w:pPr>
            <w:r w:rsidRPr="00D44CF2">
              <w:t>DNSP impacts and considerations</w:t>
            </w:r>
          </w:p>
        </w:tc>
      </w:tr>
      <w:tr w:rsidR="0087182A" w:rsidRPr="00D44CF2" w14:paraId="5FD28F8E"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5BAC425D" w14:textId="77777777" w:rsidR="0087182A" w:rsidRPr="00D44CF2" w:rsidRDefault="0087182A" w:rsidP="001A3F5B">
            <w:pPr>
              <w:pStyle w:val="TableText"/>
              <w:keepNext/>
            </w:pPr>
            <w:r w:rsidRPr="00D44CF2">
              <w:t xml:space="preserve">Altona </w:t>
            </w:r>
            <w:r w:rsidRPr="00D44CF2">
              <w:rPr>
                <w:rFonts w:hint="eastAsia"/>
              </w:rPr>
              <w:t>–</w:t>
            </w:r>
            <w:r w:rsidRPr="00D44CF2">
              <w:t xml:space="preserve"> Brooklyn 66 kV</w:t>
            </w:r>
          </w:p>
        </w:tc>
        <w:tc>
          <w:tcPr>
            <w:tcW w:w="1835" w:type="pct"/>
          </w:tcPr>
          <w:p w14:paraId="7A7AE138" w14:textId="32EC4A3E" w:rsidR="0087182A" w:rsidRPr="00D44CF2" w:rsidRDefault="0087182A" w:rsidP="001A3F5B">
            <w:pPr>
              <w:pStyle w:val="TableText"/>
              <w:keepNext/>
              <w:cnfStyle w:val="000000000000" w:firstRow="0" w:lastRow="0" w:firstColumn="0" w:lastColumn="0" w:oddVBand="0" w:evenVBand="0" w:oddHBand="0" w:evenHBand="0" w:firstRowFirstColumn="0" w:firstRowLastColumn="0" w:lastRowFirstColumn="0" w:lastRowLastColumn="0"/>
            </w:pPr>
            <w:r w:rsidRPr="00D44CF2">
              <w:t>Install additional transformation capacity and reconfigure 66 kV exits at ATS or BLTS by 2028.</w:t>
            </w:r>
          </w:p>
        </w:tc>
        <w:tc>
          <w:tcPr>
            <w:tcW w:w="1840" w:type="pct"/>
          </w:tcPr>
          <w:p w14:paraId="571F1E19" w14:textId="77777777" w:rsidR="0087182A" w:rsidRPr="00D44CF2" w:rsidRDefault="0087182A" w:rsidP="001A3F5B">
            <w:pPr>
              <w:pStyle w:val="TableText"/>
              <w:keepNext/>
              <w:cnfStyle w:val="000000000000" w:firstRow="0" w:lastRow="0" w:firstColumn="0" w:lastColumn="0" w:oddVBand="0" w:evenVBand="0" w:oddHBand="0" w:evenHBand="0" w:firstRowFirstColumn="0" w:firstRowLastColumn="0" w:lastRowFirstColumn="0" w:lastRowLastColumn="0"/>
            </w:pPr>
            <w:r w:rsidRPr="00D44CF2">
              <w:t>Increased demand requiring this transformer will be included in Greater Melbourne and Geelong planning.</w:t>
            </w:r>
          </w:p>
        </w:tc>
      </w:tr>
      <w:tr w:rsidR="0087182A" w:rsidRPr="00D44CF2" w14:paraId="3F39A549"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2BDA18B3" w14:textId="77777777" w:rsidR="0087182A" w:rsidRPr="00D44CF2" w:rsidRDefault="0087182A" w:rsidP="001A3F5B">
            <w:pPr>
              <w:pStyle w:val="TableText"/>
              <w:keepNext/>
            </w:pPr>
            <w:r w:rsidRPr="00D44CF2">
              <w:t xml:space="preserve">Altona West (No. 3 and 4 buses) 66 kV </w:t>
            </w:r>
          </w:p>
        </w:tc>
        <w:tc>
          <w:tcPr>
            <w:tcW w:w="1835" w:type="pct"/>
          </w:tcPr>
          <w:p w14:paraId="68F243E5" w14:textId="77777777" w:rsidR="0087182A" w:rsidRPr="00D44CF2" w:rsidRDefault="0087182A" w:rsidP="001A3F5B">
            <w:pPr>
              <w:pStyle w:val="TableText"/>
              <w:keepNext/>
              <w:cnfStyle w:val="000000000000" w:firstRow="0" w:lastRow="0" w:firstColumn="0" w:lastColumn="0" w:oddVBand="0" w:evenVBand="0" w:oddHBand="0" w:evenHBand="0" w:firstRowFirstColumn="0" w:firstRowLastColumn="0" w:lastRowFirstColumn="0" w:lastRowLastColumn="0"/>
            </w:pPr>
            <w:r w:rsidRPr="00D44CF2">
              <w:t>Install additional transformation capacity and reconfigure 66 kV exits at ATS by 2028.</w:t>
            </w:r>
          </w:p>
        </w:tc>
        <w:tc>
          <w:tcPr>
            <w:tcW w:w="1840" w:type="pct"/>
          </w:tcPr>
          <w:p w14:paraId="3123A33A" w14:textId="77777777" w:rsidR="0087182A" w:rsidRPr="00D44CF2" w:rsidRDefault="0087182A" w:rsidP="001A3F5B">
            <w:pPr>
              <w:pStyle w:val="TableText"/>
              <w:keepNext/>
              <w:cnfStyle w:val="000000000000" w:firstRow="0" w:lastRow="0" w:firstColumn="0" w:lastColumn="0" w:oddVBand="0" w:evenVBand="0" w:oddHBand="0" w:evenHBand="0" w:firstRowFirstColumn="0" w:firstRowLastColumn="0" w:lastRowFirstColumn="0" w:lastRowLastColumn="0"/>
            </w:pPr>
            <w:r w:rsidRPr="00D44CF2">
              <w:t xml:space="preserve">Increased demand requiring this transformer will be included in Greater Melbourne and Geelong planning. </w:t>
            </w:r>
          </w:p>
        </w:tc>
      </w:tr>
      <w:tr w:rsidR="0087182A" w:rsidRPr="00D44CF2" w14:paraId="211EFDF7"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2186CAB9" w14:textId="77777777" w:rsidR="0087182A" w:rsidRPr="00D44CF2" w:rsidRDefault="0087182A" w:rsidP="001A3F5B">
            <w:pPr>
              <w:pStyle w:val="TableText"/>
            </w:pPr>
            <w:r w:rsidRPr="00D44CF2">
              <w:t xml:space="preserve">Cranbourne 66 kV </w:t>
            </w:r>
          </w:p>
        </w:tc>
        <w:tc>
          <w:tcPr>
            <w:tcW w:w="1835" w:type="pct"/>
          </w:tcPr>
          <w:p w14:paraId="4B1BCF95"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Install a fourth transformer by summer 2026-27, as determined by RIT-T. </w:t>
            </w:r>
          </w:p>
        </w:tc>
        <w:tc>
          <w:tcPr>
            <w:tcW w:w="1840" w:type="pct"/>
          </w:tcPr>
          <w:p w14:paraId="04F75FB3"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Increased demand requiring this transformer will be included in Greater Melbourne and Geelong planning. </w:t>
            </w:r>
          </w:p>
        </w:tc>
      </w:tr>
      <w:tr w:rsidR="0087182A" w:rsidRPr="00D44CF2" w14:paraId="335C6931"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3D01BF74" w14:textId="77777777" w:rsidR="0087182A" w:rsidRPr="00D44CF2" w:rsidRDefault="0087182A" w:rsidP="001A3F5B">
            <w:pPr>
              <w:pStyle w:val="TableText"/>
            </w:pPr>
            <w:r w:rsidRPr="00D44CF2">
              <w:t xml:space="preserve">Deer Park 66 kV </w:t>
            </w:r>
          </w:p>
        </w:tc>
        <w:tc>
          <w:tcPr>
            <w:tcW w:w="1835" w:type="pct"/>
          </w:tcPr>
          <w:p w14:paraId="071A8D0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Install an additional transformer, ongoing assessments will determine the appropriate options to address the identified limitation and whether a RIT-T is required, with installation targeted by 2027.</w:t>
            </w:r>
          </w:p>
        </w:tc>
        <w:tc>
          <w:tcPr>
            <w:tcW w:w="1840" w:type="pct"/>
          </w:tcPr>
          <w:p w14:paraId="209FF3E5"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Increased demand requiring this transformer will be included in Greater Melbourne and Geelong planning. </w:t>
            </w:r>
          </w:p>
        </w:tc>
      </w:tr>
      <w:tr w:rsidR="0087182A" w:rsidRPr="00D44CF2" w14:paraId="378E398F"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7B3C3DD6" w14:textId="77777777" w:rsidR="0087182A" w:rsidRPr="00D44CF2" w:rsidRDefault="0087182A" w:rsidP="001A3F5B">
            <w:pPr>
              <w:pStyle w:val="TableText"/>
            </w:pPr>
            <w:r w:rsidRPr="00D44CF2">
              <w:t xml:space="preserve">Glenrowan 66 kV </w:t>
            </w:r>
          </w:p>
        </w:tc>
        <w:tc>
          <w:tcPr>
            <w:tcW w:w="1835" w:type="pct"/>
          </w:tcPr>
          <w:p w14:paraId="511D2E0E"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Additional embedded generation may justify additional 220/66 kV transformation capacity. </w:t>
            </w:r>
          </w:p>
        </w:tc>
        <w:tc>
          <w:tcPr>
            <w:tcW w:w="1840" w:type="pct"/>
          </w:tcPr>
          <w:p w14:paraId="677CBDE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Monitoring embedded generation output levels will continue, as increased embedded generation will be considered in regional Victoria planning. </w:t>
            </w:r>
          </w:p>
        </w:tc>
      </w:tr>
      <w:tr w:rsidR="0087182A" w:rsidRPr="00D44CF2" w14:paraId="65C19237"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6642F957" w14:textId="77777777" w:rsidR="0087182A" w:rsidRPr="00D44CF2" w:rsidRDefault="0087182A" w:rsidP="001A3F5B">
            <w:pPr>
              <w:pStyle w:val="TableText"/>
            </w:pPr>
            <w:r w:rsidRPr="00D44CF2">
              <w:t>Keilor 66 kV</w:t>
            </w:r>
          </w:p>
        </w:tc>
        <w:tc>
          <w:tcPr>
            <w:tcW w:w="1835" w:type="pct"/>
          </w:tcPr>
          <w:p w14:paraId="3264690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Install an additional transformer capacity and transfer 66 kV exits at KTS B(1,2,5) to KTS B(3,4) by 2028.</w:t>
            </w:r>
          </w:p>
        </w:tc>
        <w:tc>
          <w:tcPr>
            <w:tcW w:w="1840" w:type="pct"/>
          </w:tcPr>
          <w:p w14:paraId="511D228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demand requiring this transformer will be included in Greater Melbourne and Geelong planning.</w:t>
            </w:r>
          </w:p>
        </w:tc>
      </w:tr>
      <w:tr w:rsidR="0087182A" w:rsidRPr="00D44CF2" w14:paraId="2BA02D84"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4E1342A3" w14:textId="77777777" w:rsidR="0087182A" w:rsidRPr="00D44CF2" w:rsidRDefault="0087182A" w:rsidP="001A3F5B">
            <w:pPr>
              <w:pStyle w:val="TableText"/>
            </w:pPr>
            <w:r w:rsidRPr="00D44CF2">
              <w:t>Richmond 66 kV</w:t>
            </w:r>
          </w:p>
        </w:tc>
        <w:tc>
          <w:tcPr>
            <w:tcW w:w="1835" w:type="pct"/>
          </w:tcPr>
          <w:p w14:paraId="53F04E51" w14:textId="0CE5F488"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Install a fourth transformer at </w:t>
            </w:r>
            <w:r w:rsidR="00AD6E05">
              <w:t>Richmond Terminal Station (</w:t>
            </w:r>
            <w:r w:rsidRPr="00D44CF2">
              <w:t>RTS</w:t>
            </w:r>
            <w:r w:rsidR="00AD6E05">
              <w:t>)</w:t>
            </w:r>
            <w:r w:rsidRPr="00D44CF2">
              <w:t xml:space="preserve"> 66 kV by 2034 or later.</w:t>
            </w:r>
          </w:p>
        </w:tc>
        <w:tc>
          <w:tcPr>
            <w:tcW w:w="1840" w:type="pct"/>
          </w:tcPr>
          <w:p w14:paraId="44F950DE"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demand requiring this transformer will be included in Greater Melbourne and Geelong planning.</w:t>
            </w:r>
          </w:p>
        </w:tc>
      </w:tr>
      <w:tr w:rsidR="0087182A" w:rsidRPr="00D44CF2" w14:paraId="20C39DF4"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3AFEE4C4" w14:textId="77777777" w:rsidR="0087182A" w:rsidRPr="00D44CF2" w:rsidRDefault="0087182A" w:rsidP="001A3F5B">
            <w:pPr>
              <w:pStyle w:val="TableText"/>
            </w:pPr>
            <w:r w:rsidRPr="00D44CF2">
              <w:t xml:space="preserve">South Morang 66 kV </w:t>
            </w:r>
          </w:p>
        </w:tc>
        <w:tc>
          <w:tcPr>
            <w:tcW w:w="1835" w:type="pct"/>
          </w:tcPr>
          <w:p w14:paraId="5F9AF570"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Install a third South Morang 225 MVA 220/66 kV transformer by 2026. </w:t>
            </w:r>
          </w:p>
        </w:tc>
        <w:tc>
          <w:tcPr>
            <w:tcW w:w="1840" w:type="pct"/>
          </w:tcPr>
          <w:p w14:paraId="56C6B968"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Increased demand requiring this transformer will be included in Greater Melbourne and Geelong planning. </w:t>
            </w:r>
          </w:p>
        </w:tc>
      </w:tr>
      <w:tr w:rsidR="0087182A" w:rsidRPr="00D44CF2" w14:paraId="14BECDAB"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0B8F64F2" w14:textId="77777777" w:rsidR="0087182A" w:rsidRPr="00D44CF2" w:rsidRDefault="0087182A" w:rsidP="001A3F5B">
            <w:pPr>
              <w:pStyle w:val="TableText"/>
            </w:pPr>
            <w:r w:rsidRPr="00D44CF2">
              <w:t>Templestowe 66 kV</w:t>
            </w:r>
          </w:p>
        </w:tc>
        <w:tc>
          <w:tcPr>
            <w:tcW w:w="1835" w:type="pct"/>
          </w:tcPr>
          <w:p w14:paraId="17206073"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Install a fourth 220/66 kV transformer by 2034 or later.</w:t>
            </w:r>
          </w:p>
        </w:tc>
        <w:tc>
          <w:tcPr>
            <w:tcW w:w="1840" w:type="pct"/>
          </w:tcPr>
          <w:p w14:paraId="5020C8A9"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demand requiring this transformer will be included in Greater Melbourne and Geelong planning.</w:t>
            </w:r>
          </w:p>
        </w:tc>
      </w:tr>
      <w:tr w:rsidR="0087182A" w:rsidRPr="00D44CF2" w14:paraId="1FF6906A"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76E4DD87" w14:textId="77777777" w:rsidR="0087182A" w:rsidRPr="00D44CF2" w:rsidRDefault="0087182A" w:rsidP="001A3F5B">
            <w:pPr>
              <w:pStyle w:val="TableText"/>
            </w:pPr>
            <w:r w:rsidRPr="00D44CF2">
              <w:t>Terang 66 kV</w:t>
            </w:r>
          </w:p>
        </w:tc>
        <w:tc>
          <w:tcPr>
            <w:tcW w:w="1835" w:type="pct"/>
          </w:tcPr>
          <w:p w14:paraId="45137E07"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Install a third 220/66 kV transformer by 2034 or later.</w:t>
            </w:r>
          </w:p>
        </w:tc>
        <w:tc>
          <w:tcPr>
            <w:tcW w:w="1840" w:type="pct"/>
          </w:tcPr>
          <w:p w14:paraId="17D6A14C"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demand requiring this transformer will be included in Greater Melbourne and Geelong planning.</w:t>
            </w:r>
          </w:p>
        </w:tc>
      </w:tr>
      <w:tr w:rsidR="0087182A" w:rsidRPr="00D44CF2" w14:paraId="472ED594" w14:textId="77777777" w:rsidTr="00261D2D">
        <w:trPr>
          <w:trHeight w:val="57"/>
        </w:trPr>
        <w:tc>
          <w:tcPr>
            <w:cnfStyle w:val="001000000000" w:firstRow="0" w:lastRow="0" w:firstColumn="1" w:lastColumn="0" w:oddVBand="0" w:evenVBand="0" w:oddHBand="0" w:evenHBand="0" w:firstRowFirstColumn="0" w:firstRowLastColumn="0" w:lastRowFirstColumn="0" w:lastRowLastColumn="0"/>
            <w:tcW w:w="1325" w:type="pct"/>
          </w:tcPr>
          <w:p w14:paraId="510F0800" w14:textId="77777777" w:rsidR="0087182A" w:rsidRPr="00D44CF2" w:rsidRDefault="0087182A" w:rsidP="001A3F5B">
            <w:pPr>
              <w:pStyle w:val="TableText"/>
            </w:pPr>
            <w:r w:rsidRPr="00D44CF2">
              <w:t xml:space="preserve">Wemen 66 kV </w:t>
            </w:r>
          </w:p>
        </w:tc>
        <w:tc>
          <w:tcPr>
            <w:tcW w:w="1835" w:type="pct"/>
          </w:tcPr>
          <w:p w14:paraId="48B2CB81"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Additional embedded generation may justify additional 220/66 kV transformation capacity. </w:t>
            </w:r>
          </w:p>
        </w:tc>
        <w:tc>
          <w:tcPr>
            <w:tcW w:w="1840" w:type="pct"/>
          </w:tcPr>
          <w:p w14:paraId="0E35F619" w14:textId="77777777" w:rsidR="0087182A" w:rsidRPr="00D44CF2" w:rsidRDefault="0087182A"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Monitoring embedded generation output levels will continue, as increased embedded generation will be considered in regional Victoria planning. </w:t>
            </w:r>
          </w:p>
        </w:tc>
      </w:tr>
    </w:tbl>
    <w:p w14:paraId="6AC466F4" w14:textId="77777777" w:rsidR="0087182A" w:rsidRPr="00D44CF2" w:rsidRDefault="0087182A" w:rsidP="0087182A">
      <w:pPr>
        <w:pStyle w:val="Heading2"/>
      </w:pPr>
      <w:bookmarkStart w:id="297" w:name="_Toc177574611"/>
      <w:bookmarkStart w:id="298" w:name="_Toc180159697"/>
      <w:bookmarkStart w:id="299" w:name="_Toc212023289"/>
      <w:bookmarkEnd w:id="297"/>
      <w:r w:rsidRPr="00D44CF2">
        <w:lastRenderedPageBreak/>
        <w:t>Proposed updates to the Transmission Development Plan</w:t>
      </w:r>
      <w:bookmarkEnd w:id="298"/>
      <w:bookmarkEnd w:id="299"/>
    </w:p>
    <w:p w14:paraId="0BAE96D4" w14:textId="296B267C" w:rsidR="0087182A" w:rsidRPr="00D44CF2" w:rsidRDefault="0087182A" w:rsidP="0087182A">
      <w:pPr>
        <w:pStyle w:val="BodyText"/>
        <w:rPr>
          <w:lang w:val="en-GB"/>
        </w:rPr>
      </w:pPr>
      <w:r w:rsidRPr="00D44CF2">
        <w:rPr>
          <w:lang w:val="en-GB"/>
        </w:rPr>
        <w:t xml:space="preserve">The 2025 VAPR outcomes, including the network limitations, are largely consistent with those reported in 2024 VAPR, except for one new priority limitation at </w:t>
      </w:r>
      <w:r w:rsidR="00E276EF">
        <w:rPr>
          <w:lang w:val="en-GB"/>
        </w:rPr>
        <w:t xml:space="preserve">the </w:t>
      </w:r>
      <w:r w:rsidRPr="00D44CF2">
        <w:rPr>
          <w:lang w:val="en-GB"/>
        </w:rPr>
        <w:t>500/220 kV Ke</w:t>
      </w:r>
      <w:r w:rsidR="00E52C9D">
        <w:rPr>
          <w:lang w:val="en-GB"/>
        </w:rPr>
        <w:t>i</w:t>
      </w:r>
      <w:r w:rsidRPr="00D44CF2">
        <w:rPr>
          <w:lang w:val="en-GB"/>
        </w:rPr>
        <w:t xml:space="preserve">lor </w:t>
      </w:r>
      <w:r w:rsidR="00E52C9D" w:rsidRPr="00D44CF2">
        <w:rPr>
          <w:lang w:val="en-GB"/>
        </w:rPr>
        <w:t xml:space="preserve">transformers </w:t>
      </w:r>
      <w:r w:rsidRPr="00D44CF2">
        <w:rPr>
          <w:lang w:val="en-GB"/>
        </w:rPr>
        <w:t>which is mainly driven by the increases in the demand forecast:</w:t>
      </w:r>
    </w:p>
    <w:p w14:paraId="43DD03FB" w14:textId="6B116ACA" w:rsidR="0087182A" w:rsidRPr="00D44CF2" w:rsidRDefault="0087182A" w:rsidP="0087182A">
      <w:pPr>
        <w:pStyle w:val="ListBullet"/>
        <w:spacing w:after="0"/>
      </w:pPr>
      <w:r w:rsidRPr="00D44CF2">
        <w:t>The increased connection point forecast in the Western Metropolitan area, coupled with higher overall Vic</w:t>
      </w:r>
      <w:r w:rsidR="00E276EF">
        <w:t>torian</w:t>
      </w:r>
      <w:r w:rsidRPr="00D44CF2">
        <w:t xml:space="preserve"> regional demand projections, is the main driver for the Keilor 500/220 kV transformers thermal limit. This limitation is anticipated to be addressed through the planned transformer replacements as part of the Ausnet Services Maintain reliable transmission network services at Keilor Terminal Station RIT-T</w:t>
      </w:r>
      <w:r w:rsidRPr="00D44CF2">
        <w:rPr>
          <w:rStyle w:val="FootnoteReference"/>
        </w:rPr>
        <w:footnoteReference w:id="117"/>
      </w:r>
      <w:r w:rsidRPr="00D44CF2">
        <w:t>. Replacement of these transformers with larger units was also included in VicGrid’s VTP.</w:t>
      </w:r>
    </w:p>
    <w:p w14:paraId="10EE7A2B" w14:textId="77777777" w:rsidR="0087182A" w:rsidRPr="00D44CF2" w:rsidRDefault="0087182A" w:rsidP="0087182A">
      <w:pPr>
        <w:pStyle w:val="BreakoutBoxHeading"/>
      </w:pPr>
      <w:r w:rsidRPr="00D44CF2">
        <w:t>Next steps after the 2025 VAPR</w:t>
      </w:r>
    </w:p>
    <w:p w14:paraId="27D19020" w14:textId="77777777" w:rsidR="0087182A" w:rsidRPr="00D44CF2" w:rsidRDefault="0087182A" w:rsidP="0087182A">
      <w:pPr>
        <w:pStyle w:val="ListNumber"/>
      </w:pPr>
      <w:r w:rsidRPr="00D44CF2">
        <w:t>Delivery of the major augmentation projects that are already underway such as WRL, VNI West and RDP Stage 1 projects.</w:t>
      </w:r>
    </w:p>
    <w:p w14:paraId="2D92E08F" w14:textId="5E596724" w:rsidR="0087182A" w:rsidRPr="00D44CF2" w:rsidRDefault="0087182A" w:rsidP="0087182A">
      <w:pPr>
        <w:pStyle w:val="ListNumber"/>
      </w:pPr>
      <w:r w:rsidRPr="00D44CF2">
        <w:t>Delivery of both System Strength and Melbourne Metro Voltage Management projects which ha</w:t>
      </w:r>
      <w:r w:rsidR="00E276EF">
        <w:t xml:space="preserve">ve </w:t>
      </w:r>
      <w:r w:rsidRPr="00D44CF2">
        <w:t>commenced to address the identified network issues.</w:t>
      </w:r>
    </w:p>
    <w:p w14:paraId="76BDABFB" w14:textId="77777777" w:rsidR="0087182A" w:rsidRPr="00D44CF2" w:rsidRDefault="0087182A" w:rsidP="0087182A">
      <w:pPr>
        <w:pStyle w:val="ListNumber"/>
      </w:pPr>
      <w:r w:rsidRPr="00D44CF2">
        <w:rPr>
          <w:lang w:val="en-AU"/>
        </w:rPr>
        <w:t>Progress with the ongoing RIT-Ts on Eastern and Western Metropolitan Grid Reinforcement to complete them and move them into delivery stage to meet the optimal delivery time.</w:t>
      </w:r>
    </w:p>
    <w:p w14:paraId="657BBACF" w14:textId="51418932" w:rsidR="0087182A" w:rsidRPr="00D44CF2" w:rsidRDefault="0087182A" w:rsidP="0087182A">
      <w:pPr>
        <w:pStyle w:val="ListNumber"/>
      </w:pPr>
      <w:r w:rsidRPr="00D44CF2">
        <w:rPr>
          <w:lang w:val="en-AU"/>
        </w:rPr>
        <w:t>Scope and progress with the recently commenced RIT-T for Red Cliff – Wemen – Kerang 220 kV line thermal limitation to justify the investment and develop it into an augmentation project.</w:t>
      </w:r>
    </w:p>
    <w:p w14:paraId="56BA9680" w14:textId="77777777" w:rsidR="0087182A" w:rsidRPr="00D44CF2" w:rsidRDefault="0087182A" w:rsidP="0087182A">
      <w:pPr>
        <w:pStyle w:val="ListNumber"/>
        <w:numPr>
          <w:ilvl w:val="0"/>
          <w:numId w:val="0"/>
        </w:numPr>
        <w:ind w:left="284"/>
      </w:pPr>
    </w:p>
    <w:p w14:paraId="41E402FD" w14:textId="77777777" w:rsidR="0087182A" w:rsidRPr="00D44CF2" w:rsidRDefault="0087182A" w:rsidP="00C70B3F">
      <w:pPr>
        <w:pStyle w:val="BodyText"/>
        <w:sectPr w:rsidR="0087182A" w:rsidRPr="00D44CF2" w:rsidSect="00AE5141">
          <w:headerReference w:type="default" r:id="rId99"/>
          <w:footerReference w:type="default" r:id="rId100"/>
          <w:pgSz w:w="11907" w:h="16840" w:code="9"/>
          <w:pgMar w:top="1985" w:right="907" w:bottom="1418" w:left="907" w:header="788" w:footer="471" w:gutter="0"/>
          <w:cols w:space="708"/>
          <w:docGrid w:linePitch="360"/>
        </w:sectPr>
      </w:pPr>
    </w:p>
    <w:p w14:paraId="682D1032" w14:textId="77777777" w:rsidR="00E77B70" w:rsidRPr="00D44CF2" w:rsidRDefault="00E77B70" w:rsidP="00E77B70">
      <w:pPr>
        <w:pStyle w:val="AppendixHeading"/>
      </w:pPr>
      <w:bookmarkStart w:id="300" w:name="_Ref210750358"/>
      <w:bookmarkStart w:id="301" w:name="_Toc212023290"/>
      <w:r w:rsidRPr="00D44CF2">
        <w:lastRenderedPageBreak/>
        <w:t>Government policies and initiatives</w:t>
      </w:r>
      <w:bookmarkEnd w:id="300"/>
      <w:bookmarkEnd w:id="301"/>
    </w:p>
    <w:p w14:paraId="23D33CFC" w14:textId="77777777" w:rsidR="00E77B70" w:rsidRPr="00D44CF2" w:rsidRDefault="00E77B70" w:rsidP="00E77B70">
      <w:pPr>
        <w:pStyle w:val="BodyText"/>
      </w:pPr>
      <w:r w:rsidRPr="00D44CF2">
        <w:t>The following government policies and initiatives were considered in addition to those included in Section 2.4:</w:t>
      </w:r>
    </w:p>
    <w:p w14:paraId="79D75BD2" w14:textId="77777777" w:rsidR="00E77B70" w:rsidRPr="00D44CF2" w:rsidRDefault="00E77B70" w:rsidP="00E77B70">
      <w:pPr>
        <w:pStyle w:val="ListBullet"/>
        <w:rPr>
          <w:rFonts w:ascii="Arial Nova" w:eastAsia="Arial Nova" w:hAnsi="Arial Nova" w:cs="Arial Nova"/>
          <w:szCs w:val="20"/>
        </w:rPr>
      </w:pPr>
      <w:r w:rsidRPr="00D44CF2">
        <w:rPr>
          <w:rFonts w:ascii="Arial Nova" w:eastAsia="Arial Nova" w:hAnsi="Arial Nova" w:cs="Arial Nova"/>
          <w:b/>
          <w:bCs/>
          <w:szCs w:val="20"/>
        </w:rPr>
        <w:t>Victorian energy storage targets</w:t>
      </w:r>
      <w:r w:rsidRPr="00D44CF2">
        <w:rPr>
          <w:rStyle w:val="FootnoteReference"/>
          <w:rFonts w:eastAsia="Arial Nova" w:cs="Arial Nova"/>
          <w:szCs w:val="20"/>
        </w:rPr>
        <w:footnoteReference w:id="118"/>
      </w:r>
      <w:r w:rsidRPr="00D44CF2">
        <w:rPr>
          <w:rFonts w:ascii="Arial Nova" w:eastAsia="Arial Nova" w:hAnsi="Arial Nova" w:cs="Arial Nova"/>
          <w:szCs w:val="20"/>
        </w:rPr>
        <w:t xml:space="preserve"> – legislated in March 2024, these targets aim to connect at least 2.6 GW by 2030 and at least 6.3 GW by 2035 of short, medium and long duration energy storage systems. The inclusion of short, medium and long duration systems will allow energy to be moved around during the day to meet demand and to be supplied through longer duration imbalances. </w:t>
      </w:r>
    </w:p>
    <w:p w14:paraId="55EA840B" w14:textId="77777777" w:rsidR="00E77B70" w:rsidRPr="00D44CF2" w:rsidRDefault="00E77B70" w:rsidP="00E77B70">
      <w:pPr>
        <w:pStyle w:val="ListBullet"/>
        <w:rPr>
          <w:rFonts w:ascii="Arial Nova" w:eastAsia="Arial Nova" w:hAnsi="Arial Nova" w:cs="Arial Nova"/>
          <w:szCs w:val="20"/>
        </w:rPr>
      </w:pPr>
      <w:r w:rsidRPr="00D44CF2">
        <w:rPr>
          <w:rFonts w:ascii="Arial Nova" w:eastAsia="Arial Nova" w:hAnsi="Arial Nova" w:cs="Arial Nova"/>
          <w:b/>
          <w:bCs/>
          <w:szCs w:val="20"/>
        </w:rPr>
        <w:t>VRET2</w:t>
      </w:r>
      <w:r w:rsidRPr="00D44CF2">
        <w:rPr>
          <w:rStyle w:val="FootnoteReference"/>
          <w:rFonts w:eastAsia="Arial Nova" w:cs="Arial Nova"/>
          <w:szCs w:val="20"/>
        </w:rPr>
        <w:footnoteReference w:id="119"/>
      </w:r>
      <w:r w:rsidRPr="00D44CF2">
        <w:rPr>
          <w:rFonts w:ascii="Arial Nova" w:eastAsia="Arial Nova" w:hAnsi="Arial Nova" w:cs="Arial Nova"/>
          <w:szCs w:val="20"/>
        </w:rPr>
        <w:t xml:space="preserve"> – six projects have been successful under VRET2, bringing forward 623 MW of new renewable generation capacity and delivering up to 365 MW and 600 MWh of new battery energy storage. VRET2 will help meet Victoria’s legislated renewable energy targets of 40% by 2025 and 50% by 2030. VRET2 projects will also help meet Victoria’s new renewable energy storage target of at least 2.6 GW of energy storage capacity by 2030.</w:t>
      </w:r>
    </w:p>
    <w:p w14:paraId="20D88479" w14:textId="77777777" w:rsidR="00E77B70" w:rsidRPr="00D44CF2" w:rsidRDefault="00E77B70" w:rsidP="00E77B70">
      <w:pPr>
        <w:pStyle w:val="ListBullet"/>
      </w:pPr>
      <w:r w:rsidRPr="00D44CF2">
        <w:rPr>
          <w:b/>
          <w:bCs/>
        </w:rPr>
        <w:t>VRET</w:t>
      </w:r>
      <w:r w:rsidRPr="00D44CF2">
        <w:t xml:space="preserve"> – in March 2024, the Victorian Government legislated the new Renewable Energy Targets for Victoria as 40% by 2025, 65% by 2030 (previously 50%) and 95% by 2035 (new)</w:t>
      </w:r>
      <w:r w:rsidRPr="00D44CF2">
        <w:rPr>
          <w:rStyle w:val="FootnoteReference"/>
        </w:rPr>
        <w:footnoteReference w:id="120"/>
      </w:r>
      <w:r w:rsidRPr="00D44CF2">
        <w:t xml:space="preserve">. These targets include the offshore wind energy generation targets described earlier. </w:t>
      </w:r>
    </w:p>
    <w:p w14:paraId="2D5ECDB5" w14:textId="57CDDDEF" w:rsidR="00E77B70" w:rsidRPr="00D44CF2" w:rsidRDefault="00E77B70" w:rsidP="00E77B70">
      <w:pPr>
        <w:pStyle w:val="ListBullet"/>
        <w:rPr>
          <w:rFonts w:ascii="Arial Nova" w:eastAsia="Arial Nova" w:hAnsi="Arial Nova" w:cs="Arial Nova"/>
          <w:szCs w:val="20"/>
        </w:rPr>
      </w:pPr>
      <w:r w:rsidRPr="00D44CF2">
        <w:rPr>
          <w:rFonts w:ascii="Arial Nova" w:eastAsia="Arial Nova" w:hAnsi="Arial Nova" w:cs="Arial Nova"/>
          <w:b/>
          <w:bCs/>
          <w:szCs w:val="20"/>
        </w:rPr>
        <w:t>Zero Emission Vehicle (ZEV) Road Map</w:t>
      </w:r>
      <w:r w:rsidRPr="00D44CF2">
        <w:rPr>
          <w:rStyle w:val="FootnoteReference"/>
          <w:rFonts w:eastAsia="Arial Nova" w:cs="Arial Nova"/>
          <w:szCs w:val="20"/>
        </w:rPr>
        <w:footnoteReference w:id="121"/>
      </w:r>
      <w:r w:rsidRPr="00D44CF2">
        <w:rPr>
          <w:rFonts w:ascii="Arial Nova" w:eastAsia="Arial Nova" w:hAnsi="Arial Nova" w:cs="Arial Nova"/>
          <w:szCs w:val="20"/>
        </w:rPr>
        <w:t xml:space="preserve"> – the transport sector is one of the largest and growing sources of greenhouse gas emissions, and accounts for 25% of Victoria’s total carbon emissions. The </w:t>
      </w:r>
      <w:r w:rsidR="00E250F5">
        <w:rPr>
          <w:rFonts w:ascii="Arial Nova" w:eastAsia="Arial Nova" w:hAnsi="Arial Nova" w:cs="Arial Nova"/>
          <w:szCs w:val="20"/>
        </w:rPr>
        <w:t>ZEV</w:t>
      </w:r>
      <w:r w:rsidRPr="00D44CF2">
        <w:rPr>
          <w:rFonts w:ascii="Arial Nova" w:eastAsia="Arial Nova" w:hAnsi="Arial Nova" w:cs="Arial Nova"/>
          <w:szCs w:val="20"/>
        </w:rPr>
        <w:t xml:space="preserve"> Road Map aims for half of all light vehicle sales in Victoria to be zero emissions vehicles by 2030. The road map is supported by a range of policies and programs including rollout of EV charging infrastructure across regional Victoria and support for EV fleets, a target for all new public transport bus purchases to be ZEVs from 2025, and the establishment of a Commercial Sector Zero Emissions Vehicle Innovation Fund</w:t>
      </w:r>
      <w:r w:rsidRPr="00D44CF2">
        <w:rPr>
          <w:rStyle w:val="FootnoteReference"/>
          <w:rFonts w:eastAsia="Arial Nova" w:cs="Arial Nova"/>
          <w:szCs w:val="20"/>
        </w:rPr>
        <w:footnoteReference w:id="122"/>
      </w:r>
      <w:r w:rsidRPr="00D44CF2">
        <w:rPr>
          <w:rFonts w:ascii="Arial Nova" w:eastAsia="Arial Nova" w:hAnsi="Arial Nova" w:cs="Arial Nova"/>
          <w:szCs w:val="20"/>
        </w:rPr>
        <w:t>.</w:t>
      </w:r>
    </w:p>
    <w:p w14:paraId="290651A0" w14:textId="77777777" w:rsidR="00E77B70" w:rsidRPr="00D44CF2" w:rsidRDefault="00E77B70" w:rsidP="00E77B70">
      <w:pPr>
        <w:pStyle w:val="ListBullet"/>
        <w:rPr>
          <w:rFonts w:ascii="Arial Nova" w:eastAsia="Arial Nova" w:hAnsi="Arial Nova" w:cs="Arial Nova"/>
          <w:szCs w:val="20"/>
        </w:rPr>
      </w:pPr>
      <w:r w:rsidRPr="00D44CF2">
        <w:rPr>
          <w:rFonts w:ascii="Arial Nova" w:eastAsia="Arial Nova" w:hAnsi="Arial Nova" w:cs="Arial Nova"/>
          <w:b/>
          <w:bCs/>
          <w:szCs w:val="20"/>
        </w:rPr>
        <w:t>State Electricity Commission (SEC)</w:t>
      </w:r>
      <w:r w:rsidRPr="00D44CF2">
        <w:rPr>
          <w:rStyle w:val="FootnoteReference"/>
          <w:rFonts w:eastAsia="Arial Nova" w:cs="Arial Nova"/>
          <w:szCs w:val="20"/>
        </w:rPr>
        <w:footnoteReference w:id="123"/>
      </w:r>
      <w:r w:rsidRPr="00D44CF2">
        <w:rPr>
          <w:rFonts w:ascii="Arial Nova" w:eastAsia="Arial Nova" w:hAnsi="Arial Nova" w:cs="Arial Nova"/>
          <w:szCs w:val="20"/>
        </w:rPr>
        <w:t xml:space="preserve"> – the Victorian Government re-instated the SEC in October 2023 with an aim to invest in renewable energy and storage markets. The SEC’s strategic plan includes investing to accelerate the energy transition, supporting the switch to all-electric-households and building a renewable energy workforce. </w:t>
      </w:r>
    </w:p>
    <w:p w14:paraId="72763BCB" w14:textId="77777777" w:rsidR="00E77B70" w:rsidRPr="00D44CF2" w:rsidRDefault="00E77B70" w:rsidP="00E77B70">
      <w:pPr>
        <w:pStyle w:val="ListBullet"/>
        <w:rPr>
          <w:rFonts w:ascii="Arial Nova" w:eastAsia="Arial Nova" w:hAnsi="Arial Nova" w:cs="Arial Nova"/>
          <w:szCs w:val="20"/>
        </w:rPr>
      </w:pPr>
      <w:r w:rsidRPr="00D44CF2">
        <w:rPr>
          <w:rFonts w:ascii="Arial Nova" w:eastAsia="Arial Nova" w:hAnsi="Arial Nova" w:cs="Arial Nova"/>
          <w:b/>
          <w:bCs/>
          <w:szCs w:val="20"/>
        </w:rPr>
        <w:t>Victorian Emission Reduction Target</w:t>
      </w:r>
      <w:r w:rsidRPr="00D44CF2">
        <w:rPr>
          <w:rStyle w:val="FootnoteReference"/>
          <w:rFonts w:eastAsia="Arial Nova" w:cs="Arial Nova"/>
          <w:szCs w:val="20"/>
        </w:rPr>
        <w:footnoteReference w:id="124"/>
      </w:r>
      <w:r w:rsidRPr="00D44CF2">
        <w:rPr>
          <w:rFonts w:ascii="Arial Nova" w:eastAsia="Arial Nova" w:hAnsi="Arial Nova" w:cs="Arial Nova"/>
          <w:szCs w:val="20"/>
        </w:rPr>
        <w:t xml:space="preserve"> – in May 2023, the Victorian Government confirmed the new emission reduction target for 2035. The new targets to reduce the state’s emissions are 75-80% by 2035 and net zero emissions by 2045.</w:t>
      </w:r>
    </w:p>
    <w:p w14:paraId="3CE0BE54" w14:textId="77777777" w:rsidR="00E77B70" w:rsidRPr="00D44CF2" w:rsidRDefault="00E77B70" w:rsidP="00E77B70">
      <w:pPr>
        <w:pStyle w:val="ListBullet"/>
        <w:rPr>
          <w:rFonts w:ascii="Arial Nova" w:eastAsia="Arial Nova" w:hAnsi="Arial Nova" w:cs="Arial Nova"/>
          <w:szCs w:val="20"/>
        </w:rPr>
      </w:pPr>
      <w:r w:rsidRPr="00D44CF2">
        <w:rPr>
          <w:rFonts w:ascii="Arial Nova" w:eastAsia="Arial Nova" w:hAnsi="Arial Nova" w:cs="Arial Nova"/>
          <w:b/>
          <w:bCs/>
          <w:szCs w:val="20"/>
        </w:rPr>
        <w:t>Energy innovation fund</w:t>
      </w:r>
      <w:r w:rsidRPr="00D44CF2">
        <w:rPr>
          <w:rStyle w:val="FootnoteReference"/>
          <w:rFonts w:eastAsia="Arial Nova" w:cs="Arial Nova"/>
          <w:szCs w:val="20"/>
        </w:rPr>
        <w:footnoteReference w:id="125"/>
      </w:r>
      <w:r w:rsidRPr="00D44CF2">
        <w:rPr>
          <w:rFonts w:ascii="Arial Nova" w:eastAsia="Arial Nova" w:hAnsi="Arial Nova" w:cs="Arial Nova"/>
          <w:szCs w:val="20"/>
        </w:rPr>
        <w:t xml:space="preserve"> – in addition to the three offshore wind projects that secured funding under Round 1 (completed in March 2022) to support feasibility and pre-construction activities, four other projects secured funding under Round 2, including Terang 100 MW/200 MWh GFM energy storage and the Yarra Valley Water </w:t>
      </w:r>
      <w:r w:rsidRPr="00D44CF2">
        <w:rPr>
          <w:rFonts w:ascii="Arial Nova" w:eastAsia="Arial Nova" w:hAnsi="Arial Nova" w:cs="Arial Nova"/>
          <w:szCs w:val="20"/>
        </w:rPr>
        <w:lastRenderedPageBreak/>
        <w:t>Hydrogen project. Round 3, announced on 25 June 2025 and anticipated to open applications in September 2025, will be dedicated to industrial electrification, with a focus on the food and beverage processing and manufacturing sector.</w:t>
      </w:r>
    </w:p>
    <w:p w14:paraId="14F25F6E" w14:textId="5734E965" w:rsidR="00E77B70" w:rsidRPr="00D44CF2" w:rsidRDefault="00E77B70" w:rsidP="00E77B70">
      <w:pPr>
        <w:pStyle w:val="ListBullet"/>
        <w:rPr>
          <w:rFonts w:ascii="Arial Nova" w:eastAsia="Arial Nova" w:hAnsi="Arial Nova" w:cs="Arial Nova"/>
          <w:szCs w:val="20"/>
        </w:rPr>
      </w:pPr>
      <w:r w:rsidRPr="00D44CF2">
        <w:rPr>
          <w:rFonts w:ascii="Arial Nova" w:eastAsia="Arial Nova" w:hAnsi="Arial Nova" w:cs="Arial Nova"/>
          <w:b/>
          <w:bCs/>
          <w:szCs w:val="20"/>
        </w:rPr>
        <w:t>Solar Homes Program</w:t>
      </w:r>
      <w:r w:rsidRPr="00D44CF2">
        <w:rPr>
          <w:rStyle w:val="FootnoteReference"/>
          <w:rFonts w:eastAsia="Arial Nova" w:cs="Arial Nova"/>
          <w:szCs w:val="20"/>
        </w:rPr>
        <w:footnoteReference w:id="126"/>
      </w:r>
      <w:r w:rsidRPr="00D44CF2">
        <w:rPr>
          <w:rFonts w:ascii="Arial Nova" w:eastAsia="Arial Nova" w:hAnsi="Arial Nova" w:cs="Arial Nova"/>
          <w:szCs w:val="20"/>
        </w:rPr>
        <w:t xml:space="preserve"> – Solar Victoria released its Notice to Market for 2025-26, introducing two new mandatory requirements and eight new recommendations to help customers realise their investments in CER, maintain the focus on consumer protections, and continue to uplift the safety and quality of products and systems installed under the program. The Technology Guideline</w:t>
      </w:r>
      <w:r w:rsidRPr="00D44CF2">
        <w:rPr>
          <w:rStyle w:val="FootnoteReference"/>
          <w:rFonts w:eastAsia="Arial Nova" w:cs="Arial Nova"/>
          <w:szCs w:val="20"/>
        </w:rPr>
        <w:footnoteReference w:id="127"/>
      </w:r>
      <w:r w:rsidRPr="00D44CF2">
        <w:rPr>
          <w:rFonts w:ascii="Arial Nova" w:eastAsia="Arial Nova" w:hAnsi="Arial Nova" w:cs="Arial Nova"/>
          <w:szCs w:val="20"/>
        </w:rPr>
        <w:t xml:space="preserve"> outlines how technology will be adopted over the life of the Solar Homes Program and commits to three priority areas that will help steer the technology supported by the program towards smarter energy use and innovation to benefit all Victorians. </w:t>
      </w:r>
    </w:p>
    <w:p w14:paraId="3143BA4E" w14:textId="3F885F53" w:rsidR="00E77B70" w:rsidRPr="00D44CF2" w:rsidRDefault="00E77B70" w:rsidP="00E77B70">
      <w:pPr>
        <w:pStyle w:val="ListBullet"/>
        <w:rPr>
          <w:rFonts w:ascii="Arial Nova" w:eastAsia="Arial Nova" w:hAnsi="Arial Nova" w:cs="Arial Nova"/>
          <w:szCs w:val="20"/>
        </w:rPr>
      </w:pPr>
      <w:r w:rsidRPr="00D44CF2">
        <w:rPr>
          <w:rFonts w:ascii="Arial Nova" w:eastAsia="Arial Nova" w:hAnsi="Arial Nova" w:cs="Arial Nova"/>
          <w:b/>
          <w:bCs/>
          <w:szCs w:val="20"/>
        </w:rPr>
        <w:t>Victoria’s Gas Substitution Roadmap</w:t>
      </w:r>
      <w:r w:rsidRPr="00D44CF2">
        <w:rPr>
          <w:rStyle w:val="FootnoteReference"/>
          <w:rFonts w:eastAsia="Arial Nova" w:cs="Arial Nova"/>
          <w:szCs w:val="20"/>
        </w:rPr>
        <w:footnoteReference w:id="128"/>
      </w:r>
      <w:r w:rsidRPr="00D44CF2">
        <w:rPr>
          <w:rFonts w:ascii="Arial Nova" w:eastAsia="Arial Nova" w:hAnsi="Arial Nova" w:cs="Arial Nova"/>
          <w:szCs w:val="20"/>
        </w:rPr>
        <w:t xml:space="preserve"> – this roadmap was introduced in 2022,</w:t>
      </w:r>
      <w:r w:rsidRPr="00D44CF2">
        <w:rPr>
          <w:rFonts w:ascii="Arial Nova" w:eastAsia="Arial Nova" w:hAnsi="Arial Nova" w:cs="Arial Nova"/>
          <w:b/>
          <w:bCs/>
          <w:szCs w:val="20"/>
        </w:rPr>
        <w:t xml:space="preserve"> </w:t>
      </w:r>
      <w:r w:rsidRPr="00D44CF2">
        <w:rPr>
          <w:rFonts w:ascii="Arial Nova" w:eastAsia="Arial Nova" w:hAnsi="Arial Nova" w:cs="Arial Nova"/>
          <w:szCs w:val="20"/>
        </w:rPr>
        <w:t xml:space="preserve">aiming to empower households and businesses in Victoria to embrace sustainable and cost-effective alternatives from fossil gas. In the update to the roadmap published in May 2024, from 1 January 2027 new homes requiring a planning permit must be built all-electric. </w:t>
      </w:r>
    </w:p>
    <w:p w14:paraId="0E4F16C9" w14:textId="77777777" w:rsidR="00E77B70" w:rsidRPr="00D44CF2" w:rsidRDefault="00E77B70" w:rsidP="00E77B70">
      <w:pPr>
        <w:pStyle w:val="ListBullet"/>
      </w:pPr>
      <w:r w:rsidRPr="00D44CF2">
        <w:rPr>
          <w:b/>
          <w:bCs/>
        </w:rPr>
        <w:t>Capacity Investment Scheme (CIS)</w:t>
      </w:r>
      <w:r w:rsidRPr="00D44CF2">
        <w:rPr>
          <w:rStyle w:val="FootnoteReference"/>
          <w:rFonts w:eastAsia="Arial Nova" w:cs="Arial Nova"/>
          <w:szCs w:val="20"/>
        </w:rPr>
        <w:footnoteReference w:id="129"/>
      </w:r>
      <w:r w:rsidRPr="00D44CF2">
        <w:t xml:space="preserve"> – the CIS is a Federal Government revenue underwriting scheme to accelerate investment in renewable energy generation, such as wind and solar, as well as clean dispatchable capacity, such as battery storage. On 29 July 2025, the Federal Government uplifted the CIS capacity to a total of 40 GW, which will be 26 GW of renewable generation capacity and 14 GW of clean dispatchable capacity. The expanded CIS will be rolled out from 2024 to 2027.</w:t>
      </w:r>
    </w:p>
    <w:p w14:paraId="0B29C556" w14:textId="77777777" w:rsidR="00E77B70" w:rsidRPr="00D44CF2" w:rsidRDefault="00E77B70" w:rsidP="00E77B70">
      <w:pPr>
        <w:pStyle w:val="AppendixHeading"/>
        <w:numPr>
          <w:ilvl w:val="0"/>
          <w:numId w:val="0"/>
        </w:numPr>
        <w:ind w:left="284"/>
        <w:sectPr w:rsidR="00E77B70" w:rsidRPr="00D44CF2" w:rsidSect="00E77B70">
          <w:headerReference w:type="even" r:id="rId101"/>
          <w:headerReference w:type="default" r:id="rId102"/>
          <w:footerReference w:type="even" r:id="rId103"/>
          <w:footerReference w:type="default" r:id="rId104"/>
          <w:headerReference w:type="first" r:id="rId105"/>
          <w:footerReference w:type="first" r:id="rId106"/>
          <w:pgSz w:w="11907" w:h="16840" w:code="9"/>
          <w:pgMar w:top="1985" w:right="907" w:bottom="1418" w:left="907" w:header="788" w:footer="471" w:gutter="0"/>
          <w:cols w:space="708"/>
          <w:docGrid w:linePitch="360"/>
        </w:sectPr>
      </w:pPr>
      <w:bookmarkStart w:id="302" w:name="_Toc149230050"/>
      <w:bookmarkStart w:id="303" w:name="_Toc149638116"/>
      <w:bookmarkStart w:id="304" w:name="_Ref177639679"/>
      <w:bookmarkStart w:id="305" w:name="_Ref178763317"/>
      <w:bookmarkStart w:id="306" w:name="_Toc180159698"/>
    </w:p>
    <w:p w14:paraId="5C841D14" w14:textId="77777777" w:rsidR="00E77B70" w:rsidRPr="00D44CF2" w:rsidRDefault="00E77B70" w:rsidP="00E77B70">
      <w:pPr>
        <w:pStyle w:val="AppendixHeading"/>
      </w:pPr>
      <w:bookmarkStart w:id="307" w:name="_Ref210751541"/>
      <w:bookmarkStart w:id="308" w:name="_Ref210806064"/>
      <w:bookmarkStart w:id="309" w:name="_Ref210806173"/>
      <w:bookmarkStart w:id="310" w:name="_Toc212023291"/>
      <w:r w:rsidRPr="00D44CF2">
        <w:lastRenderedPageBreak/>
        <w:t>Approach to network limitation review</w:t>
      </w:r>
      <w:bookmarkEnd w:id="302"/>
      <w:bookmarkEnd w:id="303"/>
      <w:bookmarkEnd w:id="304"/>
      <w:bookmarkEnd w:id="305"/>
      <w:bookmarkEnd w:id="306"/>
      <w:bookmarkEnd w:id="307"/>
      <w:bookmarkEnd w:id="308"/>
      <w:bookmarkEnd w:id="309"/>
      <w:bookmarkEnd w:id="310"/>
    </w:p>
    <w:p w14:paraId="535C61E1" w14:textId="77777777" w:rsidR="00E77B70" w:rsidRPr="00D44CF2" w:rsidRDefault="00E77B70" w:rsidP="00E77B70">
      <w:pPr>
        <w:pStyle w:val="BodyText"/>
      </w:pPr>
      <w:r w:rsidRPr="00D44CF2">
        <w:t>To identify network augmentation needs, AVP investigates transmission network limitations by:</w:t>
      </w:r>
    </w:p>
    <w:p w14:paraId="1A23D7DF" w14:textId="77777777" w:rsidR="00E77B70" w:rsidRPr="00D44CF2" w:rsidRDefault="00E77B70" w:rsidP="00E77B70">
      <w:pPr>
        <w:pStyle w:val="ListBullet"/>
        <w:numPr>
          <w:ilvl w:val="0"/>
          <w:numId w:val="88"/>
        </w:numPr>
      </w:pPr>
      <w:r w:rsidRPr="00D44CF2">
        <w:t>reviewing historical network performance over the previous year, noting that past performance is becoming a weaker indicator of future performance as the demands on the DSN change</w:t>
      </w:r>
      <w:r w:rsidRPr="00D44CF2">
        <w:rPr>
          <w:rStyle w:val="FootnoteReference"/>
        </w:rPr>
        <w:footnoteReference w:id="130"/>
      </w:r>
      <w:r w:rsidRPr="00D44CF2">
        <w:t>, and</w:t>
      </w:r>
    </w:p>
    <w:p w14:paraId="6C1D4566" w14:textId="526DBD92" w:rsidR="00E77B70" w:rsidRPr="00D44CF2" w:rsidRDefault="00E77B70" w:rsidP="00E77B70">
      <w:pPr>
        <w:pStyle w:val="ListBullet"/>
        <w:numPr>
          <w:ilvl w:val="0"/>
          <w:numId w:val="88"/>
        </w:numPr>
      </w:pPr>
      <w:r w:rsidRPr="00D44CF2">
        <w:t xml:space="preserve">reviewing future network performance under a range of demand and generation scenarios considering government policy and economic growth projections described in Section </w:t>
      </w:r>
      <w:r w:rsidRPr="00D44CF2">
        <w:fldChar w:fldCharType="begin"/>
      </w:r>
      <w:r w:rsidRPr="00D44CF2">
        <w:instrText xml:space="preserve"> REF _Ref177639420 \n \h </w:instrText>
      </w:r>
      <w:r w:rsidR="00D44CF2">
        <w:instrText xml:space="preserve"> \* MERGEFORMAT </w:instrText>
      </w:r>
      <w:r w:rsidRPr="00D44CF2">
        <w:fldChar w:fldCharType="separate"/>
      </w:r>
      <w:r w:rsidR="004973D2">
        <w:t>2</w:t>
      </w:r>
      <w:r w:rsidRPr="00D44CF2">
        <w:fldChar w:fldCharType="end"/>
      </w:r>
      <w:r w:rsidRPr="00D44CF2">
        <w:t xml:space="preserve"> and Section </w:t>
      </w:r>
      <w:r w:rsidRPr="00D44CF2">
        <w:fldChar w:fldCharType="begin"/>
      </w:r>
      <w:r w:rsidRPr="00D44CF2">
        <w:instrText xml:space="preserve"> REF _Ref177639457 \r \h </w:instrText>
      </w:r>
      <w:r w:rsidR="00D44CF2">
        <w:instrText xml:space="preserve"> \* MERGEFORMAT </w:instrText>
      </w:r>
      <w:r w:rsidRPr="00D44CF2">
        <w:fldChar w:fldCharType="separate"/>
      </w:r>
      <w:r w:rsidR="004973D2">
        <w:t>3</w:t>
      </w:r>
      <w:r w:rsidRPr="00D44CF2">
        <w:fldChar w:fldCharType="end"/>
      </w:r>
      <w:r w:rsidRPr="00D44CF2">
        <w:t xml:space="preserve">, through exploratory studies in this section. </w:t>
      </w:r>
    </w:p>
    <w:p w14:paraId="39FC4D85" w14:textId="77777777" w:rsidR="00E77B70" w:rsidRPr="00D44CF2" w:rsidRDefault="00E77B70" w:rsidP="00E77B70">
      <w:pPr>
        <w:pStyle w:val="BodyText"/>
      </w:pPr>
      <w:r w:rsidRPr="00D44CF2">
        <w:t>For the purposes of the VAPR, a limitation is defined as a network element or location that, in the next 10 years:</w:t>
      </w:r>
    </w:p>
    <w:p w14:paraId="1F36BDB6" w14:textId="77777777" w:rsidR="00E77B70" w:rsidRPr="00D44CF2" w:rsidRDefault="00E77B70" w:rsidP="00E77B70">
      <w:pPr>
        <w:pStyle w:val="ListBullet"/>
        <w:numPr>
          <w:ilvl w:val="0"/>
          <w:numId w:val="89"/>
        </w:numPr>
      </w:pPr>
      <w:r w:rsidRPr="00D44CF2">
        <w:t>is forecast to be loaded to 90% of its continuous rating of a DSN network element, or experience voltages outside its normal voltage range, during system normal operating conditions,</w:t>
      </w:r>
    </w:p>
    <w:p w14:paraId="1218B328" w14:textId="77777777" w:rsidR="00E77B70" w:rsidRPr="00D44CF2" w:rsidRDefault="00E77B70" w:rsidP="00E77B70">
      <w:pPr>
        <w:pStyle w:val="ListBullet"/>
        <w:numPr>
          <w:ilvl w:val="0"/>
          <w:numId w:val="89"/>
        </w:numPr>
      </w:pPr>
      <w:r w:rsidRPr="00D44CF2">
        <w:t>is forecast to be loaded to 90% of its short-term rating of a DSN network element, or experience voltages outside its contingency voltage range, following a credible contingency event,</w:t>
      </w:r>
    </w:p>
    <w:p w14:paraId="589DB64F" w14:textId="77777777" w:rsidR="00E77B70" w:rsidRPr="00D44CF2" w:rsidRDefault="00E77B70" w:rsidP="00E77B70">
      <w:pPr>
        <w:pStyle w:val="ListBullet"/>
        <w:numPr>
          <w:ilvl w:val="0"/>
          <w:numId w:val="89"/>
        </w:numPr>
      </w:pPr>
      <w:r w:rsidRPr="00D44CF2">
        <w:t>does not maintain the minimum three phase fault level or stable voltage waveform system strength standard for that location as determined under by AEMO under NER 5.20C.1,</w:t>
      </w:r>
    </w:p>
    <w:p w14:paraId="3567D80E" w14:textId="77777777" w:rsidR="00E77B70" w:rsidRPr="00D44CF2" w:rsidRDefault="00E77B70" w:rsidP="00E77B70">
      <w:pPr>
        <w:pStyle w:val="ListBullet"/>
        <w:numPr>
          <w:ilvl w:val="0"/>
          <w:numId w:val="89"/>
        </w:numPr>
      </w:pPr>
      <w:r w:rsidRPr="00D44CF2">
        <w:t>has voltage unbalance levels which do not meet the requirements outlined in NER 5.1a.7,</w:t>
      </w:r>
    </w:p>
    <w:p w14:paraId="6BD86561" w14:textId="77777777" w:rsidR="00E77B70" w:rsidRPr="00D44CF2" w:rsidRDefault="00E77B70" w:rsidP="00E77B70">
      <w:pPr>
        <w:pStyle w:val="ListBullet"/>
        <w:numPr>
          <w:ilvl w:val="0"/>
          <w:numId w:val="89"/>
        </w:numPr>
      </w:pPr>
      <w:r w:rsidRPr="00D44CF2">
        <w:t>has typical inertia dispatched being less than the secure operating level of inertia, where the typical inertia is the value at one standard deviation below the mean and the secure operating level of inertia is the minimum level of inertia required to operate an islanded inertia sub-network in a secure operating state</w:t>
      </w:r>
      <w:r w:rsidRPr="00D44CF2">
        <w:rPr>
          <w:vertAlign w:val="superscript"/>
        </w:rPr>
        <w:footnoteReference w:id="131"/>
      </w:r>
      <w:r w:rsidRPr="00D44CF2">
        <w:t xml:space="preserve">, </w:t>
      </w:r>
    </w:p>
    <w:p w14:paraId="67B62156" w14:textId="77777777" w:rsidR="00E77B70" w:rsidRPr="00D44CF2" w:rsidRDefault="00E77B70" w:rsidP="00E77B70">
      <w:pPr>
        <w:pStyle w:val="ListBullet"/>
        <w:numPr>
          <w:ilvl w:val="0"/>
          <w:numId w:val="89"/>
        </w:numPr>
      </w:pPr>
      <w:r w:rsidRPr="00D44CF2">
        <w:t>does not maintain sufficient reactive margins following a credible contingency event as outlined in NER 5.1.8,</w:t>
      </w:r>
    </w:p>
    <w:p w14:paraId="5129DE0C" w14:textId="77777777" w:rsidR="00E77B70" w:rsidRPr="00D44CF2" w:rsidRDefault="00E77B70" w:rsidP="00E77B70">
      <w:pPr>
        <w:pStyle w:val="ListBullet"/>
        <w:numPr>
          <w:ilvl w:val="0"/>
          <w:numId w:val="89"/>
        </w:numPr>
      </w:pPr>
      <w:r w:rsidRPr="00D44CF2">
        <w:t>does not meet the requirements for steady-state magnitude of power frequency voltage outlined in NER 5.1.4,</w:t>
      </w:r>
    </w:p>
    <w:p w14:paraId="4E384B39" w14:textId="77777777" w:rsidR="00E77B70" w:rsidRPr="00D44CF2" w:rsidRDefault="00E77B70" w:rsidP="00E77B70">
      <w:pPr>
        <w:pStyle w:val="ListBullet"/>
        <w:numPr>
          <w:ilvl w:val="0"/>
          <w:numId w:val="89"/>
        </w:numPr>
      </w:pPr>
      <w:r w:rsidRPr="00D44CF2">
        <w:t>has a fault level shortfall as outlined in NER 11.143.14, or</w:t>
      </w:r>
    </w:p>
    <w:p w14:paraId="60AAB3E1" w14:textId="77777777" w:rsidR="00E77B70" w:rsidRPr="00D44CF2" w:rsidRDefault="00E77B70" w:rsidP="00E77B70">
      <w:pPr>
        <w:pStyle w:val="ListBullet"/>
        <w:numPr>
          <w:ilvl w:val="0"/>
          <w:numId w:val="89"/>
        </w:numPr>
      </w:pPr>
      <w:r w:rsidRPr="00D44CF2">
        <w:t>has a heavily restricted outage window due to other constraints and limitations.</w:t>
      </w:r>
    </w:p>
    <w:p w14:paraId="0FC3A757" w14:textId="77777777" w:rsidR="00E77B70" w:rsidRPr="00D44CF2" w:rsidRDefault="00E77B70" w:rsidP="00E77B70">
      <w:pPr>
        <w:pStyle w:val="BodyText"/>
      </w:pPr>
      <w:r w:rsidRPr="00D44CF2">
        <w:t>Exploratory studies, which mainly include screening and trigger studies, are carried out to identify DSN thermal and voltage control limitations that may emerge over the next 10 years. Screening studies are used to identify expected limitations, while trigger studies are used to test the system under more extreme scenarios to identify conditions that trigger further limitations.</w:t>
      </w:r>
    </w:p>
    <w:p w14:paraId="5FF77DF5" w14:textId="77777777" w:rsidR="00E77B70" w:rsidRPr="00D44CF2" w:rsidRDefault="00E77B70" w:rsidP="00E77B70">
      <w:pPr>
        <w:pStyle w:val="BodyText"/>
      </w:pPr>
      <w:r w:rsidRPr="00D44CF2">
        <w:t>The VAPR analysis always incorporates a full set of state-wide screening studies, and specific trigger studies are undertaken if necessary to examine the triggers likely to cause transmission network limitations beyond the current 10-year forecasts of generation, demand, or other planning inputs.</w:t>
      </w:r>
    </w:p>
    <w:p w14:paraId="34A8198A" w14:textId="77777777" w:rsidR="00E77B70" w:rsidRPr="00D44CF2" w:rsidRDefault="00E77B70" w:rsidP="00E77B70">
      <w:pPr>
        <w:pStyle w:val="BodyText"/>
        <w:rPr>
          <w:rStyle w:val="normaltextrun"/>
          <w:rFonts w:ascii="Arial Nova" w:hAnsi="Arial Nova" w:cs="Segoe UI"/>
          <w:color w:val="424242"/>
          <w:szCs w:val="20"/>
        </w:rPr>
      </w:pPr>
      <w:r w:rsidRPr="00D44CF2">
        <w:lastRenderedPageBreak/>
        <w:t>Screening studies identify limitations by assessing network performance in terms of security and performance obligations under a range of different power system configurations. Security and performance obligations define the transmission system’s technical limitations (for example, voltage ranges, thermal limits, stability limits, maximum fault currents, and fault clearance requirements). These obligations ensure that connected assets (and the power system itself) are designed to operate within known technical limits.</w:t>
      </w:r>
    </w:p>
    <w:p w14:paraId="2FE88E70" w14:textId="77777777" w:rsidR="00E77B70" w:rsidRPr="00D44CF2" w:rsidRDefault="00E77B70" w:rsidP="00E77B70">
      <w:pPr>
        <w:pStyle w:val="BodyText"/>
        <w:rPr>
          <w:rFonts w:ascii="Segoe UI" w:hAnsi="Segoe UI"/>
          <w:sz w:val="18"/>
          <w:szCs w:val="18"/>
        </w:rPr>
      </w:pPr>
      <w:r w:rsidRPr="00D44CF2">
        <w:rPr>
          <w:rStyle w:val="normaltextrun"/>
          <w:rFonts w:ascii="Arial Nova" w:hAnsi="Arial Nova" w:cs="Segoe UI"/>
          <w:color w:val="424242"/>
          <w:szCs w:val="20"/>
        </w:rPr>
        <w:t xml:space="preserve">In assessing the impact of </w:t>
      </w:r>
      <w:r w:rsidRPr="00D44CF2">
        <w:rPr>
          <w:rStyle w:val="normaltextrun"/>
        </w:rPr>
        <w:t>limitations</w:t>
      </w:r>
      <w:r w:rsidRPr="00D44CF2">
        <w:rPr>
          <w:rStyle w:val="normaltextrun"/>
          <w:rFonts w:ascii="Arial Nova" w:hAnsi="Arial Nova" w:cs="Segoe UI"/>
          <w:color w:val="424242"/>
          <w:szCs w:val="20"/>
        </w:rPr>
        <w:t>, AVP considers information from power system performance analysis each year for the next 10 years regarding: </w:t>
      </w:r>
      <w:r w:rsidRPr="00D44CF2">
        <w:rPr>
          <w:rStyle w:val="eop"/>
          <w:rFonts w:ascii="Arial Nova" w:hAnsi="Arial Nova" w:cs="Segoe UI"/>
          <w:color w:val="424242"/>
          <w:szCs w:val="20"/>
        </w:rPr>
        <w:t> </w:t>
      </w:r>
    </w:p>
    <w:p w14:paraId="07AD2739" w14:textId="768C2CE4" w:rsidR="00E77B70" w:rsidRPr="00D44CF2" w:rsidRDefault="00E77B70" w:rsidP="00E77B70">
      <w:pPr>
        <w:pStyle w:val="ListBullet"/>
        <w:rPr>
          <w:rStyle w:val="eop"/>
        </w:rPr>
      </w:pPr>
      <w:r w:rsidRPr="00D44CF2">
        <w:rPr>
          <w:rStyle w:val="normaltextrun"/>
        </w:rPr>
        <w:t>the percentage n and n</w:t>
      </w:r>
      <w:r w:rsidR="00AB20FC">
        <w:rPr>
          <w:rStyle w:val="normaltextrun"/>
        </w:rPr>
        <w:t>-</w:t>
      </w:r>
      <w:r w:rsidRPr="00D44CF2">
        <w:rPr>
          <w:rStyle w:val="normaltextrun"/>
        </w:rPr>
        <w:t>1 loadings of transmission plant associated with the netwo</w:t>
      </w:r>
      <w:r w:rsidRPr="00D44CF2">
        <w:rPr>
          <w:rStyle w:val="normaltextrun"/>
          <w:rFonts w:eastAsiaTheme="minorEastAsia"/>
          <w:szCs w:val="20"/>
        </w:rPr>
        <w:t>rk thermal capacity</w:t>
      </w:r>
      <w:r w:rsidRPr="00D44CF2">
        <w:rPr>
          <w:color w:val="auto"/>
        </w:rPr>
        <w:t xml:space="preserve"> </w:t>
      </w:r>
      <w:r w:rsidRPr="00D44CF2">
        <w:rPr>
          <w:rStyle w:val="normaltextrun"/>
        </w:rPr>
        <w:t>limitation, based on the continuous and short-term ratings respectively, </w:t>
      </w:r>
      <w:r w:rsidRPr="00D44CF2">
        <w:rPr>
          <w:rStyle w:val="eop"/>
        </w:rPr>
        <w:t> </w:t>
      </w:r>
    </w:p>
    <w:p w14:paraId="18C66298" w14:textId="77777777" w:rsidR="00E77B70" w:rsidRPr="00D44CF2" w:rsidRDefault="00E77B70" w:rsidP="00E77B70">
      <w:pPr>
        <w:pStyle w:val="ListBullet"/>
        <w:numPr>
          <w:ilvl w:val="0"/>
          <w:numId w:val="90"/>
        </w:numPr>
      </w:pPr>
      <w:r w:rsidRPr="00D44CF2">
        <w:rPr>
          <w:rStyle w:val="normaltextrun"/>
        </w:rPr>
        <w:t>the load and energy at risk (load at risk is the load shedding required to avoid the network limitation),</w:t>
      </w:r>
      <w:r w:rsidRPr="00D44CF2">
        <w:rPr>
          <w:rStyle w:val="eop"/>
        </w:rPr>
        <w:t> </w:t>
      </w:r>
    </w:p>
    <w:p w14:paraId="0DC10D21" w14:textId="77777777" w:rsidR="00E77B70" w:rsidRPr="00D44CF2" w:rsidRDefault="00E77B70" w:rsidP="00E77B70">
      <w:pPr>
        <w:pStyle w:val="ListBullet"/>
        <w:numPr>
          <w:ilvl w:val="0"/>
          <w:numId w:val="90"/>
        </w:numPr>
      </w:pPr>
      <w:r w:rsidRPr="00D44CF2">
        <w:rPr>
          <w:rStyle w:val="normaltextrun"/>
        </w:rPr>
        <w:t>expected unserved energy, which is the energy at risk after accounting for forced outages</w:t>
      </w:r>
      <w:r w:rsidRPr="00D44CF2">
        <w:rPr>
          <w:rStyle w:val="eop"/>
        </w:rPr>
        <w:t>,</w:t>
      </w:r>
    </w:p>
    <w:p w14:paraId="42216F66" w14:textId="77777777" w:rsidR="00E77B70" w:rsidRPr="00D44CF2" w:rsidRDefault="00E77B70" w:rsidP="00E77B70">
      <w:pPr>
        <w:pStyle w:val="ListBullet"/>
        <w:numPr>
          <w:ilvl w:val="0"/>
          <w:numId w:val="90"/>
        </w:numPr>
      </w:pPr>
      <w:r w:rsidRPr="00D44CF2">
        <w:rPr>
          <w:rStyle w:val="normaltextrun"/>
        </w:rPr>
        <w:t>dispatch cost, which is the additional cost from constraining generation, and</w:t>
      </w:r>
      <w:r w:rsidRPr="00D44CF2">
        <w:rPr>
          <w:rStyle w:val="eop"/>
        </w:rPr>
        <w:t> </w:t>
      </w:r>
    </w:p>
    <w:p w14:paraId="17BB6FAD" w14:textId="77777777" w:rsidR="00E77B70" w:rsidRPr="00D44CF2" w:rsidRDefault="00E77B70" w:rsidP="00E77B70">
      <w:pPr>
        <w:pStyle w:val="ListBullet"/>
        <w:numPr>
          <w:ilvl w:val="0"/>
          <w:numId w:val="90"/>
        </w:numPr>
      </w:pPr>
      <w:r w:rsidRPr="00D44CF2">
        <w:rPr>
          <w:rStyle w:val="normaltextrun"/>
        </w:rPr>
        <w:t>limitation cost, which is the total additional cost due to both constraining generators and expected unserved energy. </w:t>
      </w:r>
      <w:r w:rsidRPr="00D44CF2">
        <w:rPr>
          <w:rStyle w:val="eop"/>
        </w:rPr>
        <w:t> </w:t>
      </w:r>
    </w:p>
    <w:p w14:paraId="0CB80E9A" w14:textId="77777777" w:rsidR="00E77B70" w:rsidRPr="00D44CF2" w:rsidRDefault="00E77B70" w:rsidP="00E77B70">
      <w:pPr>
        <w:pStyle w:val="BodyText"/>
        <w:rPr>
          <w:rFonts w:ascii="Segoe UI" w:hAnsi="Segoe UI"/>
          <w:sz w:val="18"/>
          <w:szCs w:val="18"/>
        </w:rPr>
      </w:pPr>
      <w:r w:rsidRPr="00D44CF2">
        <w:rPr>
          <w:rStyle w:val="normaltextrun"/>
          <w:rFonts w:ascii="Arial Nova" w:hAnsi="Arial Nova" w:cs="Segoe UI"/>
          <w:color w:val="424242"/>
          <w:szCs w:val="20"/>
        </w:rPr>
        <w:t xml:space="preserve">Power system </w:t>
      </w:r>
      <w:r w:rsidRPr="00D44CF2">
        <w:rPr>
          <w:rStyle w:val="normaltextrun"/>
        </w:rPr>
        <w:t>performance</w:t>
      </w:r>
      <w:r w:rsidRPr="00D44CF2">
        <w:rPr>
          <w:rStyle w:val="normaltextrun"/>
          <w:rFonts w:ascii="Arial Nova" w:hAnsi="Arial Nova" w:cs="Segoe UI"/>
          <w:color w:val="424242"/>
          <w:szCs w:val="20"/>
        </w:rPr>
        <w:t xml:space="preserve"> analysis uses conservative assumptions for demand, temperature, and wind speed to capture as many network limitations as possible for market simulation. For this reason, DSN performance analysis results (that is, the percentage loadings) can show more severe impacts than market simulations. AVP derives forecast transmission plant loadings using load flow simulations and develops load flow base cases for these simulations using inputs and assumptions aligned with AEMO’s latest IASR wherever possible. Key assumptions and inputs include: </w:t>
      </w:r>
      <w:r w:rsidRPr="00D44CF2">
        <w:rPr>
          <w:rStyle w:val="eop"/>
          <w:rFonts w:ascii="Arial Nova" w:hAnsi="Arial Nova" w:cs="Segoe UI"/>
          <w:color w:val="424242"/>
          <w:szCs w:val="20"/>
        </w:rPr>
        <w:t> </w:t>
      </w:r>
    </w:p>
    <w:p w14:paraId="0C14D9C1" w14:textId="77777777" w:rsidR="00E77B70" w:rsidRPr="00D44CF2" w:rsidRDefault="00E77B70" w:rsidP="00E77B70">
      <w:pPr>
        <w:pStyle w:val="ListBullet"/>
        <w:numPr>
          <w:ilvl w:val="0"/>
          <w:numId w:val="91"/>
        </w:numPr>
      </w:pPr>
      <w:r w:rsidRPr="00D44CF2">
        <w:rPr>
          <w:rStyle w:val="normaltextrun"/>
          <w:rFonts w:ascii="Arial Nova" w:hAnsi="Arial Nova" w:cs="Segoe UI"/>
          <w:color w:val="424242"/>
          <w:szCs w:val="20"/>
        </w:rPr>
        <w:t xml:space="preserve">the 10% POE </w:t>
      </w:r>
      <w:r w:rsidRPr="00D44CF2">
        <w:rPr>
          <w:rStyle w:val="normaltextrun"/>
        </w:rPr>
        <w:t>terminal station demand for maximum demand base cases,</w:t>
      </w:r>
    </w:p>
    <w:p w14:paraId="16F2703F" w14:textId="77777777" w:rsidR="00E77B70" w:rsidRPr="00D44CF2" w:rsidRDefault="00E77B70" w:rsidP="00E77B70">
      <w:pPr>
        <w:pStyle w:val="ListBullet"/>
        <w:numPr>
          <w:ilvl w:val="0"/>
          <w:numId w:val="91"/>
        </w:numPr>
      </w:pPr>
      <w:r w:rsidRPr="00D44CF2">
        <w:rPr>
          <w:rStyle w:val="normaltextrun"/>
        </w:rPr>
        <w:t>historical maximum power transfers for a high Victoria to New South Wales power transfer base case, </w:t>
      </w:r>
      <w:r w:rsidRPr="00D44CF2">
        <w:rPr>
          <w:rStyle w:val="eop"/>
        </w:rPr>
        <w:t> </w:t>
      </w:r>
    </w:p>
    <w:p w14:paraId="6DC8DE07" w14:textId="77777777" w:rsidR="00E77B70" w:rsidRPr="00D44CF2" w:rsidRDefault="00E77B70" w:rsidP="00E77B70">
      <w:pPr>
        <w:pStyle w:val="ListBullet"/>
        <w:numPr>
          <w:ilvl w:val="0"/>
          <w:numId w:val="91"/>
        </w:numPr>
      </w:pPr>
      <w:r w:rsidRPr="00D44CF2">
        <w:rPr>
          <w:rStyle w:val="normaltextrun"/>
        </w:rPr>
        <w:t>typical generation dispatch and interconnector flow patterns under the given operating conditions,</w:t>
      </w:r>
    </w:p>
    <w:p w14:paraId="4DFA94C6" w14:textId="77777777" w:rsidR="00E77B70" w:rsidRPr="00D44CF2" w:rsidRDefault="00E77B70" w:rsidP="00E77B70">
      <w:pPr>
        <w:pStyle w:val="ListBullet"/>
        <w:numPr>
          <w:ilvl w:val="0"/>
          <w:numId w:val="91"/>
        </w:numPr>
      </w:pPr>
      <w:r w:rsidRPr="00D44CF2">
        <w:rPr>
          <w:rStyle w:val="normaltextrun"/>
        </w:rPr>
        <w:t>the system normal operational configuration for the existing Victorian transmission network,</w:t>
      </w:r>
    </w:p>
    <w:p w14:paraId="212A4EDE" w14:textId="77777777" w:rsidR="00E77B70" w:rsidRPr="00D44CF2" w:rsidRDefault="00E77B70" w:rsidP="00E77B70">
      <w:pPr>
        <w:pStyle w:val="ListBullet"/>
        <w:numPr>
          <w:ilvl w:val="0"/>
          <w:numId w:val="91"/>
        </w:numPr>
      </w:pPr>
      <w:r w:rsidRPr="00D44CF2">
        <w:rPr>
          <w:rStyle w:val="normaltextrun"/>
        </w:rPr>
        <w:t>committed transmission network augmentation and generation projects, and other likely future projects which AVP considers relevant to network limitation review,</w:t>
      </w:r>
      <w:r w:rsidRPr="00D44CF2">
        <w:rPr>
          <w:rStyle w:val="eop"/>
        </w:rPr>
        <w:t> </w:t>
      </w:r>
    </w:p>
    <w:p w14:paraId="6F205371" w14:textId="77777777" w:rsidR="00E77B70" w:rsidRPr="00D44CF2" w:rsidRDefault="00E77B70" w:rsidP="00E77B70">
      <w:pPr>
        <w:pStyle w:val="ListBullet"/>
        <w:numPr>
          <w:ilvl w:val="0"/>
          <w:numId w:val="91"/>
        </w:numPr>
      </w:pPr>
      <w:r w:rsidRPr="00D44CF2">
        <w:rPr>
          <w:rStyle w:val="normaltextrun"/>
        </w:rPr>
        <w:t>standard continuous ratings and short-term ratings at 45°C and 0.6 metres per second (m/s) wind speed,</w:t>
      </w:r>
      <w:r w:rsidRPr="00D44CF2">
        <w:rPr>
          <w:rStyle w:val="eop"/>
        </w:rPr>
        <w:t> </w:t>
      </w:r>
    </w:p>
    <w:p w14:paraId="462E0A1D" w14:textId="16EDA725" w:rsidR="00E77B70" w:rsidRPr="00D44CF2" w:rsidRDefault="00E77B70" w:rsidP="00E77B70">
      <w:pPr>
        <w:pStyle w:val="ListBullet"/>
        <w:numPr>
          <w:ilvl w:val="0"/>
          <w:numId w:val="91"/>
        </w:numPr>
      </w:pPr>
      <w:r w:rsidRPr="00D44CF2">
        <w:rPr>
          <w:rStyle w:val="normaltextrun"/>
        </w:rPr>
        <w:t xml:space="preserve">unless indicated, 15-minute ratings for transmission lines – some transmission lines in Victoria are equipped with automatic load shedding schemes, which avoid overloading by disconnecting load blocks following a contingency, and these schemes allow lines to operate to </w:t>
      </w:r>
      <w:r w:rsidR="00104304">
        <w:rPr>
          <w:rStyle w:val="normaltextrun"/>
        </w:rPr>
        <w:t>five</w:t>
      </w:r>
      <w:r w:rsidRPr="00D44CF2">
        <w:rPr>
          <w:rStyle w:val="normaltextrun"/>
        </w:rPr>
        <w:t>-minute ratings,</w:t>
      </w:r>
      <w:r w:rsidRPr="00D44CF2">
        <w:rPr>
          <w:rStyle w:val="eop"/>
        </w:rPr>
        <w:t> </w:t>
      </w:r>
    </w:p>
    <w:p w14:paraId="6F46E24F" w14:textId="77777777" w:rsidR="00E77B70" w:rsidRPr="00D44CF2" w:rsidRDefault="00E77B70" w:rsidP="00E77B70">
      <w:pPr>
        <w:pStyle w:val="ListBullet"/>
        <w:numPr>
          <w:ilvl w:val="0"/>
          <w:numId w:val="91"/>
        </w:numPr>
      </w:pPr>
      <w:r w:rsidRPr="00D44CF2">
        <w:rPr>
          <w:rStyle w:val="normaltextrun"/>
        </w:rPr>
        <w:t>the market impact of each network limitation, based on probabilistic market simulations that apply: </w:t>
      </w:r>
      <w:r w:rsidRPr="00D44CF2">
        <w:rPr>
          <w:rStyle w:val="eop"/>
        </w:rPr>
        <w:t> </w:t>
      </w:r>
    </w:p>
    <w:p w14:paraId="0D64E07F" w14:textId="77777777" w:rsidR="00E77B70" w:rsidRPr="00D44CF2" w:rsidRDefault="00E77B70" w:rsidP="00E77B70">
      <w:pPr>
        <w:pStyle w:val="ListBullet2"/>
        <w:numPr>
          <w:ilvl w:val="1"/>
          <w:numId w:val="92"/>
        </w:numPr>
      </w:pPr>
      <w:r w:rsidRPr="00D44CF2">
        <w:rPr>
          <w:rStyle w:val="normaltextrun"/>
        </w:rPr>
        <w:t>weighted 50% POE and 10% POE maximum demand forecasts (weighted 70% and 30% respectively),</w:t>
      </w:r>
      <w:r w:rsidRPr="00D44CF2">
        <w:rPr>
          <w:rStyle w:val="eop"/>
        </w:rPr>
        <w:t> </w:t>
      </w:r>
    </w:p>
    <w:p w14:paraId="72051BE9" w14:textId="77777777" w:rsidR="00E77B70" w:rsidRPr="00D44CF2" w:rsidRDefault="00E77B70" w:rsidP="00E77B70">
      <w:pPr>
        <w:pStyle w:val="ListBullet2"/>
        <w:numPr>
          <w:ilvl w:val="1"/>
          <w:numId w:val="92"/>
        </w:numPr>
      </w:pPr>
      <w:r w:rsidRPr="00D44CF2">
        <w:rPr>
          <w:rStyle w:val="normaltextrun"/>
        </w:rPr>
        <w:t>historical wind generation availability, and historical load profiles, and </w:t>
      </w:r>
      <w:r w:rsidRPr="00D44CF2">
        <w:rPr>
          <w:rStyle w:val="eop"/>
        </w:rPr>
        <w:t> </w:t>
      </w:r>
    </w:p>
    <w:p w14:paraId="490CA731" w14:textId="77777777" w:rsidR="00E77B70" w:rsidRPr="00D44CF2" w:rsidRDefault="00E77B70" w:rsidP="00E77B70">
      <w:pPr>
        <w:pStyle w:val="ListBullet2"/>
        <w:numPr>
          <w:ilvl w:val="1"/>
          <w:numId w:val="92"/>
        </w:numPr>
      </w:pPr>
      <w:r w:rsidRPr="00D44CF2">
        <w:rPr>
          <w:rStyle w:val="normaltextrun"/>
        </w:rPr>
        <w:t>dynamic ratings based on historical temperature traces</w:t>
      </w:r>
      <w:r w:rsidRPr="00D44CF2">
        <w:rPr>
          <w:rStyle w:val="eop"/>
        </w:rPr>
        <w:t>, and</w:t>
      </w:r>
    </w:p>
    <w:p w14:paraId="0576CBDC" w14:textId="77777777" w:rsidR="00E77B70" w:rsidRPr="00D44CF2" w:rsidRDefault="00E77B70" w:rsidP="00E77B70">
      <w:pPr>
        <w:pStyle w:val="ListBullet"/>
        <w:numPr>
          <w:ilvl w:val="0"/>
          <w:numId w:val="92"/>
        </w:numPr>
      </w:pPr>
      <w:r w:rsidRPr="00D44CF2">
        <w:rPr>
          <w:rStyle w:val="normaltextrun"/>
        </w:rPr>
        <w:t>committed new and retired generation</w:t>
      </w:r>
      <w:r w:rsidRPr="00D44CF2">
        <w:rPr>
          <w:rStyle w:val="normaltextrun"/>
          <w:rFonts w:ascii="Arial Nova" w:hAnsi="Arial Nova" w:cs="Segoe UI"/>
          <w:color w:val="424242"/>
          <w:szCs w:val="20"/>
        </w:rPr>
        <w:t>. </w:t>
      </w:r>
      <w:r w:rsidRPr="00D44CF2">
        <w:rPr>
          <w:rStyle w:val="eop"/>
          <w:rFonts w:ascii="Arial Nova" w:hAnsi="Arial Nova" w:cs="Segoe UI"/>
          <w:color w:val="424242"/>
          <w:szCs w:val="20"/>
        </w:rPr>
        <w:t> </w:t>
      </w:r>
    </w:p>
    <w:p w14:paraId="39776E38" w14:textId="77777777" w:rsidR="00E77B70" w:rsidRPr="00D44CF2" w:rsidRDefault="00E77B70" w:rsidP="00E77B70">
      <w:pPr>
        <w:pStyle w:val="BodyText"/>
        <w:spacing w:after="0"/>
        <w:rPr>
          <w:rFonts w:ascii="Segoe UI" w:hAnsi="Segoe UI"/>
          <w:sz w:val="18"/>
          <w:szCs w:val="18"/>
        </w:rPr>
      </w:pPr>
      <w:r w:rsidRPr="00D44CF2">
        <w:rPr>
          <w:rStyle w:val="normaltextrun"/>
          <w:rFonts w:ascii="Arial Nova" w:hAnsi="Arial Nova" w:cs="Segoe UI"/>
          <w:color w:val="424242"/>
        </w:rPr>
        <w:lastRenderedPageBreak/>
        <w:t>For more information, see the Victorian Electricity Planning Approach</w:t>
      </w:r>
      <w:r w:rsidRPr="00D44CF2">
        <w:rPr>
          <w:rStyle w:val="FootnoteReference"/>
          <w:rFonts w:cs="Segoe UI"/>
          <w:color w:val="424242"/>
        </w:rPr>
        <w:footnoteReference w:id="132"/>
      </w:r>
      <w:r w:rsidRPr="00D44CF2">
        <w:rPr>
          <w:rStyle w:val="normaltextrun"/>
          <w:rFonts w:ascii="Arial Nova" w:hAnsi="Arial Nova" w:cs="Segoe UI"/>
          <w:color w:val="424242"/>
        </w:rPr>
        <w:t>.</w:t>
      </w:r>
      <w:r w:rsidRPr="00D44CF2">
        <w:rPr>
          <w:rStyle w:val="eop"/>
          <w:rFonts w:ascii="Arial Nova" w:hAnsi="Arial Nova" w:cs="Segoe UI"/>
          <w:color w:val="424242"/>
        </w:rPr>
        <w:t> </w:t>
      </w:r>
    </w:p>
    <w:p w14:paraId="35CC3622" w14:textId="77777777" w:rsidR="00E77B70" w:rsidRPr="00D44CF2" w:rsidRDefault="00E77B70" w:rsidP="00E77B70">
      <w:pPr>
        <w:pStyle w:val="ListBullet"/>
        <w:ind w:left="0" w:firstLine="0"/>
        <w:sectPr w:rsidR="00E77B70" w:rsidRPr="00D44CF2" w:rsidSect="00E77B70">
          <w:headerReference w:type="default" r:id="rId107"/>
          <w:pgSz w:w="11907" w:h="16840" w:code="9"/>
          <w:pgMar w:top="1985" w:right="907" w:bottom="1418" w:left="907" w:header="788" w:footer="471" w:gutter="0"/>
          <w:cols w:space="708"/>
          <w:docGrid w:linePitch="360"/>
        </w:sectPr>
      </w:pPr>
    </w:p>
    <w:p w14:paraId="76457D61" w14:textId="77777777" w:rsidR="00E77B70" w:rsidRPr="00D44CF2" w:rsidRDefault="00E77B70" w:rsidP="00E77B70">
      <w:pPr>
        <w:pStyle w:val="AppendixHeading"/>
      </w:pPr>
      <w:bookmarkStart w:id="311" w:name="_Toc212023292"/>
      <w:r w:rsidRPr="00D44CF2">
        <w:lastRenderedPageBreak/>
        <w:t>Input assumptions for VAPR models</w:t>
      </w:r>
      <w:bookmarkEnd w:id="311"/>
    </w:p>
    <w:p w14:paraId="62E7F9EE" w14:textId="3115576C" w:rsidR="00E77B70" w:rsidRPr="00D44CF2" w:rsidRDefault="00E77B70" w:rsidP="00E77B70">
      <w:pPr>
        <w:pStyle w:val="BodyText"/>
      </w:pPr>
      <w:r w:rsidRPr="00D44CF2">
        <w:t xml:space="preserve">When undertaking power system analysis to identify future limitations, AVP constructs base cases which include the inputs from committed generation, transmission augmentation and stability projects in </w:t>
      </w:r>
      <w:r w:rsidRPr="00D44CF2">
        <w:fldChar w:fldCharType="begin"/>
      </w:r>
      <w:r w:rsidRPr="00D44CF2">
        <w:instrText xml:space="preserve"> REF _Ref209509376 \r \h  \* MERGEFORMAT </w:instrText>
      </w:r>
      <w:r w:rsidRPr="00D44CF2">
        <w:fldChar w:fldCharType="separate"/>
      </w:r>
      <w:r w:rsidR="004973D2">
        <w:t>A3.1</w:t>
      </w:r>
      <w:r w:rsidRPr="00D44CF2">
        <w:fldChar w:fldCharType="end"/>
      </w:r>
      <w:r w:rsidRPr="00D44CF2">
        <w:t xml:space="preserve">, Victorian connection point forecasts, and the Victorian region forecast from the ESOO 2025 </w:t>
      </w:r>
      <w:r w:rsidRPr="00D44CF2">
        <w:rPr>
          <w:i/>
          <w:iCs/>
        </w:rPr>
        <w:t>Step Change</w:t>
      </w:r>
      <w:r w:rsidRPr="00D44CF2">
        <w:t xml:space="preserve"> scenario. In addition to performing base case analysis, AVP also performs sensitivity analysis of different operating scenarios primarily based on different combinations of generation dispatch and interconnector flows. In 2025 AVP also performed sensitivity analysis on the impact of the VicGrid’s VTP programs in </w:t>
      </w:r>
      <w:r w:rsidRPr="00D44CF2">
        <w:fldChar w:fldCharType="begin"/>
      </w:r>
      <w:r w:rsidRPr="00D44CF2">
        <w:instrText xml:space="preserve"> REF _Ref209509415 \r \h  \* MERGEFORMAT </w:instrText>
      </w:r>
      <w:r w:rsidRPr="00D44CF2">
        <w:fldChar w:fldCharType="separate"/>
      </w:r>
      <w:r w:rsidR="004973D2">
        <w:t>A3.2</w:t>
      </w:r>
      <w:r w:rsidRPr="00D44CF2">
        <w:fldChar w:fldCharType="end"/>
      </w:r>
      <w:r w:rsidRPr="00D44CF2">
        <w:t>.</w:t>
      </w:r>
    </w:p>
    <w:p w14:paraId="786C1DDD" w14:textId="77777777" w:rsidR="00E77B70" w:rsidRPr="00D44CF2" w:rsidRDefault="00E77B70" w:rsidP="00E77B70">
      <w:pPr>
        <w:pStyle w:val="AppendixHeading2"/>
      </w:pPr>
      <w:bookmarkStart w:id="312" w:name="_Ref209509376"/>
      <w:bookmarkStart w:id="313" w:name="_Toc212023293"/>
      <w:r w:rsidRPr="00D44CF2">
        <w:t>New generation, transmission and system strength projects</w:t>
      </w:r>
      <w:bookmarkEnd w:id="312"/>
      <w:bookmarkEnd w:id="313"/>
    </w:p>
    <w:p w14:paraId="66C29188" w14:textId="7350D3B9" w:rsidR="00E77B70" w:rsidRPr="00D44CF2" w:rsidRDefault="00E77B70" w:rsidP="00E77B70">
      <w:pPr>
        <w:pStyle w:val="BodyText"/>
        <w:rPr>
          <w:rFonts w:ascii="Segoe UI" w:hAnsi="Segoe UI"/>
          <w:sz w:val="18"/>
          <w:szCs w:val="18"/>
          <w:lang w:eastAsia="en-AU"/>
        </w:rPr>
      </w:pPr>
      <w:r w:rsidRPr="00D44CF2">
        <w:rPr>
          <w:lang w:eastAsia="en-AU"/>
        </w:rPr>
        <w:t xml:space="preserve">AVP has accounted for 4,888 MW of new generation and a 5 GW offshore wind project in Gippsland. The following new generation network augmentation, system strength, and voltage stability projects have been considered over the next decade for the network assessment and capabilities. AVP use a cut-off date for updates on projects to be included in the VAPR of July 1 each year, some projects may have changed timing or other parameters between the cut-off date and publication of the VAPR. These details are summarised in </w:t>
      </w:r>
      <w:r w:rsidRPr="00D44CF2">
        <w:rPr>
          <w:b/>
          <w:bCs/>
          <w:lang w:eastAsia="en-AU"/>
        </w:rPr>
        <w:fldChar w:fldCharType="begin"/>
      </w:r>
      <w:r w:rsidRPr="00D44CF2">
        <w:rPr>
          <w:b/>
          <w:bCs/>
          <w:lang w:eastAsia="en-AU"/>
        </w:rPr>
        <w:instrText xml:space="preserve"> REF _Ref208409617 \r \h  \* MERGEFORMAT </w:instrText>
      </w:r>
      <w:r w:rsidRPr="00D44CF2">
        <w:rPr>
          <w:b/>
          <w:bCs/>
          <w:lang w:eastAsia="en-AU"/>
        </w:rPr>
      </w:r>
      <w:r w:rsidRPr="00D44CF2">
        <w:rPr>
          <w:b/>
          <w:bCs/>
          <w:lang w:eastAsia="en-AU"/>
        </w:rPr>
        <w:fldChar w:fldCharType="separate"/>
      </w:r>
      <w:r w:rsidR="004973D2">
        <w:rPr>
          <w:b/>
          <w:bCs/>
          <w:lang w:eastAsia="en-AU"/>
        </w:rPr>
        <w:t>Table 21</w:t>
      </w:r>
      <w:r w:rsidRPr="00D44CF2">
        <w:rPr>
          <w:b/>
          <w:bCs/>
          <w:lang w:eastAsia="en-AU"/>
        </w:rPr>
        <w:fldChar w:fldCharType="end"/>
      </w:r>
      <w:r w:rsidR="00104304">
        <w:rPr>
          <w:b/>
          <w:bCs/>
          <w:lang w:eastAsia="en-AU"/>
        </w:rPr>
        <w:t xml:space="preserve"> </w:t>
      </w:r>
      <w:r w:rsidRPr="00D44CF2">
        <w:rPr>
          <w:lang w:eastAsia="en-AU"/>
        </w:rPr>
        <w:t xml:space="preserve">below.  </w:t>
      </w:r>
    </w:p>
    <w:p w14:paraId="5155FE20" w14:textId="77777777" w:rsidR="00E77B70" w:rsidRPr="00D44CF2" w:rsidRDefault="00E77B70" w:rsidP="00E77B70">
      <w:pPr>
        <w:pStyle w:val="CaptionTable"/>
      </w:pPr>
      <w:bookmarkStart w:id="314" w:name="_Ref206679259"/>
      <w:bookmarkStart w:id="315" w:name="_Ref208409617"/>
      <w:bookmarkStart w:id="316" w:name="_Toc212023325"/>
      <w:r w:rsidRPr="00D44CF2">
        <w:t>Committed generation, transmission augmentation and system stability projects</w:t>
      </w:r>
      <w:bookmarkEnd w:id="314"/>
      <w:bookmarkEnd w:id="315"/>
      <w:bookmarkEnd w:id="316"/>
    </w:p>
    <w:tbl>
      <w:tblPr>
        <w:tblStyle w:val="AEMO-Table4"/>
        <w:tblW w:w="9900" w:type="dxa"/>
        <w:tblLook w:val="04A0" w:firstRow="1" w:lastRow="0" w:firstColumn="1" w:lastColumn="0" w:noHBand="0" w:noVBand="1"/>
      </w:tblPr>
      <w:tblGrid>
        <w:gridCol w:w="1776"/>
        <w:gridCol w:w="3894"/>
        <w:gridCol w:w="4230"/>
      </w:tblGrid>
      <w:tr w:rsidR="00D04E7E" w:rsidRPr="00D44CF2" w14:paraId="36C0CAC0"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76" w:type="dxa"/>
            <w:hideMark/>
          </w:tcPr>
          <w:p w14:paraId="6B02E4CB" w14:textId="77777777" w:rsidR="00E77B70" w:rsidRPr="00D44CF2" w:rsidRDefault="00E77B70" w:rsidP="001A3F5B">
            <w:pPr>
              <w:pStyle w:val="TableText"/>
            </w:pPr>
            <w:r w:rsidRPr="00D44CF2">
              <w:t>Year  </w:t>
            </w:r>
          </w:p>
        </w:tc>
        <w:tc>
          <w:tcPr>
            <w:tcW w:w="3894" w:type="dxa"/>
            <w:hideMark/>
          </w:tcPr>
          <w:p w14:paraId="69103169"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Generation project  </w:t>
            </w:r>
          </w:p>
        </w:tc>
        <w:tc>
          <w:tcPr>
            <w:tcW w:w="4230" w:type="dxa"/>
            <w:hideMark/>
          </w:tcPr>
          <w:p w14:paraId="2D44781D"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Network augmentation and system stability projects  </w:t>
            </w:r>
          </w:p>
        </w:tc>
      </w:tr>
      <w:tr w:rsidR="00E77B70" w:rsidRPr="00D44CF2" w14:paraId="79B51E69" w14:textId="77777777" w:rsidTr="00261D2D">
        <w:trPr>
          <w:trHeight w:val="180"/>
        </w:trPr>
        <w:tc>
          <w:tcPr>
            <w:cnfStyle w:val="001000000000" w:firstRow="0" w:lastRow="0" w:firstColumn="1" w:lastColumn="0" w:oddVBand="0" w:evenVBand="0" w:oddHBand="0" w:evenHBand="0" w:firstRowFirstColumn="0" w:firstRowLastColumn="0" w:lastRowFirstColumn="0" w:lastRowLastColumn="0"/>
            <w:tcW w:w="1776" w:type="dxa"/>
            <w:vMerge w:val="restart"/>
            <w:hideMark/>
          </w:tcPr>
          <w:p w14:paraId="1D2EF5E7" w14:textId="77777777" w:rsidR="00E77B70" w:rsidRPr="00D44CF2" w:rsidRDefault="00E77B70" w:rsidP="001A3F5B">
            <w:pPr>
              <w:pStyle w:val="TableText"/>
            </w:pPr>
            <w:r w:rsidRPr="00D44CF2">
              <w:t> 2024-25 </w:t>
            </w:r>
          </w:p>
        </w:tc>
        <w:tc>
          <w:tcPr>
            <w:tcW w:w="3894" w:type="dxa"/>
            <w:hideMark/>
          </w:tcPr>
          <w:p w14:paraId="2D9C63B4" w14:textId="76371C03"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lang w:eastAsia="en-AU"/>
              </w:rPr>
            </w:pPr>
            <w:r w:rsidRPr="00D44CF2">
              <w:rPr>
                <w:rFonts w:ascii="Arial Nova" w:eastAsia="Times New Roman" w:hAnsi="Arial Nova" w:cs="Times New Roman"/>
                <w:szCs w:val="16"/>
                <w:lang w:eastAsia="en-AU"/>
              </w:rPr>
              <w:t xml:space="preserve">Glenrowan Solar Farm (127 MW) </w:t>
            </w:r>
          </w:p>
          <w:p w14:paraId="63A9C07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424242"/>
                <w:sz w:val="24"/>
                <w:lang w:eastAsia="en-AU"/>
              </w:rPr>
            </w:pPr>
            <w:r w:rsidRPr="00D44CF2">
              <w:rPr>
                <w:rFonts w:ascii="Arial Nova" w:eastAsia="Times New Roman" w:hAnsi="Arial Nova" w:cs="Times New Roman"/>
                <w:i/>
                <w:iCs/>
                <w:szCs w:val="16"/>
                <w:lang w:eastAsia="en-AU"/>
              </w:rPr>
              <w:t>(Parameter updates for equipment post project closeout)</w:t>
            </w:r>
          </w:p>
        </w:tc>
        <w:tc>
          <w:tcPr>
            <w:tcW w:w="4230" w:type="dxa"/>
            <w:hideMark/>
          </w:tcPr>
          <w:p w14:paraId="024A5BEC" w14:textId="2BC616AF"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 xml:space="preserve">BATS to HOTS lines uprating (Ararat to Crowlands line uprated and Ararat line dropper replaced. </w:t>
            </w:r>
          </w:p>
        </w:tc>
      </w:tr>
      <w:tr w:rsidR="00E77B70" w:rsidRPr="00D44CF2" w14:paraId="1C8C8A41" w14:textId="77777777" w:rsidTr="00261D2D">
        <w:trPr>
          <w:trHeight w:val="180"/>
        </w:trPr>
        <w:tc>
          <w:tcPr>
            <w:cnfStyle w:val="001000000000" w:firstRow="0" w:lastRow="0" w:firstColumn="1" w:lastColumn="0" w:oddVBand="0" w:evenVBand="0" w:oddHBand="0" w:evenHBand="0" w:firstRowFirstColumn="0" w:firstRowLastColumn="0" w:lastRowFirstColumn="0" w:lastRowLastColumn="0"/>
            <w:tcW w:w="0" w:type="auto"/>
            <w:vMerge/>
            <w:hideMark/>
          </w:tcPr>
          <w:p w14:paraId="345C8C65" w14:textId="77777777" w:rsidR="00E77B70" w:rsidRPr="00D44CF2" w:rsidRDefault="00E77B70" w:rsidP="001A3F5B">
            <w:pPr>
              <w:pStyle w:val="TableText"/>
            </w:pPr>
          </w:p>
        </w:tc>
        <w:tc>
          <w:tcPr>
            <w:tcW w:w="3894" w:type="dxa"/>
            <w:hideMark/>
          </w:tcPr>
          <w:p w14:paraId="5D82DEF9" w14:textId="7B9C8FC3"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lang w:eastAsia="en-AU"/>
              </w:rPr>
            </w:pPr>
            <w:r w:rsidRPr="00D44CF2">
              <w:rPr>
                <w:rFonts w:ascii="Arial Nova" w:eastAsia="Times New Roman" w:hAnsi="Arial Nova" w:cs="Times New Roman"/>
                <w:szCs w:val="16"/>
                <w:lang w:eastAsia="en-AU"/>
              </w:rPr>
              <w:t>Hawkesdale Wind Farm (97 MW)  </w:t>
            </w:r>
            <w:r w:rsidRPr="00D44CF2">
              <w:rPr>
                <w:rFonts w:ascii="Arial Nova" w:eastAsia="Times New Roman" w:hAnsi="Arial Nova" w:cs="Times New Roman"/>
                <w:szCs w:val="16"/>
                <w:lang w:eastAsia="en-AU"/>
              </w:rPr>
              <w:br/>
            </w:r>
            <w:r w:rsidRPr="00D44CF2">
              <w:rPr>
                <w:rFonts w:ascii="Arial Nova" w:eastAsia="Times New Roman" w:hAnsi="Arial Nova" w:cs="Times New Roman"/>
                <w:i/>
                <w:iCs/>
                <w:szCs w:val="16"/>
                <w:lang w:eastAsia="en-AU"/>
              </w:rPr>
              <w:t>(Parameter updates for equipment post project closeout)</w:t>
            </w:r>
          </w:p>
        </w:tc>
        <w:tc>
          <w:tcPr>
            <w:tcW w:w="4230" w:type="dxa"/>
            <w:hideMark/>
          </w:tcPr>
          <w:p w14:paraId="00B0DFF6" w14:textId="0308E248" w:rsidR="00E77B70" w:rsidRPr="00D44CF2" w:rsidRDefault="00E77B70" w:rsidP="001A3F5B">
            <w:p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color w:val="424242"/>
                <w:sz w:val="24"/>
                <w:lang w:eastAsia="en-AU"/>
              </w:rPr>
            </w:pPr>
          </w:p>
        </w:tc>
      </w:tr>
      <w:tr w:rsidR="00E77B70" w:rsidRPr="00D44CF2" w14:paraId="746328F6"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14:paraId="56A0A7B2" w14:textId="77777777" w:rsidR="00E77B70" w:rsidRPr="00D44CF2" w:rsidRDefault="00E77B70" w:rsidP="001A3F5B">
            <w:pPr>
              <w:pStyle w:val="TableText"/>
            </w:pPr>
          </w:p>
        </w:tc>
        <w:tc>
          <w:tcPr>
            <w:tcW w:w="3894" w:type="dxa"/>
            <w:hideMark/>
          </w:tcPr>
          <w:p w14:paraId="6C4E32F6" w14:textId="4EBDF51A"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Ryan Corner Wind Farm (218 MW)  </w:t>
            </w:r>
          </w:p>
        </w:tc>
        <w:tc>
          <w:tcPr>
            <w:tcW w:w="4230" w:type="dxa"/>
            <w:hideMark/>
          </w:tcPr>
          <w:p w14:paraId="0F06010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Transmission augmentation to access renewable energy in western Victoria (Stage 1.1: MLTS-TGTS and BATS-TGTS ratings update)  </w:t>
            </w:r>
          </w:p>
        </w:tc>
      </w:tr>
      <w:tr w:rsidR="00E77B70" w:rsidRPr="00D44CF2" w14:paraId="02F5B88D" w14:textId="77777777" w:rsidTr="00261D2D">
        <w:trPr>
          <w:trHeight w:val="150"/>
        </w:trPr>
        <w:tc>
          <w:tcPr>
            <w:cnfStyle w:val="001000000000" w:firstRow="0" w:lastRow="0" w:firstColumn="1" w:lastColumn="0" w:oddVBand="0" w:evenVBand="0" w:oddHBand="0" w:evenHBand="0" w:firstRowFirstColumn="0" w:firstRowLastColumn="0" w:lastRowFirstColumn="0" w:lastRowLastColumn="0"/>
            <w:tcW w:w="0" w:type="auto"/>
            <w:vMerge/>
            <w:hideMark/>
          </w:tcPr>
          <w:p w14:paraId="1B274C06" w14:textId="77777777" w:rsidR="00E77B70" w:rsidRPr="00D44CF2" w:rsidRDefault="00E77B70" w:rsidP="001A3F5B">
            <w:pPr>
              <w:pStyle w:val="TableText"/>
            </w:pPr>
          </w:p>
        </w:tc>
        <w:tc>
          <w:tcPr>
            <w:tcW w:w="3894" w:type="dxa"/>
            <w:hideMark/>
          </w:tcPr>
          <w:p w14:paraId="4D9C2FF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lang w:eastAsia="en-AU"/>
              </w:rPr>
            </w:pPr>
            <w:r w:rsidRPr="00D44CF2">
              <w:rPr>
                <w:rFonts w:ascii="Arial Nova" w:eastAsia="Times New Roman" w:hAnsi="Arial Nova" w:cs="Times New Roman"/>
                <w:szCs w:val="16"/>
                <w:lang w:eastAsia="en-AU"/>
              </w:rPr>
              <w:t>Rangebank BESS (200 MW)</w:t>
            </w:r>
          </w:p>
          <w:p w14:paraId="7BE8C98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i/>
                <w:iCs/>
                <w:szCs w:val="16"/>
                <w:lang w:eastAsia="en-AU"/>
              </w:rPr>
            </w:pPr>
            <w:r w:rsidRPr="00D44CF2">
              <w:rPr>
                <w:rFonts w:ascii="Arial Nova" w:eastAsia="Times New Roman" w:hAnsi="Arial Nova" w:cs="Times New Roman"/>
                <w:i/>
                <w:iCs/>
                <w:szCs w:val="16"/>
                <w:lang w:eastAsia="en-AU"/>
              </w:rPr>
              <w:t>(Parameter updates for equipment post project closeout)</w:t>
            </w:r>
          </w:p>
        </w:tc>
        <w:tc>
          <w:tcPr>
            <w:tcW w:w="4230" w:type="dxa"/>
            <w:hideMark/>
          </w:tcPr>
          <w:p w14:paraId="2C88461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500 kV line uprate (KTS-SYTS-MLTS-MOPS. MLTS-HGTS-TRTS)  </w:t>
            </w:r>
          </w:p>
        </w:tc>
      </w:tr>
      <w:tr w:rsidR="00E77B70" w:rsidRPr="00D44CF2" w14:paraId="69BB65C5" w14:textId="77777777" w:rsidTr="00261D2D">
        <w:trPr>
          <w:trHeight w:val="315"/>
        </w:trPr>
        <w:tc>
          <w:tcPr>
            <w:cnfStyle w:val="001000000000" w:firstRow="0" w:lastRow="0" w:firstColumn="1" w:lastColumn="0" w:oddVBand="0" w:evenVBand="0" w:oddHBand="0" w:evenHBand="0" w:firstRowFirstColumn="0" w:firstRowLastColumn="0" w:lastRowFirstColumn="0" w:lastRowLastColumn="0"/>
            <w:tcW w:w="0" w:type="auto"/>
            <w:vMerge/>
            <w:hideMark/>
          </w:tcPr>
          <w:p w14:paraId="27B5A4AF" w14:textId="77777777" w:rsidR="00E77B70" w:rsidRPr="00D44CF2" w:rsidRDefault="00E77B70" w:rsidP="001A3F5B">
            <w:pPr>
              <w:pStyle w:val="TableText"/>
            </w:pPr>
          </w:p>
        </w:tc>
        <w:tc>
          <w:tcPr>
            <w:tcW w:w="3894" w:type="dxa"/>
            <w:hideMark/>
          </w:tcPr>
          <w:p w14:paraId="7E7B8E89" w14:textId="26A953E5"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Wunghnu Solar Farm (94 MW)  </w:t>
            </w:r>
          </w:p>
        </w:tc>
        <w:tc>
          <w:tcPr>
            <w:tcW w:w="4230" w:type="dxa"/>
            <w:hideMark/>
          </w:tcPr>
          <w:p w14:paraId="6518211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Transmission augmentation to access renewable energy in western Victoria (Stage 1.2: BETS-KGTS and KGTS-WETS-RCTS ratings update)  </w:t>
            </w:r>
          </w:p>
        </w:tc>
      </w:tr>
      <w:tr w:rsidR="00E77B70" w:rsidRPr="00D44CF2" w14:paraId="2A5861F7" w14:textId="77777777" w:rsidTr="00261D2D">
        <w:trPr>
          <w:trHeight w:val="165"/>
        </w:trPr>
        <w:tc>
          <w:tcPr>
            <w:cnfStyle w:val="001000000000" w:firstRow="0" w:lastRow="0" w:firstColumn="1" w:lastColumn="0" w:oddVBand="0" w:evenVBand="0" w:oddHBand="0" w:evenHBand="0" w:firstRowFirstColumn="0" w:firstRowLastColumn="0" w:lastRowFirstColumn="0" w:lastRowLastColumn="0"/>
            <w:tcW w:w="0" w:type="auto"/>
            <w:vMerge/>
            <w:hideMark/>
          </w:tcPr>
          <w:p w14:paraId="553C29A8" w14:textId="77777777" w:rsidR="00E77B70" w:rsidRPr="00D44CF2" w:rsidRDefault="00E77B70" w:rsidP="001A3F5B">
            <w:pPr>
              <w:pStyle w:val="TableText"/>
            </w:pPr>
          </w:p>
        </w:tc>
        <w:tc>
          <w:tcPr>
            <w:tcW w:w="3894" w:type="dxa"/>
            <w:hideMark/>
          </w:tcPr>
          <w:p w14:paraId="0016EBE0" w14:textId="503F82F8"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Girgarre S</w:t>
            </w:r>
            <w:r w:rsidR="00104304">
              <w:rPr>
                <w:rFonts w:ascii="Arial Nova" w:eastAsia="Times New Roman" w:hAnsi="Arial Nova" w:cs="Times New Roman"/>
                <w:szCs w:val="16"/>
                <w:lang w:eastAsia="en-AU"/>
              </w:rPr>
              <w:t>olar Farm</w:t>
            </w:r>
            <w:r w:rsidRPr="00D44CF2">
              <w:rPr>
                <w:rFonts w:ascii="Arial Nova" w:eastAsia="Times New Roman" w:hAnsi="Arial Nova" w:cs="Times New Roman"/>
                <w:szCs w:val="16"/>
                <w:lang w:eastAsia="en-AU"/>
              </w:rPr>
              <w:t xml:space="preserve"> (93 MW)  </w:t>
            </w:r>
          </w:p>
        </w:tc>
        <w:tc>
          <w:tcPr>
            <w:tcW w:w="4230" w:type="dxa"/>
            <w:hideMark/>
          </w:tcPr>
          <w:p w14:paraId="0A639BB0" w14:textId="26FDAA58"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 xml:space="preserve">Minor Victoria to New South Wales Upgrade: B1 </w:t>
            </w:r>
            <w:r w:rsidR="005115BB">
              <w:rPr>
                <w:lang w:eastAsia="en-AU"/>
              </w:rPr>
              <w:t xml:space="preserve">– </w:t>
            </w:r>
            <w:r w:rsidRPr="00D44CF2">
              <w:rPr>
                <w:lang w:eastAsia="en-AU"/>
              </w:rPr>
              <w:t>DDTS-SMTS 330</w:t>
            </w:r>
            <w:r w:rsidR="00BD5812">
              <w:rPr>
                <w:lang w:eastAsia="en-AU"/>
              </w:rPr>
              <w:t xml:space="preserve"> </w:t>
            </w:r>
            <w:r w:rsidRPr="00D44CF2">
              <w:rPr>
                <w:lang w:eastAsia="en-AU"/>
              </w:rPr>
              <w:t>kV lines ratings upgrade </w:t>
            </w:r>
          </w:p>
        </w:tc>
      </w:tr>
      <w:tr w:rsidR="00E77B70" w:rsidRPr="00D44CF2" w14:paraId="6A12BF81"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14:paraId="1BB31C9D" w14:textId="77777777" w:rsidR="00E77B70" w:rsidRPr="00D44CF2" w:rsidRDefault="00E77B70" w:rsidP="001A3F5B">
            <w:pPr>
              <w:pStyle w:val="TableText"/>
            </w:pPr>
          </w:p>
        </w:tc>
        <w:tc>
          <w:tcPr>
            <w:tcW w:w="3894" w:type="dxa"/>
            <w:hideMark/>
          </w:tcPr>
          <w:p w14:paraId="415D792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Latrobe Valley BESS (100 MW)  </w:t>
            </w:r>
          </w:p>
        </w:tc>
        <w:tc>
          <w:tcPr>
            <w:tcW w:w="4230" w:type="dxa"/>
            <w:vMerge w:val="restart"/>
            <w:hideMark/>
          </w:tcPr>
          <w:p w14:paraId="39FE410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 xml:space="preserve">ERTS B1, B4 </w:t>
            </w:r>
            <w:r w:rsidRPr="00D44CF2">
              <w:t>transformer</w:t>
            </w:r>
            <w:r w:rsidRPr="00D44CF2">
              <w:rPr>
                <w:lang w:eastAsia="en-AU"/>
              </w:rPr>
              <w:t xml:space="preserve"> replacement (parameters</w:t>
            </w:r>
            <w:r>
              <w:rPr>
                <w:lang w:eastAsia="en-AU"/>
              </w:rPr>
              <w:t xml:space="preserve"> </w:t>
            </w:r>
            <w:r w:rsidRPr="00D44CF2">
              <w:rPr>
                <w:lang w:eastAsia="en-AU"/>
              </w:rPr>
              <w:t>updated) </w:t>
            </w:r>
          </w:p>
        </w:tc>
      </w:tr>
      <w:tr w:rsidR="00E77B70" w:rsidRPr="00D44CF2" w14:paraId="77FA4218" w14:textId="77777777" w:rsidTr="00261D2D">
        <w:trPr>
          <w:trHeight w:val="150"/>
        </w:trPr>
        <w:tc>
          <w:tcPr>
            <w:cnfStyle w:val="001000000000" w:firstRow="0" w:lastRow="0" w:firstColumn="1" w:lastColumn="0" w:oddVBand="0" w:evenVBand="0" w:oddHBand="0" w:evenHBand="0" w:firstRowFirstColumn="0" w:firstRowLastColumn="0" w:lastRowFirstColumn="0" w:lastRowLastColumn="0"/>
            <w:tcW w:w="0" w:type="auto"/>
            <w:vMerge/>
            <w:hideMark/>
          </w:tcPr>
          <w:p w14:paraId="6C4996A5" w14:textId="77777777" w:rsidR="00E77B70" w:rsidRPr="00D44CF2" w:rsidRDefault="00E77B70" w:rsidP="001A3F5B">
            <w:pPr>
              <w:pStyle w:val="TableText"/>
            </w:pPr>
          </w:p>
        </w:tc>
        <w:tc>
          <w:tcPr>
            <w:tcW w:w="3894" w:type="dxa"/>
            <w:hideMark/>
          </w:tcPr>
          <w:p w14:paraId="5E252F8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Mokoan Solar Farm (46 MW)  </w:t>
            </w:r>
          </w:p>
          <w:p w14:paraId="539D23F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Axedale Solar Farm and BESS (190 MW) </w:t>
            </w:r>
          </w:p>
          <w:p w14:paraId="4E7A617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Fosterville Solar Farm and BESS (200 MW) </w:t>
            </w:r>
          </w:p>
          <w:p w14:paraId="47FB350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Winton North Solar Farm (100 MW) </w:t>
            </w:r>
          </w:p>
          <w:p w14:paraId="0B2D487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Bennetts Creek BESS (100 MW) </w:t>
            </w:r>
          </w:p>
        </w:tc>
        <w:tc>
          <w:tcPr>
            <w:tcW w:w="4230" w:type="dxa"/>
            <w:vMerge/>
            <w:hideMark/>
          </w:tcPr>
          <w:p w14:paraId="63420D04" w14:textId="77777777" w:rsidR="00E77B70" w:rsidRPr="00D44CF2" w:rsidRDefault="00E77B70" w:rsidP="001A3F5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p>
        </w:tc>
      </w:tr>
      <w:tr w:rsidR="00E77B70" w:rsidRPr="00D44CF2" w14:paraId="695FDF32" w14:textId="77777777" w:rsidTr="00261D2D">
        <w:trPr>
          <w:trHeight w:val="180"/>
        </w:trPr>
        <w:tc>
          <w:tcPr>
            <w:cnfStyle w:val="001000000000" w:firstRow="0" w:lastRow="0" w:firstColumn="1" w:lastColumn="0" w:oddVBand="0" w:evenVBand="0" w:oddHBand="0" w:evenHBand="0" w:firstRowFirstColumn="0" w:firstRowLastColumn="0" w:lastRowFirstColumn="0" w:lastRowLastColumn="0"/>
            <w:tcW w:w="1776" w:type="dxa"/>
            <w:vMerge w:val="restart"/>
            <w:hideMark/>
          </w:tcPr>
          <w:p w14:paraId="56C68548" w14:textId="77777777" w:rsidR="00E77B70" w:rsidRPr="00D44CF2" w:rsidRDefault="00E77B70" w:rsidP="001A3F5B">
            <w:pPr>
              <w:pStyle w:val="TableText"/>
            </w:pPr>
            <w:r w:rsidRPr="00D44CF2">
              <w:t>2025-26 </w:t>
            </w:r>
          </w:p>
        </w:tc>
        <w:tc>
          <w:tcPr>
            <w:tcW w:w="3894" w:type="dxa"/>
            <w:hideMark/>
          </w:tcPr>
          <w:p w14:paraId="18F41105" w14:textId="0E263B5F"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Golden Plains Wind Far East (756 MW) Stage 1  </w:t>
            </w:r>
          </w:p>
        </w:tc>
        <w:tc>
          <w:tcPr>
            <w:tcW w:w="4230" w:type="dxa"/>
            <w:hideMark/>
          </w:tcPr>
          <w:p w14:paraId="663DBBF0" w14:textId="250ACFCA"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Mortlake Turn-in (to HGTS</w:t>
            </w:r>
            <w:r w:rsidR="005115BB">
              <w:rPr>
                <w:lang w:eastAsia="en-AU"/>
              </w:rPr>
              <w:t>-</w:t>
            </w:r>
            <w:r w:rsidRPr="00D44CF2">
              <w:rPr>
                <w:lang w:eastAsia="en-AU"/>
              </w:rPr>
              <w:t>TRTS 500 kV line) </w:t>
            </w:r>
          </w:p>
        </w:tc>
      </w:tr>
      <w:tr w:rsidR="00E77B70" w:rsidRPr="00D44CF2" w14:paraId="1F80DEEB" w14:textId="77777777" w:rsidTr="00261D2D">
        <w:trPr>
          <w:trHeight w:val="255"/>
        </w:trPr>
        <w:tc>
          <w:tcPr>
            <w:cnfStyle w:val="001000000000" w:firstRow="0" w:lastRow="0" w:firstColumn="1" w:lastColumn="0" w:oddVBand="0" w:evenVBand="0" w:oddHBand="0" w:evenHBand="0" w:firstRowFirstColumn="0" w:firstRowLastColumn="0" w:lastRowFirstColumn="0" w:lastRowLastColumn="0"/>
            <w:tcW w:w="0" w:type="auto"/>
            <w:vMerge/>
            <w:hideMark/>
          </w:tcPr>
          <w:p w14:paraId="1E02686B" w14:textId="77777777" w:rsidR="00E77B70" w:rsidRPr="00D44CF2" w:rsidRDefault="00E77B70" w:rsidP="001A3F5B">
            <w:pPr>
              <w:pStyle w:val="TableText"/>
            </w:pPr>
          </w:p>
        </w:tc>
        <w:tc>
          <w:tcPr>
            <w:tcW w:w="3894" w:type="dxa"/>
            <w:hideMark/>
          </w:tcPr>
          <w:p w14:paraId="5D6C8FE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Melbourne/Melton Renewable Energy Hub – Side A (600 MW)  </w:t>
            </w:r>
          </w:p>
        </w:tc>
        <w:tc>
          <w:tcPr>
            <w:tcW w:w="4230" w:type="dxa"/>
            <w:hideMark/>
          </w:tcPr>
          <w:p w14:paraId="28D8C817" w14:textId="78BA8983"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Ararat Sync</w:t>
            </w:r>
            <w:r w:rsidR="005115BB">
              <w:rPr>
                <w:lang w:eastAsia="en-AU"/>
              </w:rPr>
              <w:t>on</w:t>
            </w:r>
            <w:r w:rsidRPr="00D44CF2">
              <w:rPr>
                <w:lang w:eastAsia="en-AU"/>
              </w:rPr>
              <w:t xml:space="preserve"> (250 MVA) </w:t>
            </w:r>
          </w:p>
        </w:tc>
      </w:tr>
      <w:tr w:rsidR="00E77B70" w:rsidRPr="00D44CF2" w14:paraId="2FACDCBA" w14:textId="77777777" w:rsidTr="00261D2D">
        <w:trPr>
          <w:trHeight w:val="30"/>
        </w:trPr>
        <w:tc>
          <w:tcPr>
            <w:cnfStyle w:val="001000000000" w:firstRow="0" w:lastRow="0" w:firstColumn="1" w:lastColumn="0" w:oddVBand="0" w:evenVBand="0" w:oddHBand="0" w:evenHBand="0" w:firstRowFirstColumn="0" w:firstRowLastColumn="0" w:lastRowFirstColumn="0" w:lastRowLastColumn="0"/>
            <w:tcW w:w="0" w:type="auto"/>
            <w:vMerge/>
            <w:hideMark/>
          </w:tcPr>
          <w:p w14:paraId="2DF49891" w14:textId="77777777" w:rsidR="00E77B70" w:rsidRPr="00D44CF2" w:rsidRDefault="00E77B70" w:rsidP="001A3F5B">
            <w:pPr>
              <w:pStyle w:val="TableText"/>
            </w:pPr>
          </w:p>
        </w:tc>
        <w:tc>
          <w:tcPr>
            <w:tcW w:w="3894" w:type="dxa"/>
            <w:hideMark/>
          </w:tcPr>
          <w:p w14:paraId="1B8DB93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Goorambat East Solar Farm (250 MW)  </w:t>
            </w:r>
          </w:p>
        </w:tc>
        <w:tc>
          <w:tcPr>
            <w:tcW w:w="4230" w:type="dxa"/>
            <w:hideMark/>
          </w:tcPr>
          <w:p w14:paraId="270616FE" w14:textId="77777777" w:rsidR="00E77B70" w:rsidRPr="00D44CF2" w:rsidRDefault="00E77B70" w:rsidP="001A3F5B">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p>
        </w:tc>
      </w:tr>
      <w:tr w:rsidR="00E77B70" w:rsidRPr="00D44CF2" w14:paraId="78819948" w14:textId="77777777" w:rsidTr="00261D2D">
        <w:trPr>
          <w:trHeight w:val="30"/>
        </w:trPr>
        <w:tc>
          <w:tcPr>
            <w:cnfStyle w:val="001000000000" w:firstRow="0" w:lastRow="0" w:firstColumn="1" w:lastColumn="0" w:oddVBand="0" w:evenVBand="0" w:oddHBand="0" w:evenHBand="0" w:firstRowFirstColumn="0" w:firstRowLastColumn="0" w:lastRowFirstColumn="0" w:lastRowLastColumn="0"/>
            <w:tcW w:w="0" w:type="auto"/>
            <w:vMerge/>
            <w:hideMark/>
          </w:tcPr>
          <w:p w14:paraId="159C85DE" w14:textId="77777777" w:rsidR="00E77B70" w:rsidRPr="00D44CF2" w:rsidRDefault="00E77B70" w:rsidP="001A3F5B">
            <w:pPr>
              <w:pStyle w:val="TableText"/>
            </w:pPr>
          </w:p>
        </w:tc>
        <w:tc>
          <w:tcPr>
            <w:tcW w:w="3894" w:type="dxa"/>
            <w:hideMark/>
          </w:tcPr>
          <w:p w14:paraId="30C85544"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Mornington BESS (240 MW)  </w:t>
            </w:r>
          </w:p>
        </w:tc>
        <w:tc>
          <w:tcPr>
            <w:tcW w:w="4230" w:type="dxa"/>
            <w:hideMark/>
          </w:tcPr>
          <w:p w14:paraId="107BCD59" w14:textId="77777777" w:rsidR="00E77B70" w:rsidRPr="00D44CF2" w:rsidRDefault="00E77B70" w:rsidP="001A3F5B">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color w:val="auto"/>
                <w:sz w:val="16"/>
                <w:szCs w:val="16"/>
                <w:lang w:eastAsia="en-AU"/>
              </w:rPr>
              <w:t>  </w:t>
            </w:r>
          </w:p>
        </w:tc>
      </w:tr>
      <w:tr w:rsidR="00E77B70" w:rsidRPr="00D44CF2" w14:paraId="681A9952" w14:textId="77777777" w:rsidTr="00261D2D">
        <w:trPr>
          <w:trHeight w:val="120"/>
        </w:trPr>
        <w:tc>
          <w:tcPr>
            <w:cnfStyle w:val="001000000000" w:firstRow="0" w:lastRow="0" w:firstColumn="1" w:lastColumn="0" w:oddVBand="0" w:evenVBand="0" w:oddHBand="0" w:evenHBand="0" w:firstRowFirstColumn="0" w:firstRowLastColumn="0" w:lastRowFirstColumn="0" w:lastRowLastColumn="0"/>
            <w:tcW w:w="0" w:type="auto"/>
            <w:vMerge/>
            <w:hideMark/>
          </w:tcPr>
          <w:p w14:paraId="1EE26A13" w14:textId="77777777" w:rsidR="00E77B70" w:rsidRPr="00D44CF2" w:rsidRDefault="00E77B70" w:rsidP="001A3F5B">
            <w:pPr>
              <w:pStyle w:val="TableText"/>
            </w:pPr>
          </w:p>
        </w:tc>
        <w:tc>
          <w:tcPr>
            <w:tcW w:w="3894" w:type="dxa"/>
            <w:hideMark/>
          </w:tcPr>
          <w:p w14:paraId="6F0C2BB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Terang BESS (100 MW)  </w:t>
            </w:r>
          </w:p>
        </w:tc>
        <w:tc>
          <w:tcPr>
            <w:tcW w:w="4230" w:type="dxa"/>
            <w:hideMark/>
          </w:tcPr>
          <w:p w14:paraId="40F73E37" w14:textId="77777777" w:rsidR="00E77B70" w:rsidRPr="00D44CF2" w:rsidRDefault="00E77B70" w:rsidP="001A3F5B">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color w:val="auto"/>
                <w:sz w:val="16"/>
                <w:szCs w:val="16"/>
                <w:lang w:eastAsia="en-AU"/>
              </w:rPr>
              <w:t>  </w:t>
            </w:r>
          </w:p>
        </w:tc>
      </w:tr>
      <w:tr w:rsidR="00E77B70" w:rsidRPr="00D44CF2" w14:paraId="191C2B02" w14:textId="77777777" w:rsidTr="00261D2D">
        <w:trPr>
          <w:trHeight w:val="120"/>
        </w:trPr>
        <w:tc>
          <w:tcPr>
            <w:cnfStyle w:val="001000000000" w:firstRow="0" w:lastRow="0" w:firstColumn="1" w:lastColumn="0" w:oddVBand="0" w:evenVBand="0" w:oddHBand="0" w:evenHBand="0" w:firstRowFirstColumn="0" w:firstRowLastColumn="0" w:lastRowFirstColumn="0" w:lastRowLastColumn="0"/>
            <w:tcW w:w="0" w:type="auto"/>
            <w:vMerge/>
          </w:tcPr>
          <w:p w14:paraId="5F78DAB8" w14:textId="77777777" w:rsidR="00E77B70" w:rsidRPr="00D44CF2" w:rsidRDefault="00E77B70" w:rsidP="001A3F5B">
            <w:pPr>
              <w:pStyle w:val="TableText"/>
            </w:pPr>
          </w:p>
        </w:tc>
        <w:tc>
          <w:tcPr>
            <w:tcW w:w="3894" w:type="dxa"/>
          </w:tcPr>
          <w:p w14:paraId="3A6BAF51" w14:textId="7FCE57B4"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lang w:eastAsia="en-AU"/>
              </w:rPr>
            </w:pPr>
            <w:r w:rsidRPr="00D44CF2">
              <w:rPr>
                <w:rFonts w:ascii="Arial Nova" w:eastAsia="Times New Roman" w:hAnsi="Arial Nova" w:cs="Times New Roman"/>
                <w:szCs w:val="16"/>
                <w:lang w:eastAsia="en-AU"/>
              </w:rPr>
              <w:t>KESS (BESS 185 MW GFM inverters)  </w:t>
            </w:r>
          </w:p>
        </w:tc>
        <w:tc>
          <w:tcPr>
            <w:tcW w:w="4230" w:type="dxa"/>
          </w:tcPr>
          <w:p w14:paraId="50319489" w14:textId="77777777" w:rsidR="00E77B70" w:rsidRPr="00D44CF2" w:rsidRDefault="00E77B70" w:rsidP="001A3F5B">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color w:val="auto"/>
                <w:sz w:val="16"/>
                <w:szCs w:val="16"/>
                <w:lang w:eastAsia="en-AU"/>
              </w:rPr>
            </w:pPr>
          </w:p>
        </w:tc>
      </w:tr>
      <w:tr w:rsidR="00E77B70" w:rsidRPr="00D44CF2" w14:paraId="722D599F" w14:textId="77777777" w:rsidTr="00261D2D">
        <w:trPr>
          <w:trHeight w:val="45"/>
        </w:trPr>
        <w:tc>
          <w:tcPr>
            <w:cnfStyle w:val="001000000000" w:firstRow="0" w:lastRow="0" w:firstColumn="1" w:lastColumn="0" w:oddVBand="0" w:evenVBand="0" w:oddHBand="0" w:evenHBand="0" w:firstRowFirstColumn="0" w:firstRowLastColumn="0" w:lastRowFirstColumn="0" w:lastRowLastColumn="0"/>
            <w:tcW w:w="0" w:type="auto"/>
            <w:vMerge/>
            <w:hideMark/>
          </w:tcPr>
          <w:p w14:paraId="68AA9A08" w14:textId="77777777" w:rsidR="00E77B70" w:rsidRPr="00D44CF2" w:rsidRDefault="00E77B70" w:rsidP="001A3F5B">
            <w:pPr>
              <w:pStyle w:val="TableText"/>
            </w:pPr>
          </w:p>
        </w:tc>
        <w:tc>
          <w:tcPr>
            <w:tcW w:w="3894" w:type="dxa"/>
            <w:hideMark/>
          </w:tcPr>
          <w:p w14:paraId="73E4087C" w14:textId="304EE732"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Horsham Solar Farm (119 MW) </w:t>
            </w:r>
          </w:p>
        </w:tc>
        <w:tc>
          <w:tcPr>
            <w:tcW w:w="4230" w:type="dxa"/>
            <w:hideMark/>
          </w:tcPr>
          <w:p w14:paraId="0E266640" w14:textId="77777777" w:rsidR="00E77B70" w:rsidRPr="00D44CF2" w:rsidRDefault="00E77B70" w:rsidP="001A3F5B">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color w:val="auto"/>
                <w:sz w:val="16"/>
                <w:szCs w:val="16"/>
                <w:lang w:eastAsia="en-AU"/>
              </w:rPr>
              <w:t> </w:t>
            </w:r>
          </w:p>
        </w:tc>
      </w:tr>
      <w:tr w:rsidR="00E77B70" w:rsidRPr="00D44CF2" w14:paraId="266380E9" w14:textId="77777777" w:rsidTr="00261D2D">
        <w:trPr>
          <w:trHeight w:val="105"/>
        </w:trPr>
        <w:tc>
          <w:tcPr>
            <w:cnfStyle w:val="001000000000" w:firstRow="0" w:lastRow="0" w:firstColumn="1" w:lastColumn="0" w:oddVBand="0" w:evenVBand="0" w:oddHBand="0" w:evenHBand="0" w:firstRowFirstColumn="0" w:firstRowLastColumn="0" w:lastRowFirstColumn="0" w:lastRowLastColumn="0"/>
            <w:tcW w:w="1776" w:type="dxa"/>
            <w:vMerge w:val="restart"/>
            <w:hideMark/>
          </w:tcPr>
          <w:p w14:paraId="50D427B1" w14:textId="4D13EE0F" w:rsidR="00E77B70" w:rsidRPr="00D44CF2" w:rsidRDefault="00E77B70" w:rsidP="001A3F5B">
            <w:pPr>
              <w:pStyle w:val="TableText"/>
            </w:pPr>
            <w:r w:rsidRPr="00D44CF2">
              <w:t>2026-27 </w:t>
            </w:r>
          </w:p>
        </w:tc>
        <w:tc>
          <w:tcPr>
            <w:tcW w:w="3894" w:type="dxa"/>
            <w:hideMark/>
          </w:tcPr>
          <w:p w14:paraId="76037FB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Carwarp Solar Farm (150 MW) </w:t>
            </w:r>
          </w:p>
        </w:tc>
        <w:tc>
          <w:tcPr>
            <w:tcW w:w="4230" w:type="dxa"/>
            <w:hideMark/>
          </w:tcPr>
          <w:p w14:paraId="7F48C96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SHTS B2, B3 Transformer Replacement (parameters updated) </w:t>
            </w:r>
          </w:p>
        </w:tc>
      </w:tr>
      <w:tr w:rsidR="00E77B70" w:rsidRPr="00D44CF2" w14:paraId="0928C63A" w14:textId="77777777" w:rsidTr="00261D2D">
        <w:trPr>
          <w:trHeight w:val="165"/>
        </w:trPr>
        <w:tc>
          <w:tcPr>
            <w:cnfStyle w:val="001000000000" w:firstRow="0" w:lastRow="0" w:firstColumn="1" w:lastColumn="0" w:oddVBand="0" w:evenVBand="0" w:oddHBand="0" w:evenHBand="0" w:firstRowFirstColumn="0" w:firstRowLastColumn="0" w:lastRowFirstColumn="0" w:lastRowLastColumn="0"/>
            <w:tcW w:w="0" w:type="auto"/>
            <w:vMerge/>
            <w:hideMark/>
          </w:tcPr>
          <w:p w14:paraId="5255344C" w14:textId="77777777" w:rsidR="00E77B70" w:rsidRPr="00D44CF2" w:rsidRDefault="00E77B70" w:rsidP="001A3F5B">
            <w:pPr>
              <w:pStyle w:val="TableText"/>
            </w:pPr>
          </w:p>
        </w:tc>
        <w:tc>
          <w:tcPr>
            <w:tcW w:w="3894" w:type="dxa"/>
            <w:hideMark/>
          </w:tcPr>
          <w:p w14:paraId="29C436A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Pine Lodge BESS (250 MW)  </w:t>
            </w:r>
          </w:p>
        </w:tc>
        <w:tc>
          <w:tcPr>
            <w:tcW w:w="4230" w:type="dxa"/>
            <w:hideMark/>
          </w:tcPr>
          <w:p w14:paraId="677185D9" w14:textId="77777777" w:rsidR="00E77B70" w:rsidRPr="00D44CF2" w:rsidRDefault="00E77B70" w:rsidP="001A3F5B">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color w:val="auto"/>
                <w:sz w:val="16"/>
                <w:szCs w:val="16"/>
                <w:lang w:eastAsia="en-AU"/>
              </w:rPr>
              <w:t>  </w:t>
            </w:r>
          </w:p>
        </w:tc>
      </w:tr>
      <w:tr w:rsidR="00E77B70" w:rsidRPr="00D44CF2" w14:paraId="2FDCE7EE" w14:textId="77777777" w:rsidTr="00261D2D">
        <w:trPr>
          <w:trHeight w:val="30"/>
        </w:trPr>
        <w:tc>
          <w:tcPr>
            <w:cnfStyle w:val="001000000000" w:firstRow="0" w:lastRow="0" w:firstColumn="1" w:lastColumn="0" w:oddVBand="0" w:evenVBand="0" w:oddHBand="0" w:evenHBand="0" w:firstRowFirstColumn="0" w:firstRowLastColumn="0" w:lastRowFirstColumn="0" w:lastRowLastColumn="0"/>
            <w:tcW w:w="0" w:type="auto"/>
            <w:vMerge/>
            <w:hideMark/>
          </w:tcPr>
          <w:p w14:paraId="7C49643A" w14:textId="77777777" w:rsidR="00E77B70" w:rsidRPr="00D44CF2" w:rsidRDefault="00E77B70" w:rsidP="001A3F5B">
            <w:pPr>
              <w:pStyle w:val="TableText"/>
            </w:pPr>
          </w:p>
        </w:tc>
        <w:tc>
          <w:tcPr>
            <w:tcW w:w="3894" w:type="dxa"/>
            <w:hideMark/>
          </w:tcPr>
          <w:p w14:paraId="2696F803"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Wooreen BESS (350 MW)  </w:t>
            </w:r>
          </w:p>
        </w:tc>
        <w:tc>
          <w:tcPr>
            <w:tcW w:w="4230" w:type="dxa"/>
            <w:hideMark/>
          </w:tcPr>
          <w:p w14:paraId="08B55725" w14:textId="77777777" w:rsidR="00E77B70" w:rsidRPr="00D44CF2" w:rsidRDefault="00E77B70" w:rsidP="001A3F5B">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color w:val="auto"/>
                <w:sz w:val="16"/>
                <w:szCs w:val="16"/>
                <w:lang w:eastAsia="en-AU"/>
              </w:rPr>
              <w:t>  </w:t>
            </w:r>
          </w:p>
        </w:tc>
      </w:tr>
      <w:tr w:rsidR="00E77B70" w:rsidRPr="00D44CF2" w14:paraId="21AD168F" w14:textId="77777777" w:rsidTr="00261D2D">
        <w:trPr>
          <w:trHeight w:val="30"/>
        </w:trPr>
        <w:tc>
          <w:tcPr>
            <w:cnfStyle w:val="001000000000" w:firstRow="0" w:lastRow="0" w:firstColumn="1" w:lastColumn="0" w:oddVBand="0" w:evenVBand="0" w:oddHBand="0" w:evenHBand="0" w:firstRowFirstColumn="0" w:firstRowLastColumn="0" w:lastRowFirstColumn="0" w:lastRowLastColumn="0"/>
            <w:tcW w:w="0" w:type="auto"/>
            <w:vMerge/>
            <w:hideMark/>
          </w:tcPr>
          <w:p w14:paraId="48BA65DC" w14:textId="77777777" w:rsidR="00E77B70" w:rsidRPr="00D44CF2" w:rsidRDefault="00E77B70" w:rsidP="001A3F5B">
            <w:pPr>
              <w:pStyle w:val="TableText"/>
            </w:pPr>
          </w:p>
        </w:tc>
        <w:tc>
          <w:tcPr>
            <w:tcW w:w="3894" w:type="dxa"/>
            <w:hideMark/>
          </w:tcPr>
          <w:p w14:paraId="31E27EF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Gnarwarre BESS (250 MW)  </w:t>
            </w:r>
          </w:p>
        </w:tc>
        <w:tc>
          <w:tcPr>
            <w:tcW w:w="4230" w:type="dxa"/>
            <w:hideMark/>
          </w:tcPr>
          <w:p w14:paraId="592CAB1B" w14:textId="77777777" w:rsidR="00E77B70" w:rsidRPr="00D44CF2" w:rsidRDefault="00E77B70" w:rsidP="001A3F5B">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color w:val="auto"/>
                <w:sz w:val="16"/>
                <w:szCs w:val="16"/>
                <w:lang w:eastAsia="en-AU"/>
              </w:rPr>
              <w:t> </w:t>
            </w:r>
          </w:p>
        </w:tc>
      </w:tr>
      <w:tr w:rsidR="00E77B70" w:rsidRPr="00D44CF2" w14:paraId="635CF569" w14:textId="77777777" w:rsidTr="00261D2D">
        <w:trPr>
          <w:trHeight w:val="240"/>
        </w:trPr>
        <w:tc>
          <w:tcPr>
            <w:cnfStyle w:val="001000000000" w:firstRow="0" w:lastRow="0" w:firstColumn="1" w:lastColumn="0" w:oddVBand="0" w:evenVBand="0" w:oddHBand="0" w:evenHBand="0" w:firstRowFirstColumn="0" w:firstRowLastColumn="0" w:lastRowFirstColumn="0" w:lastRowLastColumn="0"/>
            <w:tcW w:w="1776" w:type="dxa"/>
            <w:vMerge w:val="restart"/>
            <w:hideMark/>
          </w:tcPr>
          <w:p w14:paraId="08472712" w14:textId="77777777" w:rsidR="00E77B70" w:rsidRPr="00D44CF2" w:rsidRDefault="00E77B70" w:rsidP="001A3F5B">
            <w:pPr>
              <w:pStyle w:val="TableText"/>
            </w:pPr>
            <w:r w:rsidRPr="00D44CF2">
              <w:t>2027-28  </w:t>
            </w:r>
          </w:p>
        </w:tc>
        <w:tc>
          <w:tcPr>
            <w:tcW w:w="3894" w:type="dxa"/>
            <w:vMerge w:val="restart"/>
            <w:hideMark/>
          </w:tcPr>
          <w:p w14:paraId="2CB29D14"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Golden Plains Wind Farm Stage 2 (557 MW)  </w:t>
            </w:r>
          </w:p>
        </w:tc>
        <w:tc>
          <w:tcPr>
            <w:tcW w:w="4230" w:type="dxa"/>
            <w:hideMark/>
          </w:tcPr>
          <w:p w14:paraId="5B40E34D" w14:textId="1F47CB84"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TSTS B2, B3 Transformer Replacement (parameters updated) </w:t>
            </w:r>
          </w:p>
        </w:tc>
      </w:tr>
      <w:tr w:rsidR="00E77B70" w:rsidRPr="00D44CF2" w14:paraId="0E3758E5" w14:textId="77777777" w:rsidTr="00261D2D">
        <w:trPr>
          <w:trHeight w:val="75"/>
        </w:trPr>
        <w:tc>
          <w:tcPr>
            <w:cnfStyle w:val="001000000000" w:firstRow="0" w:lastRow="0" w:firstColumn="1" w:lastColumn="0" w:oddVBand="0" w:evenVBand="0" w:oddHBand="0" w:evenHBand="0" w:firstRowFirstColumn="0" w:firstRowLastColumn="0" w:lastRowFirstColumn="0" w:lastRowLastColumn="0"/>
            <w:tcW w:w="0" w:type="auto"/>
            <w:vMerge/>
            <w:hideMark/>
          </w:tcPr>
          <w:p w14:paraId="003FA154" w14:textId="77777777" w:rsidR="00E77B70" w:rsidRPr="00D44CF2" w:rsidRDefault="00E77B70" w:rsidP="001A3F5B">
            <w:pPr>
              <w:pStyle w:val="TableText"/>
            </w:pPr>
          </w:p>
        </w:tc>
        <w:tc>
          <w:tcPr>
            <w:tcW w:w="3894" w:type="dxa"/>
            <w:vMerge/>
            <w:hideMark/>
          </w:tcPr>
          <w:p w14:paraId="241CC160"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p>
        </w:tc>
        <w:tc>
          <w:tcPr>
            <w:tcW w:w="4230" w:type="dxa"/>
            <w:hideMark/>
          </w:tcPr>
          <w:p w14:paraId="7E3339A5"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EnergyConnect – Stage 2  </w:t>
            </w:r>
          </w:p>
        </w:tc>
      </w:tr>
      <w:tr w:rsidR="00E77B70" w:rsidRPr="00D44CF2" w14:paraId="4E727276" w14:textId="77777777" w:rsidTr="00261D2D">
        <w:trPr>
          <w:trHeight w:val="30"/>
        </w:trPr>
        <w:tc>
          <w:tcPr>
            <w:cnfStyle w:val="001000000000" w:firstRow="0" w:lastRow="0" w:firstColumn="1" w:lastColumn="0" w:oddVBand="0" w:evenVBand="0" w:oddHBand="0" w:evenHBand="0" w:firstRowFirstColumn="0" w:firstRowLastColumn="0" w:lastRowFirstColumn="0" w:lastRowLastColumn="0"/>
            <w:tcW w:w="0" w:type="auto"/>
            <w:vMerge/>
            <w:hideMark/>
          </w:tcPr>
          <w:p w14:paraId="7C59F6AB" w14:textId="77777777" w:rsidR="00E77B70" w:rsidRPr="00D44CF2" w:rsidRDefault="00E77B70" w:rsidP="001A3F5B">
            <w:pPr>
              <w:pStyle w:val="TableText"/>
            </w:pPr>
          </w:p>
        </w:tc>
        <w:tc>
          <w:tcPr>
            <w:tcW w:w="3894" w:type="dxa"/>
            <w:vMerge/>
            <w:hideMark/>
          </w:tcPr>
          <w:p w14:paraId="22590824"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p>
        </w:tc>
        <w:tc>
          <w:tcPr>
            <w:tcW w:w="4230" w:type="dxa"/>
            <w:hideMark/>
          </w:tcPr>
          <w:p w14:paraId="4C9A1708" w14:textId="72914B59"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Capacitor banks retirements at Moorabool, Altona, Tyabb, Rowville and Templestowe as part of Metropolitan Melbourne Voltage Management</w:t>
            </w:r>
          </w:p>
        </w:tc>
      </w:tr>
      <w:tr w:rsidR="00E77B70" w:rsidRPr="00D44CF2" w14:paraId="241CAFFD"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1776" w:type="dxa"/>
            <w:hideMark/>
          </w:tcPr>
          <w:p w14:paraId="179DE991" w14:textId="77777777" w:rsidR="00E77B70" w:rsidRPr="00D44CF2" w:rsidRDefault="00E77B70" w:rsidP="001A3F5B">
            <w:pPr>
              <w:pStyle w:val="TableText"/>
            </w:pPr>
            <w:r w:rsidRPr="00D44CF2">
              <w:t>2028-29  </w:t>
            </w:r>
          </w:p>
        </w:tc>
        <w:tc>
          <w:tcPr>
            <w:tcW w:w="3894" w:type="dxa"/>
            <w:hideMark/>
          </w:tcPr>
          <w:p w14:paraId="20162B35"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 </w:t>
            </w:r>
          </w:p>
        </w:tc>
        <w:tc>
          <w:tcPr>
            <w:tcW w:w="4230" w:type="dxa"/>
            <w:hideMark/>
          </w:tcPr>
          <w:p w14:paraId="0D844754"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Yallourn W 4 units closure 2028 and transition to modified parallel operating mode  </w:t>
            </w:r>
          </w:p>
          <w:p w14:paraId="26B12866"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RCTS transformers replacement and station rearrangement</w:t>
            </w:r>
          </w:p>
          <w:p w14:paraId="09C3193E" w14:textId="77777777" w:rsidR="002F0528"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Metro voltage management RIT-T Stage 1 is:  </w:t>
            </w:r>
          </w:p>
          <w:p w14:paraId="29DE52A8" w14:textId="77777777" w:rsidR="002F0528" w:rsidRPr="005115BB" w:rsidRDefault="00E77B70" w:rsidP="00985091">
            <w:pPr>
              <w:pStyle w:val="TableBullet"/>
              <w:cnfStyle w:val="000000000000" w:firstRow="0" w:lastRow="0" w:firstColumn="0" w:lastColumn="0" w:oddVBand="0" w:evenVBand="0" w:oddHBand="0" w:evenHBand="0" w:firstRowFirstColumn="0" w:firstRowLastColumn="0" w:lastRowFirstColumn="0" w:lastRowLastColumn="0"/>
            </w:pPr>
            <w:r w:rsidRPr="005115BB">
              <w:t xml:space="preserve">Install two 100 MVAr shunt reactors at ATS 220 kV </w:t>
            </w:r>
          </w:p>
          <w:p w14:paraId="7567A472" w14:textId="4A4CE199" w:rsidR="00E77B70" w:rsidRPr="005115BB" w:rsidRDefault="00E77B70" w:rsidP="00985091">
            <w:pPr>
              <w:pStyle w:val="TableBullet"/>
              <w:cnfStyle w:val="000000000000" w:firstRow="0" w:lastRow="0" w:firstColumn="0" w:lastColumn="0" w:oddVBand="0" w:evenVBand="0" w:oddHBand="0" w:evenHBand="0" w:firstRowFirstColumn="0" w:firstRowLastColumn="0" w:lastRowFirstColumn="0" w:lastRowLastColumn="0"/>
            </w:pPr>
            <w:r w:rsidRPr="005115BB">
              <w:t>Install one 100 MVAr shunt reactor at BLTS 220 kV </w:t>
            </w:r>
          </w:p>
        </w:tc>
      </w:tr>
      <w:tr w:rsidR="00E77B70" w:rsidRPr="00D44CF2" w14:paraId="2A269CCC" w14:textId="77777777" w:rsidTr="00261D2D">
        <w:trPr>
          <w:trHeight w:val="225"/>
        </w:trPr>
        <w:tc>
          <w:tcPr>
            <w:cnfStyle w:val="001000000000" w:firstRow="0" w:lastRow="0" w:firstColumn="1" w:lastColumn="0" w:oddVBand="0" w:evenVBand="0" w:oddHBand="0" w:evenHBand="0" w:firstRowFirstColumn="0" w:firstRowLastColumn="0" w:lastRowFirstColumn="0" w:lastRowLastColumn="0"/>
            <w:tcW w:w="1776" w:type="dxa"/>
            <w:hideMark/>
          </w:tcPr>
          <w:p w14:paraId="7B983913" w14:textId="77777777" w:rsidR="00E77B70" w:rsidRPr="00D44CF2" w:rsidRDefault="00E77B70" w:rsidP="001A3F5B">
            <w:pPr>
              <w:pStyle w:val="TableText"/>
            </w:pPr>
            <w:r w:rsidRPr="00D44CF2">
              <w:t>2029-30  </w:t>
            </w:r>
          </w:p>
        </w:tc>
        <w:tc>
          <w:tcPr>
            <w:tcW w:w="3894" w:type="dxa"/>
            <w:hideMark/>
          </w:tcPr>
          <w:p w14:paraId="19D288A3"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NA No planned generation changes </w:t>
            </w:r>
          </w:p>
        </w:tc>
        <w:tc>
          <w:tcPr>
            <w:tcW w:w="4230" w:type="dxa"/>
            <w:hideMark/>
          </w:tcPr>
          <w:p w14:paraId="3CD09D12"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NA No planned network augmentations </w:t>
            </w:r>
          </w:p>
        </w:tc>
      </w:tr>
      <w:tr w:rsidR="00E77B70" w:rsidRPr="00D44CF2" w14:paraId="61415B8B"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1776" w:type="dxa"/>
            <w:hideMark/>
          </w:tcPr>
          <w:p w14:paraId="265A0F1C" w14:textId="77777777" w:rsidR="00E77B70" w:rsidRPr="00D44CF2" w:rsidRDefault="00E77B70" w:rsidP="001A3F5B">
            <w:pPr>
              <w:pStyle w:val="TableText"/>
            </w:pPr>
            <w:r w:rsidRPr="00D44CF2">
              <w:t>2030-31 </w:t>
            </w:r>
          </w:p>
        </w:tc>
        <w:tc>
          <w:tcPr>
            <w:tcW w:w="3894" w:type="dxa"/>
            <w:hideMark/>
          </w:tcPr>
          <w:p w14:paraId="68026635"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 </w:t>
            </w:r>
          </w:p>
        </w:tc>
        <w:tc>
          <w:tcPr>
            <w:tcW w:w="4230" w:type="dxa"/>
            <w:hideMark/>
          </w:tcPr>
          <w:p w14:paraId="3F17F292"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Transmission augmentation to access renewable energy in western Victoria (Stage 2: BGTS-WBTS-NBATS-NSTS new 220 kV and 500 kV lines) - Western Renewable Link - MOVED from 2027-28 </w:t>
            </w:r>
          </w:p>
          <w:p w14:paraId="14C1936C"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Installation of one 100 MVAR capacitor at DPTS 220 kV as part of Metropolitan Melbourne Voltage Management - Stage 2</w:t>
            </w:r>
          </w:p>
        </w:tc>
      </w:tr>
      <w:tr w:rsidR="00E77B70" w:rsidRPr="00D44CF2" w14:paraId="77BACDF8"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1776" w:type="dxa"/>
            <w:hideMark/>
          </w:tcPr>
          <w:p w14:paraId="2361BE03" w14:textId="77777777" w:rsidR="00E77B70" w:rsidRPr="00D44CF2" w:rsidRDefault="00E77B70" w:rsidP="001A3F5B">
            <w:pPr>
              <w:pStyle w:val="TableText"/>
            </w:pPr>
            <w:r w:rsidRPr="00D44CF2">
              <w:t>2031-32 </w:t>
            </w:r>
          </w:p>
        </w:tc>
        <w:tc>
          <w:tcPr>
            <w:tcW w:w="3894" w:type="dxa"/>
            <w:hideMark/>
          </w:tcPr>
          <w:p w14:paraId="77C33CBF"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2 GW of offshore wind connected to Gippsland </w:t>
            </w:r>
          </w:p>
        </w:tc>
        <w:tc>
          <w:tcPr>
            <w:tcW w:w="4230" w:type="dxa"/>
            <w:hideMark/>
          </w:tcPr>
          <w:p w14:paraId="17FE6C6B" w14:textId="1325165E"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VNI West</w:t>
            </w:r>
          </w:p>
          <w:p w14:paraId="1691F042"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Marinus Link Stage 1   </w:t>
            </w:r>
          </w:p>
        </w:tc>
      </w:tr>
      <w:tr w:rsidR="00E77B70" w:rsidRPr="00D44CF2" w14:paraId="3D806B65" w14:textId="77777777" w:rsidTr="00261D2D">
        <w:trPr>
          <w:trHeight w:val="90"/>
        </w:trPr>
        <w:tc>
          <w:tcPr>
            <w:cnfStyle w:val="001000000000" w:firstRow="0" w:lastRow="0" w:firstColumn="1" w:lastColumn="0" w:oddVBand="0" w:evenVBand="0" w:oddHBand="0" w:evenHBand="0" w:firstRowFirstColumn="0" w:firstRowLastColumn="0" w:lastRowFirstColumn="0" w:lastRowLastColumn="0"/>
            <w:tcW w:w="1776" w:type="dxa"/>
            <w:vMerge w:val="restart"/>
            <w:hideMark/>
          </w:tcPr>
          <w:p w14:paraId="547C938F" w14:textId="77777777" w:rsidR="00E77B70" w:rsidRPr="00D44CF2" w:rsidRDefault="00E77B70" w:rsidP="001A3F5B">
            <w:pPr>
              <w:pStyle w:val="TableText"/>
            </w:pPr>
            <w:r w:rsidRPr="00D44CF2">
              <w:t>2032-33 </w:t>
            </w:r>
          </w:p>
        </w:tc>
        <w:tc>
          <w:tcPr>
            <w:tcW w:w="3894" w:type="dxa"/>
            <w:vMerge w:val="restart"/>
            <w:hideMark/>
          </w:tcPr>
          <w:p w14:paraId="4A35C784"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 </w:t>
            </w:r>
          </w:p>
        </w:tc>
        <w:tc>
          <w:tcPr>
            <w:tcW w:w="4230" w:type="dxa"/>
            <w:hideMark/>
          </w:tcPr>
          <w:p w14:paraId="0C33E261"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Marinus Link stage 2   </w:t>
            </w:r>
          </w:p>
        </w:tc>
      </w:tr>
      <w:tr w:rsidR="00E77B70" w:rsidRPr="00D44CF2" w14:paraId="78C703EF" w14:textId="77777777" w:rsidTr="00261D2D">
        <w:trPr>
          <w:trHeight w:val="150"/>
        </w:trPr>
        <w:tc>
          <w:tcPr>
            <w:cnfStyle w:val="001000000000" w:firstRow="0" w:lastRow="0" w:firstColumn="1" w:lastColumn="0" w:oddVBand="0" w:evenVBand="0" w:oddHBand="0" w:evenHBand="0" w:firstRowFirstColumn="0" w:firstRowLastColumn="0" w:lastRowFirstColumn="0" w:lastRowLastColumn="0"/>
            <w:tcW w:w="0" w:type="auto"/>
            <w:vMerge/>
            <w:hideMark/>
          </w:tcPr>
          <w:p w14:paraId="02A4D876" w14:textId="77777777" w:rsidR="00E77B70" w:rsidRPr="00D44CF2" w:rsidRDefault="00E77B70" w:rsidP="001A3F5B">
            <w:pPr>
              <w:pStyle w:val="TableText"/>
            </w:pPr>
          </w:p>
        </w:tc>
        <w:tc>
          <w:tcPr>
            <w:tcW w:w="3894" w:type="dxa"/>
            <w:vMerge/>
            <w:hideMark/>
          </w:tcPr>
          <w:p w14:paraId="0910E76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p>
        </w:tc>
        <w:tc>
          <w:tcPr>
            <w:tcW w:w="4230" w:type="dxa"/>
            <w:hideMark/>
          </w:tcPr>
          <w:p w14:paraId="68895D2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Gannawarra Energy Storage System retirement </w:t>
            </w:r>
          </w:p>
        </w:tc>
      </w:tr>
      <w:tr w:rsidR="00E77B70" w:rsidRPr="00D44CF2" w14:paraId="06CA6CE5" w14:textId="77777777" w:rsidTr="00261D2D">
        <w:trPr>
          <w:trHeight w:val="210"/>
        </w:trPr>
        <w:tc>
          <w:tcPr>
            <w:cnfStyle w:val="001000000000" w:firstRow="0" w:lastRow="0" w:firstColumn="1" w:lastColumn="0" w:oddVBand="0" w:evenVBand="0" w:oddHBand="0" w:evenHBand="0" w:firstRowFirstColumn="0" w:firstRowLastColumn="0" w:lastRowFirstColumn="0" w:lastRowLastColumn="0"/>
            <w:tcW w:w="0" w:type="auto"/>
            <w:vMerge/>
            <w:hideMark/>
          </w:tcPr>
          <w:p w14:paraId="05EEDEE4" w14:textId="77777777" w:rsidR="00E77B70" w:rsidRPr="00D44CF2" w:rsidRDefault="00E77B70" w:rsidP="001A3F5B">
            <w:pPr>
              <w:pStyle w:val="TableText"/>
            </w:pPr>
          </w:p>
        </w:tc>
        <w:tc>
          <w:tcPr>
            <w:tcW w:w="3894" w:type="dxa"/>
            <w:vMerge/>
            <w:hideMark/>
          </w:tcPr>
          <w:p w14:paraId="37E9761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p>
        </w:tc>
        <w:tc>
          <w:tcPr>
            <w:tcW w:w="4230" w:type="dxa"/>
            <w:hideMark/>
          </w:tcPr>
          <w:p w14:paraId="12634E9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lang w:eastAsia="en-AU"/>
              </w:rPr>
            </w:pPr>
            <w:r w:rsidRPr="00D44CF2">
              <w:rPr>
                <w:lang w:eastAsia="en-AU"/>
              </w:rPr>
              <w:t>Ballarat Energy Storage System (30 MW) retirement </w:t>
            </w:r>
          </w:p>
        </w:tc>
      </w:tr>
      <w:tr w:rsidR="00E77B70" w:rsidRPr="00D44CF2" w14:paraId="683FB684"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1776" w:type="dxa"/>
            <w:hideMark/>
          </w:tcPr>
          <w:p w14:paraId="1EC03A9A" w14:textId="77777777" w:rsidR="00E77B70" w:rsidRPr="00D44CF2" w:rsidRDefault="00E77B70" w:rsidP="001A3F5B">
            <w:pPr>
              <w:pStyle w:val="TableText"/>
            </w:pPr>
            <w:r w:rsidRPr="00D44CF2">
              <w:t>2033-34 </w:t>
            </w:r>
          </w:p>
        </w:tc>
        <w:tc>
          <w:tcPr>
            <w:tcW w:w="3894" w:type="dxa"/>
            <w:hideMark/>
          </w:tcPr>
          <w:p w14:paraId="4F94DC4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 </w:t>
            </w:r>
          </w:p>
        </w:tc>
        <w:tc>
          <w:tcPr>
            <w:tcW w:w="4230" w:type="dxa"/>
            <w:hideMark/>
          </w:tcPr>
          <w:p w14:paraId="1FB8CE1C" w14:textId="77777777" w:rsidR="00ED64AB"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D44CF2">
              <w:rPr>
                <w:lang w:eastAsia="en-AU"/>
              </w:rPr>
              <w:t xml:space="preserve">Metropolitan Melbourne Voltage Management - Stage - 3: </w:t>
            </w:r>
          </w:p>
          <w:p w14:paraId="0D1442C5" w14:textId="365774D7" w:rsidR="00ED64AB"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one 100 MVAr shunt capacitor at MTS 220</w:t>
            </w:r>
            <w:r w:rsidR="00E70F58" w:rsidRPr="00D44CF2">
              <w:t xml:space="preserve"> </w:t>
            </w:r>
            <w:r w:rsidRPr="00D44CF2">
              <w:t xml:space="preserve">kV </w:t>
            </w:r>
          </w:p>
          <w:p w14:paraId="1CD310FF" w14:textId="542A2F33"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olor w:val="424242"/>
                <w:sz w:val="24"/>
              </w:rPr>
            </w:pPr>
            <w:r w:rsidRPr="00D44CF2">
              <w:t>Install one 100 MVAr shunt capacitor at TBTS 220</w:t>
            </w:r>
            <w:r w:rsidR="00E70F58" w:rsidRPr="00D44CF2">
              <w:t xml:space="preserve"> </w:t>
            </w:r>
            <w:r w:rsidRPr="00D44CF2">
              <w:t>kV </w:t>
            </w:r>
          </w:p>
        </w:tc>
      </w:tr>
      <w:tr w:rsidR="00E77B70" w:rsidRPr="00D44CF2" w14:paraId="2C37699C"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1776" w:type="dxa"/>
            <w:hideMark/>
          </w:tcPr>
          <w:p w14:paraId="6F49C269" w14:textId="77777777" w:rsidR="00E77B70" w:rsidRPr="00D44CF2" w:rsidRDefault="00E77B70" w:rsidP="001A3F5B">
            <w:pPr>
              <w:pStyle w:val="TableText"/>
            </w:pPr>
            <w:r w:rsidRPr="00D44CF2">
              <w:t>2034-35  </w:t>
            </w:r>
          </w:p>
        </w:tc>
        <w:tc>
          <w:tcPr>
            <w:tcW w:w="3894" w:type="dxa"/>
            <w:hideMark/>
          </w:tcPr>
          <w:p w14:paraId="7BB43BE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lang w:eastAsia="en-AU"/>
              </w:rPr>
            </w:pPr>
            <w:r w:rsidRPr="00D44CF2">
              <w:rPr>
                <w:rFonts w:ascii="Arial Nova" w:eastAsia="Times New Roman" w:hAnsi="Arial Nova" w:cs="Times New Roman"/>
                <w:szCs w:val="16"/>
                <w:lang w:eastAsia="en-AU"/>
              </w:rPr>
              <w:t>No planned generation changes</w:t>
            </w:r>
          </w:p>
        </w:tc>
        <w:tc>
          <w:tcPr>
            <w:tcW w:w="4230" w:type="dxa"/>
          </w:tcPr>
          <w:p w14:paraId="4C6A7C82" w14:textId="57D15FFF"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rPr>
                <w:lang w:eastAsia="en-AU"/>
              </w:rPr>
              <w:t>No planned network augmentations</w:t>
            </w:r>
          </w:p>
        </w:tc>
      </w:tr>
      <w:tr w:rsidR="00E77B70" w:rsidRPr="00D44CF2" w14:paraId="37D84CA5" w14:textId="77777777" w:rsidTr="00261D2D">
        <w:trPr>
          <w:trHeight w:val="135"/>
        </w:trPr>
        <w:tc>
          <w:tcPr>
            <w:cnfStyle w:val="001000000000" w:firstRow="0" w:lastRow="0" w:firstColumn="1" w:lastColumn="0" w:oddVBand="0" w:evenVBand="0" w:oddHBand="0" w:evenHBand="0" w:firstRowFirstColumn="0" w:firstRowLastColumn="0" w:lastRowFirstColumn="0" w:lastRowLastColumn="0"/>
            <w:tcW w:w="1776" w:type="dxa"/>
            <w:hideMark/>
          </w:tcPr>
          <w:p w14:paraId="64DB4C1A" w14:textId="77777777" w:rsidR="00E77B70" w:rsidRPr="00D44CF2" w:rsidRDefault="00E77B70" w:rsidP="001A3F5B">
            <w:pPr>
              <w:pStyle w:val="TableText"/>
            </w:pPr>
            <w:r w:rsidRPr="00D44CF2">
              <w:t>2025-36</w:t>
            </w:r>
          </w:p>
        </w:tc>
        <w:tc>
          <w:tcPr>
            <w:tcW w:w="3894" w:type="dxa"/>
            <w:hideMark/>
          </w:tcPr>
          <w:p w14:paraId="4C0377C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lang w:eastAsia="en-AU"/>
              </w:rPr>
            </w:pPr>
            <w:r w:rsidRPr="00D44CF2">
              <w:rPr>
                <w:rFonts w:ascii="Arial Nova" w:eastAsia="Times New Roman" w:hAnsi="Arial Nova" w:cs="Times New Roman"/>
                <w:szCs w:val="16"/>
                <w:lang w:eastAsia="en-AU"/>
              </w:rPr>
              <w:t>No planned generation changes</w:t>
            </w:r>
          </w:p>
        </w:tc>
        <w:tc>
          <w:tcPr>
            <w:tcW w:w="4230" w:type="dxa"/>
            <w:hideMark/>
          </w:tcPr>
          <w:p w14:paraId="3C16200C" w14:textId="77777777" w:rsidR="00E77B70" w:rsidRPr="005115BB" w:rsidRDefault="00E77B70" w:rsidP="005115BB">
            <w:pPr>
              <w:pStyle w:val="TableText"/>
              <w:cnfStyle w:val="000000000000" w:firstRow="0" w:lastRow="0" w:firstColumn="0" w:lastColumn="0" w:oddVBand="0" w:evenVBand="0" w:oddHBand="0" w:evenHBand="0" w:firstRowFirstColumn="0" w:firstRowLastColumn="0" w:lastRowFirstColumn="0" w:lastRowLastColumn="0"/>
            </w:pPr>
            <w:r w:rsidRPr="005115BB">
              <w:t>Retirement of Loy Yang A Power Station 4 units (A1-A4) – this retirement has not been announced; it is only being tested for scenario analysis</w:t>
            </w:r>
          </w:p>
        </w:tc>
      </w:tr>
      <w:tr w:rsidR="00E77B70" w:rsidRPr="00D44CF2" w14:paraId="1E0C8AEF" w14:textId="77777777" w:rsidTr="00261D2D">
        <w:trPr>
          <w:trHeight w:val="135"/>
        </w:trPr>
        <w:tc>
          <w:tcPr>
            <w:cnfStyle w:val="001000000000" w:firstRow="0" w:lastRow="0" w:firstColumn="1" w:lastColumn="0" w:oddVBand="0" w:evenVBand="0" w:oddHBand="0" w:evenHBand="0" w:firstRowFirstColumn="0" w:firstRowLastColumn="0" w:lastRowFirstColumn="0" w:lastRowLastColumn="0"/>
            <w:tcW w:w="1776" w:type="dxa"/>
            <w:hideMark/>
          </w:tcPr>
          <w:p w14:paraId="00011915" w14:textId="77777777" w:rsidR="00E77B70" w:rsidRPr="00D44CF2" w:rsidRDefault="00E77B70" w:rsidP="001A3F5B">
            <w:pPr>
              <w:pStyle w:val="TableText"/>
            </w:pPr>
            <w:r w:rsidRPr="00D44CF2">
              <w:t>2036-37  </w:t>
            </w:r>
          </w:p>
        </w:tc>
        <w:tc>
          <w:tcPr>
            <w:tcW w:w="3894" w:type="dxa"/>
            <w:hideMark/>
          </w:tcPr>
          <w:p w14:paraId="452BE484"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rPr>
                <w:rFonts w:ascii="Arial Nova" w:eastAsia="Times New Roman" w:hAnsi="Arial Nova" w:cs="Times New Roman"/>
                <w:szCs w:val="16"/>
                <w:lang w:eastAsia="en-AU"/>
              </w:rPr>
              <w:t>Increase size of offshore wind units at Gippsland to 5 GW </w:t>
            </w:r>
          </w:p>
        </w:tc>
        <w:tc>
          <w:tcPr>
            <w:tcW w:w="4230" w:type="dxa"/>
            <w:hideMark/>
          </w:tcPr>
          <w:p w14:paraId="3FEA640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24242"/>
                <w:sz w:val="24"/>
                <w:lang w:eastAsia="en-AU"/>
              </w:rPr>
            </w:pPr>
            <w:r w:rsidRPr="00D44CF2">
              <w:t xml:space="preserve"> No planned network augmentations</w:t>
            </w:r>
          </w:p>
        </w:tc>
      </w:tr>
    </w:tbl>
    <w:p w14:paraId="623AA83F" w14:textId="77777777" w:rsidR="00E77B70" w:rsidRPr="00D44CF2" w:rsidRDefault="00E77B70" w:rsidP="00E77B70">
      <w:pPr>
        <w:pStyle w:val="AppendixHeading2"/>
      </w:pPr>
      <w:bookmarkStart w:id="317" w:name="_Ref209509415"/>
      <w:bookmarkStart w:id="318" w:name="_Toc212023294"/>
      <w:r w:rsidRPr="00D44CF2">
        <w:lastRenderedPageBreak/>
        <w:t>VicGrid network augmentation projects</w:t>
      </w:r>
      <w:bookmarkEnd w:id="317"/>
      <w:bookmarkEnd w:id="318"/>
    </w:p>
    <w:p w14:paraId="7F556647" w14:textId="286684C9" w:rsidR="00E77B70" w:rsidRPr="00D44CF2" w:rsidRDefault="00E77B70" w:rsidP="00E77B70">
      <w:pPr>
        <w:pStyle w:val="BodyText"/>
      </w:pPr>
      <w:r w:rsidRPr="00D44CF2">
        <w:rPr>
          <w:rStyle w:val="normaltextrun"/>
          <w:b/>
          <w:bCs/>
        </w:rPr>
        <w:fldChar w:fldCharType="begin"/>
      </w:r>
      <w:r w:rsidRPr="00D44CF2">
        <w:rPr>
          <w:rStyle w:val="normaltextrun"/>
          <w:b/>
          <w:bCs/>
        </w:rPr>
        <w:instrText xml:space="preserve"> REF _Ref208410052 \r \h </w:instrText>
      </w:r>
      <w:r w:rsidR="00D44CF2">
        <w:rPr>
          <w:rStyle w:val="normaltextrun"/>
          <w:b/>
          <w:bCs/>
        </w:rPr>
        <w:instrText xml:space="preserve"> \* MERGEFORMAT </w:instrText>
      </w:r>
      <w:r w:rsidRPr="00D44CF2">
        <w:rPr>
          <w:rStyle w:val="normaltextrun"/>
          <w:b/>
          <w:bCs/>
        </w:rPr>
      </w:r>
      <w:r w:rsidRPr="00D44CF2">
        <w:rPr>
          <w:rStyle w:val="normaltextrun"/>
          <w:b/>
          <w:bCs/>
        </w:rPr>
        <w:fldChar w:fldCharType="separate"/>
      </w:r>
      <w:r w:rsidR="004973D2">
        <w:rPr>
          <w:rStyle w:val="normaltextrun"/>
          <w:b/>
          <w:bCs/>
        </w:rPr>
        <w:t>Table 22</w:t>
      </w:r>
      <w:r w:rsidRPr="00D44CF2">
        <w:rPr>
          <w:rStyle w:val="normaltextrun"/>
          <w:b/>
          <w:bCs/>
        </w:rPr>
        <w:fldChar w:fldCharType="end"/>
      </w:r>
      <w:r w:rsidRPr="00D44CF2">
        <w:rPr>
          <w:rStyle w:val="normaltextrun"/>
        </w:rPr>
        <w:t xml:space="preserve"> below outlines the transmission network augmentation programs in Victoria proposed in VicGrid’s VTP</w:t>
      </w:r>
      <w:r w:rsidRPr="00D44CF2">
        <w:rPr>
          <w:rStyle w:val="FootnoteReference"/>
        </w:rPr>
        <w:footnoteReference w:id="133"/>
      </w:r>
      <w:r w:rsidRPr="00D44CF2">
        <w:rPr>
          <w:rStyle w:val="normaltextrun"/>
        </w:rPr>
        <w:t xml:space="preserve">, summarising their scope, timing, and the rationale behind each initiative. These projects are from </w:t>
      </w:r>
      <w:r w:rsidR="0053620F" w:rsidRPr="00D44CF2">
        <w:rPr>
          <w:rStyle w:val="normaltextrun"/>
        </w:rPr>
        <w:t xml:space="preserve">the ODP </w:t>
      </w:r>
      <w:r w:rsidRPr="00D44CF2">
        <w:rPr>
          <w:rStyle w:val="normaltextrun"/>
        </w:rPr>
        <w:t xml:space="preserve">in the VTP. The 2025 VAPR has not considered CDP2 </w:t>
      </w:r>
      <w:r w:rsidR="006C2E00" w:rsidRPr="00D44CF2">
        <w:rPr>
          <w:rStyle w:val="normaltextrun"/>
        </w:rPr>
        <w:t xml:space="preserve">or </w:t>
      </w:r>
      <w:r w:rsidRPr="00D44CF2">
        <w:rPr>
          <w:rStyle w:val="normaltextrun"/>
        </w:rPr>
        <w:t>CDP3 that are discussed in the VTP.</w:t>
      </w:r>
    </w:p>
    <w:p w14:paraId="0A41B97E" w14:textId="77777777" w:rsidR="00E77B70" w:rsidRPr="00D44CF2" w:rsidRDefault="00E77B70" w:rsidP="00E77B70">
      <w:pPr>
        <w:pStyle w:val="CaptionTable"/>
      </w:pPr>
      <w:bookmarkStart w:id="319" w:name="_Ref208410052"/>
      <w:bookmarkStart w:id="320" w:name="_Toc212023326"/>
      <w:r w:rsidRPr="00D44CF2">
        <w:t>VicGrid network augmentation projects</w:t>
      </w:r>
      <w:bookmarkEnd w:id="319"/>
      <w:bookmarkEnd w:id="320"/>
    </w:p>
    <w:tbl>
      <w:tblPr>
        <w:tblStyle w:val="AEMO-Table4"/>
        <w:tblW w:w="10215" w:type="dxa"/>
        <w:tblLayout w:type="fixed"/>
        <w:tblLook w:val="06A0" w:firstRow="1" w:lastRow="0" w:firstColumn="1" w:lastColumn="0" w:noHBand="1" w:noVBand="1"/>
      </w:tblPr>
      <w:tblGrid>
        <w:gridCol w:w="3405"/>
        <w:gridCol w:w="5100"/>
        <w:gridCol w:w="1710"/>
      </w:tblGrid>
      <w:tr w:rsidR="00D04E7E" w:rsidRPr="00D44CF2" w14:paraId="3014A9FC" w14:textId="77777777" w:rsidTr="006066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5" w:type="dxa"/>
          </w:tcPr>
          <w:p w14:paraId="1675C874" w14:textId="77777777" w:rsidR="00E77B70" w:rsidRPr="00D44CF2" w:rsidRDefault="00E77B70" w:rsidP="001A3F5B">
            <w:pPr>
              <w:pStyle w:val="TableText"/>
            </w:pPr>
            <w:r w:rsidRPr="00D44CF2">
              <w:t xml:space="preserve">Program </w:t>
            </w:r>
          </w:p>
        </w:tc>
        <w:tc>
          <w:tcPr>
            <w:tcW w:w="5100" w:type="dxa"/>
          </w:tcPr>
          <w:p w14:paraId="3F97CE07"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 xml:space="preserve">Why is it needed? </w:t>
            </w:r>
          </w:p>
        </w:tc>
        <w:tc>
          <w:tcPr>
            <w:tcW w:w="1710" w:type="dxa"/>
          </w:tcPr>
          <w:p w14:paraId="3DC7ABC0"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Proposed year</w:t>
            </w:r>
          </w:p>
        </w:tc>
      </w:tr>
      <w:tr w:rsidR="00E77B70" w:rsidRPr="00D44CF2" w14:paraId="618B4E80" w14:textId="77777777" w:rsidTr="0060668A">
        <w:trPr>
          <w:trHeight w:val="20"/>
        </w:trPr>
        <w:tc>
          <w:tcPr>
            <w:cnfStyle w:val="001000000000" w:firstRow="0" w:lastRow="0" w:firstColumn="1" w:lastColumn="0" w:oddVBand="0" w:evenVBand="0" w:oddHBand="0" w:evenHBand="0" w:firstRowFirstColumn="0" w:firstRowLastColumn="0" w:lastRowFirstColumn="0" w:lastRowLastColumn="0"/>
            <w:tcW w:w="3405" w:type="dxa"/>
          </w:tcPr>
          <w:p w14:paraId="23C9FC18" w14:textId="77777777" w:rsidR="00E77B70" w:rsidRPr="00D44CF2" w:rsidRDefault="00E77B70" w:rsidP="001A3F5B">
            <w:pPr>
              <w:pStyle w:val="TableText"/>
            </w:pPr>
            <w:r w:rsidRPr="00D44CF2">
              <w:t xml:space="preserve">Western Victoria reinforcement program </w:t>
            </w:r>
          </w:p>
        </w:tc>
        <w:tc>
          <w:tcPr>
            <w:tcW w:w="5100" w:type="dxa"/>
          </w:tcPr>
          <w:p w14:paraId="16D8EC8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Augmentation and upgrade of existing infrastructure to enable onshore wind and solar integration in Western, Central Highlands, and South West REZs, while reinforcing supply to metropolitan Melbourne. </w:t>
            </w:r>
          </w:p>
        </w:tc>
        <w:tc>
          <w:tcPr>
            <w:tcW w:w="1710" w:type="dxa"/>
          </w:tcPr>
          <w:p w14:paraId="1AF5C4C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2028 - 2030 </w:t>
            </w:r>
          </w:p>
        </w:tc>
      </w:tr>
      <w:tr w:rsidR="00E77B70" w:rsidRPr="00D44CF2" w14:paraId="0B9A2EFD" w14:textId="77777777" w:rsidTr="0060668A">
        <w:trPr>
          <w:trHeight w:val="20"/>
        </w:trPr>
        <w:tc>
          <w:tcPr>
            <w:cnfStyle w:val="001000000000" w:firstRow="0" w:lastRow="0" w:firstColumn="1" w:lastColumn="0" w:oddVBand="0" w:evenVBand="0" w:oddHBand="0" w:evenHBand="0" w:firstRowFirstColumn="0" w:firstRowLastColumn="0" w:lastRowFirstColumn="0" w:lastRowLastColumn="0"/>
            <w:tcW w:w="3405" w:type="dxa"/>
          </w:tcPr>
          <w:p w14:paraId="384F6B87" w14:textId="77777777" w:rsidR="00E77B70" w:rsidRPr="00D44CF2" w:rsidRDefault="00E77B70" w:rsidP="001A3F5B">
            <w:pPr>
              <w:pStyle w:val="TableText"/>
            </w:pPr>
            <w:r w:rsidRPr="00D44CF2">
              <w:t xml:space="preserve">Eastern Victoria reinforcement program </w:t>
            </w:r>
          </w:p>
        </w:tc>
        <w:tc>
          <w:tcPr>
            <w:tcW w:w="5100" w:type="dxa"/>
          </w:tcPr>
          <w:p w14:paraId="59DCEA84"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Network upgrades, including a new Hazelwood – Yallourn line, to meet rising demand in eastern Melbourne, support the east-to-west supply shift, and ensure secure connections to Gippsland and Central North REZs, including offshore wind. </w:t>
            </w:r>
          </w:p>
        </w:tc>
        <w:tc>
          <w:tcPr>
            <w:tcW w:w="1710" w:type="dxa"/>
          </w:tcPr>
          <w:p w14:paraId="0B1DA6F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2028 - 2030 </w:t>
            </w:r>
          </w:p>
        </w:tc>
      </w:tr>
      <w:tr w:rsidR="00E77B70" w:rsidRPr="00D44CF2" w14:paraId="2BD6A603" w14:textId="77777777" w:rsidTr="0060668A">
        <w:trPr>
          <w:trHeight w:val="20"/>
        </w:trPr>
        <w:tc>
          <w:tcPr>
            <w:cnfStyle w:val="001000000000" w:firstRow="0" w:lastRow="0" w:firstColumn="1" w:lastColumn="0" w:oddVBand="0" w:evenVBand="0" w:oddHBand="0" w:evenHBand="0" w:firstRowFirstColumn="0" w:firstRowLastColumn="0" w:lastRowFirstColumn="0" w:lastRowLastColumn="0"/>
            <w:tcW w:w="3405" w:type="dxa"/>
          </w:tcPr>
          <w:p w14:paraId="350965AB" w14:textId="77777777" w:rsidR="00E77B70" w:rsidRPr="00D44CF2" w:rsidRDefault="00E77B70" w:rsidP="001A3F5B">
            <w:pPr>
              <w:pStyle w:val="TableText"/>
            </w:pPr>
            <w:r w:rsidRPr="00D44CF2">
              <w:t xml:space="preserve">North West strengthening program </w:t>
            </w:r>
          </w:p>
        </w:tc>
        <w:tc>
          <w:tcPr>
            <w:tcW w:w="5100" w:type="dxa"/>
          </w:tcPr>
          <w:p w14:paraId="448E2F1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Replacement of single-circuit sections with high-capacity double-circuit lines to support additional generation in Western and North West REZs and enable efficient transfer to high-demand areas. </w:t>
            </w:r>
          </w:p>
        </w:tc>
        <w:tc>
          <w:tcPr>
            <w:tcW w:w="1710" w:type="dxa"/>
          </w:tcPr>
          <w:p w14:paraId="1DB109E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2035 </w:t>
            </w:r>
          </w:p>
        </w:tc>
      </w:tr>
      <w:tr w:rsidR="00E77B70" w:rsidRPr="00D44CF2" w14:paraId="2BE062C4" w14:textId="77777777" w:rsidTr="0060668A">
        <w:trPr>
          <w:trHeight w:val="20"/>
        </w:trPr>
        <w:tc>
          <w:tcPr>
            <w:cnfStyle w:val="001000000000" w:firstRow="0" w:lastRow="0" w:firstColumn="1" w:lastColumn="0" w:oddVBand="0" w:evenVBand="0" w:oddHBand="0" w:evenHBand="0" w:firstRowFirstColumn="0" w:firstRowLastColumn="0" w:lastRowFirstColumn="0" w:lastRowLastColumn="0"/>
            <w:tcW w:w="3405" w:type="dxa"/>
          </w:tcPr>
          <w:p w14:paraId="64AB7D8E" w14:textId="77777777" w:rsidR="00E77B70" w:rsidRPr="00D44CF2" w:rsidRDefault="00E77B70" w:rsidP="001A3F5B">
            <w:pPr>
              <w:pStyle w:val="TableText"/>
            </w:pPr>
            <w:r w:rsidRPr="00D44CF2">
              <w:t xml:space="preserve">South West expansion program </w:t>
            </w:r>
          </w:p>
        </w:tc>
        <w:tc>
          <w:tcPr>
            <w:tcW w:w="5100" w:type="dxa"/>
          </w:tcPr>
          <w:p w14:paraId="21FCA0D5" w14:textId="3CB6AB05"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Construction of a new 500 kV double-circuit line and associated works in south-west Victoria to accommodate high-quality wind generation and support additional capacity in the south-west and Central Highlands REZs. </w:t>
            </w:r>
          </w:p>
        </w:tc>
        <w:tc>
          <w:tcPr>
            <w:tcW w:w="1710" w:type="dxa"/>
          </w:tcPr>
          <w:p w14:paraId="73B2C29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2033 </w:t>
            </w:r>
          </w:p>
        </w:tc>
      </w:tr>
      <w:tr w:rsidR="00E77B70" w:rsidRPr="00D44CF2" w14:paraId="35D28B26" w14:textId="77777777" w:rsidTr="0060668A">
        <w:trPr>
          <w:trHeight w:val="20"/>
        </w:trPr>
        <w:tc>
          <w:tcPr>
            <w:cnfStyle w:val="001000000000" w:firstRow="0" w:lastRow="0" w:firstColumn="1" w:lastColumn="0" w:oddVBand="0" w:evenVBand="0" w:oddHBand="0" w:evenHBand="0" w:firstRowFirstColumn="0" w:firstRowLastColumn="0" w:lastRowFirstColumn="0" w:lastRowLastColumn="0"/>
            <w:tcW w:w="3405" w:type="dxa"/>
          </w:tcPr>
          <w:p w14:paraId="5A39C45B" w14:textId="77777777" w:rsidR="00E77B70" w:rsidRPr="00D44CF2" w:rsidRDefault="00E77B70" w:rsidP="001A3F5B">
            <w:pPr>
              <w:pStyle w:val="TableText"/>
            </w:pPr>
            <w:r w:rsidRPr="00D44CF2">
              <w:t xml:space="preserve">Gippsland offshore wind transmission stage 2 program </w:t>
            </w:r>
          </w:p>
        </w:tc>
        <w:tc>
          <w:tcPr>
            <w:tcW w:w="5100" w:type="dxa"/>
          </w:tcPr>
          <w:p w14:paraId="752EB80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Development of a new transmission loop to connect additional offshore wind generation in the Gippsland area, supporting Victoria’s 2035 and 2040 offshore wind targets and building on the initial Gippsland offshore wind project. </w:t>
            </w:r>
          </w:p>
        </w:tc>
        <w:tc>
          <w:tcPr>
            <w:tcW w:w="1710" w:type="dxa"/>
          </w:tcPr>
          <w:p w14:paraId="1C564CF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2033 – 2038 </w:t>
            </w:r>
          </w:p>
        </w:tc>
      </w:tr>
      <w:tr w:rsidR="00E77B70" w:rsidRPr="00D44CF2" w14:paraId="6FEF54BF" w14:textId="77777777" w:rsidTr="0060668A">
        <w:trPr>
          <w:trHeight w:val="20"/>
        </w:trPr>
        <w:tc>
          <w:tcPr>
            <w:cnfStyle w:val="001000000000" w:firstRow="0" w:lastRow="0" w:firstColumn="1" w:lastColumn="0" w:oddVBand="0" w:evenVBand="0" w:oddHBand="0" w:evenHBand="0" w:firstRowFirstColumn="0" w:firstRowLastColumn="0" w:lastRowFirstColumn="0" w:lastRowLastColumn="0"/>
            <w:tcW w:w="3405" w:type="dxa"/>
          </w:tcPr>
          <w:p w14:paraId="69310339" w14:textId="77777777" w:rsidR="00E77B70" w:rsidRPr="00D44CF2" w:rsidRDefault="00E77B70" w:rsidP="001A3F5B">
            <w:pPr>
              <w:pStyle w:val="TableText"/>
            </w:pPr>
            <w:r w:rsidRPr="00D44CF2">
              <w:t xml:space="preserve">Latrobe Valley strengthening program </w:t>
            </w:r>
          </w:p>
        </w:tc>
        <w:tc>
          <w:tcPr>
            <w:tcW w:w="5100" w:type="dxa"/>
          </w:tcPr>
          <w:p w14:paraId="18559A6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Installation of power flow controllers and dynamic rating devices in Latrobe Valley to improve renewable integration, manage power flows, reduce congestion, and support generation transfer from Gippsland REZ and offshore wind. </w:t>
            </w:r>
          </w:p>
        </w:tc>
        <w:tc>
          <w:tcPr>
            <w:tcW w:w="1710" w:type="dxa"/>
          </w:tcPr>
          <w:p w14:paraId="2711C64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2034 – 2035 </w:t>
            </w:r>
          </w:p>
        </w:tc>
      </w:tr>
      <w:tr w:rsidR="00E77B70" w:rsidRPr="00D44CF2" w14:paraId="55AF188E" w14:textId="77777777" w:rsidTr="0060668A">
        <w:trPr>
          <w:trHeight w:val="20"/>
        </w:trPr>
        <w:tc>
          <w:tcPr>
            <w:cnfStyle w:val="001000000000" w:firstRow="0" w:lastRow="0" w:firstColumn="1" w:lastColumn="0" w:oddVBand="0" w:evenVBand="0" w:oddHBand="0" w:evenHBand="0" w:firstRowFirstColumn="0" w:firstRowLastColumn="0" w:lastRowFirstColumn="0" w:lastRowLastColumn="0"/>
            <w:tcW w:w="3405" w:type="dxa"/>
          </w:tcPr>
          <w:p w14:paraId="4B9318E0" w14:textId="77777777" w:rsidR="00E77B70" w:rsidRPr="00D44CF2" w:rsidRDefault="00E77B70" w:rsidP="001A3F5B">
            <w:pPr>
              <w:pStyle w:val="TableText"/>
            </w:pPr>
            <w:r w:rsidRPr="00D44CF2">
              <w:t xml:space="preserve">Offshore wind upgrade </w:t>
            </w:r>
          </w:p>
        </w:tc>
        <w:tc>
          <w:tcPr>
            <w:tcW w:w="5100" w:type="dxa"/>
          </w:tcPr>
          <w:p w14:paraId="652E1C0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Uprating of existing transmission lines from Heywood to Portland to enable connection of offshore wind generation from the Southern Ocean offshore wind area. </w:t>
            </w:r>
          </w:p>
        </w:tc>
        <w:tc>
          <w:tcPr>
            <w:tcW w:w="1710" w:type="dxa"/>
          </w:tcPr>
          <w:p w14:paraId="34F5D31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2038, or earlier</w:t>
            </w:r>
          </w:p>
        </w:tc>
      </w:tr>
    </w:tbl>
    <w:p w14:paraId="394DD036" w14:textId="77777777" w:rsidR="00E77B70" w:rsidRPr="00D44CF2" w:rsidRDefault="00E77B70" w:rsidP="00E77B70">
      <w:pPr>
        <w:sectPr w:rsidR="00E77B70" w:rsidRPr="00D44CF2" w:rsidSect="00E77B70">
          <w:headerReference w:type="default" r:id="rId108"/>
          <w:pgSz w:w="11907" w:h="16840" w:code="9"/>
          <w:pgMar w:top="1985" w:right="907" w:bottom="1418" w:left="907" w:header="788" w:footer="471" w:gutter="0"/>
          <w:cols w:space="708"/>
          <w:docGrid w:linePitch="360"/>
        </w:sectPr>
      </w:pPr>
    </w:p>
    <w:p w14:paraId="79396C2C" w14:textId="77777777" w:rsidR="00E77B70" w:rsidRPr="00D44CF2" w:rsidRDefault="00E77B70" w:rsidP="00E77B70">
      <w:pPr>
        <w:pStyle w:val="AppendixHeading"/>
      </w:pPr>
      <w:bookmarkStart w:id="321" w:name="_Ref148613299"/>
      <w:bookmarkStart w:id="322" w:name="_Ref148638263"/>
      <w:bookmarkStart w:id="323" w:name="_Toc149230051"/>
      <w:bookmarkStart w:id="324" w:name="_Toc149638117"/>
      <w:bookmarkStart w:id="325" w:name="_Toc180159699"/>
      <w:bookmarkStart w:id="326" w:name="_Toc212023295"/>
      <w:r w:rsidRPr="00D44CF2">
        <w:lastRenderedPageBreak/>
        <w:t>DSN limitations detail</w:t>
      </w:r>
      <w:bookmarkEnd w:id="321"/>
      <w:bookmarkEnd w:id="322"/>
      <w:bookmarkEnd w:id="323"/>
      <w:bookmarkEnd w:id="324"/>
      <w:bookmarkEnd w:id="325"/>
      <w:bookmarkEnd w:id="326"/>
    </w:p>
    <w:p w14:paraId="2AF7DBE8" w14:textId="77777777" w:rsidR="00E77B70" w:rsidRPr="00D44CF2" w:rsidRDefault="00E77B70" w:rsidP="00E77B70">
      <w:pPr>
        <w:pStyle w:val="BodyText"/>
      </w:pPr>
      <w:r w:rsidRPr="00D44CF2">
        <w:t xml:space="preserve">Details for transmission network limitations are grouped geographically in the following sub-sections. </w:t>
      </w:r>
    </w:p>
    <w:p w14:paraId="01BC19F1" w14:textId="77777777" w:rsidR="00E77B70" w:rsidRPr="00D44CF2" w:rsidRDefault="00E77B70" w:rsidP="00E77B70">
      <w:r w:rsidRPr="00D44CF2">
        <w:t xml:space="preserve">Changes in the list of limitations in this 2025 VAPR from the 2024 VAPR are: </w:t>
      </w:r>
    </w:p>
    <w:p w14:paraId="283BF10B" w14:textId="77777777" w:rsidR="00E77B70" w:rsidRPr="00D44CF2" w:rsidRDefault="00E77B70" w:rsidP="00E77B70">
      <w:pPr>
        <w:pStyle w:val="ListBullet"/>
        <w:numPr>
          <w:ilvl w:val="0"/>
          <w:numId w:val="93"/>
        </w:numPr>
      </w:pPr>
      <w:r w:rsidRPr="00D44CF2">
        <w:t>New limitations:</w:t>
      </w:r>
    </w:p>
    <w:p w14:paraId="1E9AF935" w14:textId="3CF917B3" w:rsidR="00E77B70" w:rsidRPr="00D44CF2" w:rsidRDefault="00E77B70" w:rsidP="00E77B70">
      <w:pPr>
        <w:pStyle w:val="ListBullet2"/>
        <w:numPr>
          <w:ilvl w:val="1"/>
          <w:numId w:val="93"/>
        </w:numPr>
      </w:pPr>
      <w:r w:rsidRPr="00D44CF2">
        <w:t xml:space="preserve">Overload of Keilor 500 kV A2 and A4 Transformers due to changes to connection point forecasts and an overall increase in maximum demand. More information about this limitation is in Section </w:t>
      </w:r>
      <w:r w:rsidRPr="00D44CF2">
        <w:fldChar w:fldCharType="begin"/>
      </w:r>
      <w:r w:rsidRPr="00D44CF2">
        <w:instrText xml:space="preserve"> REF _Ref180480656 \n \h  \* MERGEFORMAT </w:instrText>
      </w:r>
      <w:r w:rsidRPr="00D44CF2">
        <w:fldChar w:fldCharType="separate"/>
      </w:r>
      <w:r w:rsidR="004973D2">
        <w:t>4.2</w:t>
      </w:r>
      <w:r w:rsidRPr="00D44CF2">
        <w:fldChar w:fldCharType="end"/>
      </w:r>
      <w:r w:rsidRPr="00D44CF2">
        <w:t>.</w:t>
      </w:r>
    </w:p>
    <w:p w14:paraId="3A57384D" w14:textId="416C84D9" w:rsidR="00E77B70" w:rsidRPr="00D44CF2" w:rsidRDefault="00E77B70" w:rsidP="00E77B70">
      <w:pPr>
        <w:pStyle w:val="ListBullet2"/>
        <w:numPr>
          <w:ilvl w:val="1"/>
          <w:numId w:val="93"/>
        </w:numPr>
      </w:pPr>
      <w:r w:rsidRPr="00D44CF2">
        <w:t>Overload of Dederang – South Morang 330 kV line during high demand times. This limitation is now considered to be monitored, as outlined in Section 4.2.</w:t>
      </w:r>
    </w:p>
    <w:p w14:paraId="3F17B7D7" w14:textId="7B314003" w:rsidR="00E77B70" w:rsidRPr="00D44CF2" w:rsidRDefault="00E77B70" w:rsidP="00E77B70">
      <w:pPr>
        <w:pStyle w:val="ListBullet2"/>
        <w:numPr>
          <w:ilvl w:val="1"/>
          <w:numId w:val="93"/>
        </w:numPr>
      </w:pPr>
      <w:r w:rsidRPr="00D44CF2">
        <w:t>Overload of Brooklyn – Keilor 220 kV line during high demand times. This limitation is now considered to be monitored, as outlined in Section 4.2.</w:t>
      </w:r>
    </w:p>
    <w:p w14:paraId="0BF49318" w14:textId="2B71A25C" w:rsidR="00E77B70" w:rsidRPr="00D44CF2" w:rsidRDefault="00E77B70" w:rsidP="00E77B70">
      <w:pPr>
        <w:pStyle w:val="ListBullet2"/>
        <w:numPr>
          <w:ilvl w:val="1"/>
          <w:numId w:val="93"/>
        </w:numPr>
      </w:pPr>
      <w:r w:rsidRPr="00D44CF2">
        <w:t>Overload of Altona – Keilor 220 kV line during high demand times. This limitation is now considered to be monitored, as outlined in Section 4.2.</w:t>
      </w:r>
    </w:p>
    <w:p w14:paraId="40BBA6FB" w14:textId="77777777" w:rsidR="00E77B70" w:rsidRPr="00D44CF2" w:rsidRDefault="00E77B70" w:rsidP="00E77B70">
      <w:pPr>
        <w:pStyle w:val="ListBullet"/>
        <w:numPr>
          <w:ilvl w:val="0"/>
          <w:numId w:val="93"/>
        </w:numPr>
      </w:pPr>
      <w:r w:rsidRPr="00D44CF2">
        <w:t xml:space="preserve">Removed limitations: </w:t>
      </w:r>
    </w:p>
    <w:p w14:paraId="7A01CBEA" w14:textId="283E43E8" w:rsidR="00E77B70" w:rsidRPr="00D44CF2" w:rsidRDefault="00E77B70" w:rsidP="00E77B70">
      <w:pPr>
        <w:pStyle w:val="ListBullet2"/>
        <w:numPr>
          <w:ilvl w:val="1"/>
          <w:numId w:val="93"/>
        </w:numPr>
      </w:pPr>
      <w:r w:rsidRPr="00D44CF2">
        <w:t>Overload of Dederang – Wodonga 330 kV line loading during high demand/import and during high export for the contingency trip of a Dederang – Murray 220 kV line. Due to changes in the generation mix in Victoria and New South Wales</w:t>
      </w:r>
      <w:r w:rsidR="0060668A">
        <w:t>,</w:t>
      </w:r>
      <w:r w:rsidRPr="00D44CF2">
        <w:t xml:space="preserve"> the sharing of the interconnector lines has changed slightly</w:t>
      </w:r>
      <w:r w:rsidR="0060668A">
        <w:t>,</w:t>
      </w:r>
      <w:r w:rsidRPr="00D44CF2">
        <w:t xml:space="preserve"> and this limitation has dropped below the thresholds to be considered monitored and has now been removed.</w:t>
      </w:r>
    </w:p>
    <w:p w14:paraId="31F8BCF4" w14:textId="77777777" w:rsidR="00E77B70" w:rsidRPr="00D44CF2" w:rsidRDefault="00E77B70" w:rsidP="00E77B70">
      <w:r w:rsidRPr="00D44CF2">
        <w:t xml:space="preserve">The possible network solutions presented in the sub-sections below should be treated as indicative only, and a RIT-T will be required to determine the full list of network and non-network options as well as the preferred option. The preferred option may include one or a combination of the solutions presented in the sub-sections below. </w:t>
      </w:r>
    </w:p>
    <w:p w14:paraId="625AE4A0" w14:textId="77777777" w:rsidR="00E77B70" w:rsidRDefault="00E77B70" w:rsidP="00E77B70">
      <w:r w:rsidRPr="00D44CF2">
        <w:t>In this appendix, triggers are defined as the operating conditions under which a limitation may result in supply disruptions or constrain generation at increased frequency. A trigger being met will not necessarily result in any augmentations being justified, as that would be subjected to a RIT-T or appropriate consideration</w:t>
      </w:r>
      <w:r w:rsidR="008F1ED3">
        <w:t>.</w:t>
      </w:r>
    </w:p>
    <w:p w14:paraId="2E75BAAD" w14:textId="38A52179" w:rsidR="008F1ED3" w:rsidRPr="00D44CF2" w:rsidRDefault="008F1ED3" w:rsidP="00E77B70">
      <w:pPr>
        <w:sectPr w:rsidR="008F1ED3" w:rsidRPr="00D44CF2" w:rsidSect="00E77B70">
          <w:headerReference w:type="default" r:id="rId109"/>
          <w:pgSz w:w="11907" w:h="16840" w:code="9"/>
          <w:pgMar w:top="1985" w:right="907" w:bottom="1418" w:left="907" w:header="788" w:footer="471" w:gutter="0"/>
          <w:cols w:space="708"/>
          <w:docGrid w:linePitch="360"/>
        </w:sectPr>
      </w:pPr>
      <w:r>
        <w:t>In the following tables, AEMO NTP references include the latest publications of National Transmission Planning reports, which may change names. In the 2025 VAPR, the NTP reports referenced are the 2024 ISP and the 2024 NSCAS report.</w:t>
      </w:r>
    </w:p>
    <w:p w14:paraId="7587571C" w14:textId="145CAF8D" w:rsidR="00E77B70" w:rsidRPr="00D44CF2" w:rsidRDefault="00E77B70" w:rsidP="00E77B70">
      <w:pPr>
        <w:pStyle w:val="AppendixHeading2"/>
        <w:spacing w:before="0"/>
      </w:pPr>
      <w:bookmarkStart w:id="327" w:name="_Toc212023296"/>
      <w:r w:rsidRPr="00D44CF2">
        <w:lastRenderedPageBreak/>
        <w:t xml:space="preserve">Central North </w:t>
      </w:r>
      <w:r w:rsidR="00AA6CCB">
        <w:t xml:space="preserve">Victoria </w:t>
      </w:r>
      <w:r w:rsidRPr="00D44CF2">
        <w:t>corridor</w:t>
      </w:r>
      <w:bookmarkEnd w:id="327"/>
      <w:r w:rsidRPr="00D44CF2">
        <w:t xml:space="preserve"> </w:t>
      </w:r>
    </w:p>
    <w:p w14:paraId="6425CC53" w14:textId="470E5AD8" w:rsidR="00E77B70" w:rsidRPr="00D44CF2" w:rsidRDefault="00E77B70" w:rsidP="00E77B70">
      <w:pPr>
        <w:pStyle w:val="CaptionTable"/>
        <w:rPr>
          <w:bCs/>
        </w:rPr>
      </w:pPr>
      <w:bookmarkStart w:id="328" w:name="_Toc212023327"/>
      <w:r w:rsidRPr="00D44CF2">
        <w:t xml:space="preserve">Limitations in the Central North </w:t>
      </w:r>
      <w:r w:rsidR="00030620">
        <w:t xml:space="preserve">Victoria </w:t>
      </w:r>
      <w:r w:rsidRPr="00D44CF2">
        <w:t>corridor</w:t>
      </w:r>
      <w:bookmarkEnd w:id="328"/>
    </w:p>
    <w:tbl>
      <w:tblPr>
        <w:tblStyle w:val="AEMO-Table4"/>
        <w:tblW w:w="0" w:type="auto"/>
        <w:tblLayout w:type="fixed"/>
        <w:tblLook w:val="06A0" w:firstRow="1" w:lastRow="0" w:firstColumn="1" w:lastColumn="0" w:noHBand="1" w:noVBand="1"/>
      </w:tblPr>
      <w:tblGrid>
        <w:gridCol w:w="3402"/>
        <w:gridCol w:w="1276"/>
        <w:gridCol w:w="3402"/>
        <w:gridCol w:w="2552"/>
        <w:gridCol w:w="2218"/>
        <w:gridCol w:w="2218"/>
      </w:tblGrid>
      <w:tr w:rsidR="00723C05" w:rsidRPr="00D44CF2" w14:paraId="2EF041B7" w14:textId="7777777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402" w:type="dxa"/>
          </w:tcPr>
          <w:p w14:paraId="191C6F6F" w14:textId="77777777" w:rsidR="00E77B70" w:rsidRPr="00D44CF2" w:rsidRDefault="00E77B70" w:rsidP="001A3F5B">
            <w:pPr>
              <w:pStyle w:val="TableText"/>
            </w:pPr>
            <w:r w:rsidRPr="00D44CF2">
              <w:t>Limitation</w:t>
            </w:r>
          </w:p>
        </w:tc>
        <w:tc>
          <w:tcPr>
            <w:tcW w:w="1276" w:type="dxa"/>
          </w:tcPr>
          <w:p w14:paraId="72EBC2A6"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type</w:t>
            </w:r>
          </w:p>
        </w:tc>
        <w:tc>
          <w:tcPr>
            <w:tcW w:w="3402" w:type="dxa"/>
          </w:tcPr>
          <w:p w14:paraId="59974587"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Possible network solution</w:t>
            </w:r>
          </w:p>
        </w:tc>
        <w:tc>
          <w:tcPr>
            <w:tcW w:w="2552" w:type="dxa"/>
          </w:tcPr>
          <w:p w14:paraId="1B532330"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Trigger</w:t>
            </w:r>
          </w:p>
        </w:tc>
        <w:tc>
          <w:tcPr>
            <w:tcW w:w="2218" w:type="dxa"/>
          </w:tcPr>
          <w:p w14:paraId="5F79A56D" w14:textId="6211D614"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AEMO National Transmission Planning (NTP) references</w:t>
            </w:r>
          </w:p>
        </w:tc>
        <w:tc>
          <w:tcPr>
            <w:tcW w:w="2218" w:type="dxa"/>
          </w:tcPr>
          <w:p w14:paraId="58CC4141"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Contestable project status</w:t>
            </w:r>
          </w:p>
        </w:tc>
      </w:tr>
      <w:tr w:rsidR="000E57CB" w:rsidRPr="00D44CF2" w14:paraId="2D03E768" w14:textId="77777777" w:rsidTr="00261D2D">
        <w:trPr>
          <w:cantSplit/>
          <w:trHeight w:val="390"/>
        </w:trPr>
        <w:tc>
          <w:tcPr>
            <w:cnfStyle w:val="001000000000" w:firstRow="0" w:lastRow="0" w:firstColumn="1" w:lastColumn="0" w:oddVBand="0" w:evenVBand="0" w:oddHBand="0" w:evenHBand="0" w:firstRowFirstColumn="0" w:firstRowLastColumn="0" w:lastRowFirstColumn="0" w:lastRowLastColumn="0"/>
            <w:tcW w:w="3402" w:type="dxa"/>
          </w:tcPr>
          <w:p w14:paraId="5D3855C1" w14:textId="32294503" w:rsidR="00E77B70" w:rsidRPr="00D44CF2" w:rsidRDefault="00E77B70" w:rsidP="001A3F5B">
            <w:pPr>
              <w:pStyle w:val="TableText"/>
            </w:pPr>
            <w:r w:rsidRPr="00D44CF2">
              <w:t>Dederang – Glenrowan – Shepparton and Shepparton –Axedale – Fosterville – Bendigo 220 kV line thermal capacity limitations (minimum demand and high generation times)</w:t>
            </w:r>
          </w:p>
        </w:tc>
        <w:tc>
          <w:tcPr>
            <w:tcW w:w="1276" w:type="dxa"/>
          </w:tcPr>
          <w:p w14:paraId="553EB5B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Monitored</w:t>
            </w:r>
          </w:p>
        </w:tc>
        <w:tc>
          <w:tcPr>
            <w:tcW w:w="3402" w:type="dxa"/>
          </w:tcPr>
          <w:p w14:paraId="61CDF6D5"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an automatic load shedding and generation runback control scheme to enable the use of five-minute line rating.</w:t>
            </w:r>
          </w:p>
          <w:p w14:paraId="358342E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 wind monitoring scheme.</w:t>
            </w:r>
          </w:p>
          <w:p w14:paraId="07AAD651"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 modular flow controller on the Bendigo – Fosterville – Axedale – Shepparton 220 kV line.</w:t>
            </w:r>
          </w:p>
          <w:p w14:paraId="3FEC8398"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Replace the complete line section with new double-circuit lines.</w:t>
            </w:r>
          </w:p>
        </w:tc>
        <w:tc>
          <w:tcPr>
            <w:tcW w:w="2552" w:type="dxa"/>
          </w:tcPr>
          <w:p w14:paraId="6F81317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Increased demand in regional Victoria and/or increased import from New South Wales. </w:t>
            </w:r>
          </w:p>
          <w:p w14:paraId="4A53748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Large-scale new generation connected to Western Victoria and Central North areas, and congestion within Western Victoria relieved to allow the new generation to be sent out of Western Victoria. </w:t>
            </w:r>
          </w:p>
        </w:tc>
        <w:tc>
          <w:tcPr>
            <w:tcW w:w="2218" w:type="dxa"/>
          </w:tcPr>
          <w:p w14:paraId="7EA93D6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Identified limitation as part of Central North Victoria REZ.</w:t>
            </w:r>
          </w:p>
        </w:tc>
        <w:tc>
          <w:tcPr>
            <w:tcW w:w="2218" w:type="dxa"/>
          </w:tcPr>
          <w:p w14:paraId="3DA639C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Any new transformer or new transmission lines are likely to be contestable projects.</w:t>
            </w:r>
          </w:p>
        </w:tc>
      </w:tr>
    </w:tbl>
    <w:p w14:paraId="09D13F46" w14:textId="6646C941" w:rsidR="00E77B70" w:rsidRPr="00D44CF2" w:rsidRDefault="00E77B70" w:rsidP="00E77B70">
      <w:pPr>
        <w:pStyle w:val="AppendixHeading2"/>
      </w:pPr>
      <w:bookmarkStart w:id="329" w:name="_Toc212023297"/>
      <w:r w:rsidRPr="00D44CF2">
        <w:t xml:space="preserve">Eastern </w:t>
      </w:r>
      <w:r w:rsidR="00AA6CCB">
        <w:t xml:space="preserve">Victoria </w:t>
      </w:r>
      <w:r w:rsidRPr="00D44CF2">
        <w:t>Corridor</w:t>
      </w:r>
      <w:bookmarkEnd w:id="329"/>
    </w:p>
    <w:p w14:paraId="3B7526A3" w14:textId="04D9112A" w:rsidR="00E77B70" w:rsidRPr="00D44CF2" w:rsidRDefault="00E77B70" w:rsidP="00A755DC">
      <w:pPr>
        <w:pStyle w:val="CaptionTable"/>
      </w:pPr>
      <w:bookmarkStart w:id="330" w:name="_Toc212023328"/>
      <w:r w:rsidRPr="00D44CF2">
        <w:t xml:space="preserve">Limitations in the Eastern </w:t>
      </w:r>
      <w:r w:rsidR="00030620">
        <w:t xml:space="preserve">Victoria </w:t>
      </w:r>
      <w:r w:rsidRPr="00D44CF2">
        <w:t>corridor</w:t>
      </w:r>
      <w:bookmarkEnd w:id="330"/>
    </w:p>
    <w:tbl>
      <w:tblPr>
        <w:tblStyle w:val="AEMO-Table4"/>
        <w:tblW w:w="0" w:type="auto"/>
        <w:tblLayout w:type="fixed"/>
        <w:tblLook w:val="06A0" w:firstRow="1" w:lastRow="0" w:firstColumn="1" w:lastColumn="0" w:noHBand="1" w:noVBand="1"/>
      </w:tblPr>
      <w:tblGrid>
        <w:gridCol w:w="3402"/>
        <w:gridCol w:w="1276"/>
        <w:gridCol w:w="3402"/>
        <w:gridCol w:w="2552"/>
        <w:gridCol w:w="2127"/>
        <w:gridCol w:w="2268"/>
      </w:tblGrid>
      <w:tr w:rsidR="00723C05" w:rsidRPr="00D44CF2" w14:paraId="33478FFA" w14:textId="7777777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402" w:type="dxa"/>
          </w:tcPr>
          <w:p w14:paraId="18581CA0" w14:textId="77777777" w:rsidR="00E77B70" w:rsidRPr="00D44CF2" w:rsidRDefault="00E77B70" w:rsidP="001A3F5B">
            <w:pPr>
              <w:pStyle w:val="TableText"/>
            </w:pPr>
            <w:r w:rsidRPr="00D44CF2">
              <w:t>Limitation</w:t>
            </w:r>
          </w:p>
        </w:tc>
        <w:tc>
          <w:tcPr>
            <w:tcW w:w="1276" w:type="dxa"/>
          </w:tcPr>
          <w:p w14:paraId="074EDEB3"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type</w:t>
            </w:r>
          </w:p>
        </w:tc>
        <w:tc>
          <w:tcPr>
            <w:tcW w:w="3402" w:type="dxa"/>
          </w:tcPr>
          <w:p w14:paraId="77C231D2"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Possible network solution</w:t>
            </w:r>
          </w:p>
        </w:tc>
        <w:tc>
          <w:tcPr>
            <w:tcW w:w="2552" w:type="dxa"/>
          </w:tcPr>
          <w:p w14:paraId="6FFE395A"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Trigger</w:t>
            </w:r>
          </w:p>
        </w:tc>
        <w:tc>
          <w:tcPr>
            <w:tcW w:w="2127" w:type="dxa"/>
          </w:tcPr>
          <w:p w14:paraId="06EB197A" w14:textId="17D073F8"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AEMO NTP references</w:t>
            </w:r>
          </w:p>
        </w:tc>
        <w:tc>
          <w:tcPr>
            <w:tcW w:w="2268" w:type="dxa"/>
          </w:tcPr>
          <w:p w14:paraId="043D0077"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Contestable project status</w:t>
            </w:r>
          </w:p>
        </w:tc>
      </w:tr>
      <w:tr w:rsidR="00723C05" w:rsidRPr="00D44CF2" w14:paraId="7C07072B"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5B6B2CE1" w14:textId="77777777" w:rsidR="00E77B70" w:rsidRPr="00D44CF2" w:rsidRDefault="00E77B70" w:rsidP="001A3F5B">
            <w:pPr>
              <w:pStyle w:val="TableText"/>
            </w:pPr>
            <w:r w:rsidRPr="00D44CF2">
              <w:t xml:space="preserve">Thermal capacity limitations in Latrobe Valley 220 kV corridor – Overloading Hazelwood to Yallourn to Rowville 220 kV lines post Yallourn retirement </w:t>
            </w:r>
          </w:p>
        </w:tc>
        <w:tc>
          <w:tcPr>
            <w:tcW w:w="1276" w:type="dxa"/>
          </w:tcPr>
          <w:p w14:paraId="39A5A36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Priority</w:t>
            </w:r>
          </w:p>
        </w:tc>
        <w:tc>
          <w:tcPr>
            <w:tcW w:w="3402" w:type="dxa"/>
          </w:tcPr>
          <w:p w14:paraId="2279B2CE"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AVP has identified a new switching arrangement at HWPS (modified parallel mode) for post YWPS retirement to utilise the eastern 220 kV corridor. </w:t>
            </w:r>
          </w:p>
          <w:p w14:paraId="31CD5843"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AVP has initiated a minor augmentation project to scope out the details of the works required to facilitate the proposed re</w:t>
            </w:r>
            <w:r w:rsidRPr="00D44CF2">
              <w:noBreakHyphen/>
              <w:t>configuration in year 2028. The scope includes minor switching works at HWPS and implementation of a control scheme to manage post contingent overloading.</w:t>
            </w:r>
          </w:p>
          <w:p w14:paraId="2DBFCA7F" w14:textId="551EFCCB"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lastRenderedPageBreak/>
              <w:t xml:space="preserve">Further thermal capacity can be unlocked through works considered in the </w:t>
            </w:r>
            <w:r w:rsidR="003F284A" w:rsidRPr="003F284A">
              <w:t xml:space="preserve">Eastern Victoria </w:t>
            </w:r>
            <w:r w:rsidRPr="00D44CF2">
              <w:t>Grid Reinforcement RIT-T</w:t>
            </w:r>
            <w:r w:rsidR="005D207D">
              <w:t>.</w:t>
            </w:r>
          </w:p>
        </w:tc>
        <w:tc>
          <w:tcPr>
            <w:tcW w:w="2552" w:type="dxa"/>
          </w:tcPr>
          <w:p w14:paraId="31C840E8" w14:textId="2702618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lastRenderedPageBreak/>
              <w:t>Decommissioning of Y</w:t>
            </w:r>
            <w:r w:rsidR="00427D31" w:rsidRPr="00D44CF2">
              <w:rPr>
                <w:rFonts w:ascii="Arial Nova" w:eastAsia="Times New Roman" w:hAnsi="Arial Nova" w:cs="Times New Roman"/>
                <w:szCs w:val="16"/>
              </w:rPr>
              <w:t>W</w:t>
            </w:r>
            <w:r w:rsidRPr="00D44CF2">
              <w:rPr>
                <w:rFonts w:ascii="Arial Nova" w:eastAsia="Times New Roman" w:hAnsi="Arial Nova" w:cs="Times New Roman"/>
                <w:szCs w:val="16"/>
              </w:rPr>
              <w:t>PS with modified parallel mode or additional generation is commissioned on the 220 kV network at HWPS, at a site east of HWPS, or on the 500 kV network east of Cranbourne Terminal Station (CBTS).</w:t>
            </w:r>
          </w:p>
        </w:tc>
        <w:tc>
          <w:tcPr>
            <w:tcW w:w="2127" w:type="dxa"/>
          </w:tcPr>
          <w:p w14:paraId="6A6EC4C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Not identified.</w:t>
            </w:r>
          </w:p>
        </w:tc>
        <w:tc>
          <w:tcPr>
            <w:tcW w:w="2268" w:type="dxa"/>
          </w:tcPr>
          <w:p w14:paraId="368088A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Works to reconfigure HWPS are unlikely to be contestable.</w:t>
            </w:r>
          </w:p>
        </w:tc>
      </w:tr>
      <w:tr w:rsidR="00723C05" w:rsidRPr="00D44CF2" w14:paraId="733EC770"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34AAE5AC" w14:textId="1AC31523" w:rsidR="00E77B70" w:rsidRPr="00D44CF2" w:rsidRDefault="00E77B70" w:rsidP="001A3F5B">
            <w:pPr>
              <w:pStyle w:val="TableText"/>
            </w:pPr>
            <w:r w:rsidRPr="00D44CF2">
              <w:t>Hazelwood – Loy Yang 500 kV thermal capacity limitation</w:t>
            </w:r>
          </w:p>
        </w:tc>
        <w:tc>
          <w:tcPr>
            <w:tcW w:w="1276" w:type="dxa"/>
          </w:tcPr>
          <w:p w14:paraId="1B39C47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Monitored</w:t>
            </w:r>
          </w:p>
        </w:tc>
        <w:tc>
          <w:tcPr>
            <w:tcW w:w="3402" w:type="dxa"/>
          </w:tcPr>
          <w:p w14:paraId="1231C512" w14:textId="7486B12D"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Construct a new single</w:t>
            </w:r>
            <w:r w:rsidR="00407BB0">
              <w:t>-</w:t>
            </w:r>
            <w:r w:rsidRPr="00D44CF2">
              <w:t xml:space="preserve">circuit Hazelwood – Loy Yang 500 kV line. </w:t>
            </w:r>
          </w:p>
          <w:p w14:paraId="1A6208D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Construct a new double-circuit Hazelwood – Loy Yang 500 kV and string only one circuit. </w:t>
            </w:r>
          </w:p>
          <w:p w14:paraId="3DFA4759"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Construct a new double-circuit Hazelwood – Loy Yang 500 kV and string both. </w:t>
            </w:r>
          </w:p>
        </w:tc>
        <w:tc>
          <w:tcPr>
            <w:tcW w:w="2552" w:type="dxa"/>
          </w:tcPr>
          <w:p w14:paraId="458FE4F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Commissioning of additional generation connected at LYPS. </w:t>
            </w:r>
          </w:p>
        </w:tc>
        <w:tc>
          <w:tcPr>
            <w:tcW w:w="2127" w:type="dxa"/>
          </w:tcPr>
          <w:p w14:paraId="3C50BEF0" w14:textId="2B37A2FA"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Identified in 2020 ISP.</w:t>
            </w:r>
          </w:p>
        </w:tc>
        <w:tc>
          <w:tcPr>
            <w:tcW w:w="2268" w:type="dxa"/>
          </w:tcPr>
          <w:p w14:paraId="00B9CECA"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Any new line is likely to be competitively sourced.</w:t>
            </w:r>
          </w:p>
        </w:tc>
      </w:tr>
      <w:tr w:rsidR="00723C05" w:rsidRPr="00D44CF2" w14:paraId="20FE4765"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4A760C66" w14:textId="77777777" w:rsidR="00E77B70" w:rsidRPr="00D44CF2" w:rsidRDefault="00E77B70" w:rsidP="001A3F5B">
            <w:pPr>
              <w:pStyle w:val="TableText"/>
            </w:pPr>
            <w:r w:rsidRPr="00D44CF2">
              <w:t xml:space="preserve">Hazelwood – Loy Yang 500 kV line outage window </w:t>
            </w:r>
          </w:p>
        </w:tc>
        <w:tc>
          <w:tcPr>
            <w:tcW w:w="1276" w:type="dxa"/>
          </w:tcPr>
          <w:p w14:paraId="2DC67C0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Monitored </w:t>
            </w:r>
          </w:p>
          <w:p w14:paraId="3291ADC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 </w:t>
            </w:r>
          </w:p>
        </w:tc>
        <w:tc>
          <w:tcPr>
            <w:tcW w:w="3402" w:type="dxa"/>
          </w:tcPr>
          <w:p w14:paraId="19C487D5"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Construct a new single-circuit Hazelwood – Loy Yang 500 kV line. </w:t>
            </w:r>
          </w:p>
          <w:p w14:paraId="239BB65F"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Construct a new double-circuit Hazelwood – Loy Yang 500 kV and string only one circuit. </w:t>
            </w:r>
          </w:p>
          <w:p w14:paraId="27B012A3"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Construct a new double-circuit Hazelwood – Loy Yang 500 kV and string both. </w:t>
            </w:r>
          </w:p>
          <w:p w14:paraId="28C7AC91"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System strength and reactive power services to reduce reliance on Loy Yang units for these services during low demand periods. </w:t>
            </w:r>
          </w:p>
        </w:tc>
        <w:tc>
          <w:tcPr>
            <w:tcW w:w="2552" w:type="dxa"/>
          </w:tcPr>
          <w:p w14:paraId="0F33F6B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Reduction in dispatchable capacity west of Hazelwood 500 kV. </w:t>
            </w:r>
          </w:p>
          <w:p w14:paraId="578D961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Higher and more frequent demands above 6,000 MW. </w:t>
            </w:r>
          </w:p>
        </w:tc>
        <w:tc>
          <w:tcPr>
            <w:tcW w:w="2127" w:type="dxa"/>
          </w:tcPr>
          <w:p w14:paraId="6DC4AE2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Not identified. </w:t>
            </w:r>
          </w:p>
        </w:tc>
        <w:tc>
          <w:tcPr>
            <w:tcW w:w="2268" w:type="dxa"/>
          </w:tcPr>
          <w:p w14:paraId="2D58E86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Any new line is likely to be competitively sourced. </w:t>
            </w:r>
          </w:p>
          <w:p w14:paraId="46D97F8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 </w:t>
            </w:r>
          </w:p>
        </w:tc>
      </w:tr>
    </w:tbl>
    <w:p w14:paraId="5605B000" w14:textId="3585498E" w:rsidR="00E77B70" w:rsidRPr="00D44CF2" w:rsidRDefault="00E77B70" w:rsidP="00E77B70">
      <w:pPr>
        <w:pStyle w:val="AppendixHeading2"/>
      </w:pPr>
      <w:bookmarkStart w:id="331" w:name="_Toc212023298"/>
      <w:r w:rsidRPr="00D44CF2">
        <w:t xml:space="preserve">Northern </w:t>
      </w:r>
      <w:r w:rsidR="00657E6B">
        <w:t xml:space="preserve">Victoria </w:t>
      </w:r>
      <w:r w:rsidRPr="00D44CF2">
        <w:t>corridor</w:t>
      </w:r>
      <w:bookmarkEnd w:id="331"/>
    </w:p>
    <w:p w14:paraId="333DE6B0" w14:textId="273D4AA9" w:rsidR="00E77B70" w:rsidRPr="00D44CF2" w:rsidRDefault="00E77B70" w:rsidP="00E77B70">
      <w:pPr>
        <w:pStyle w:val="CaptionTable"/>
      </w:pPr>
      <w:bookmarkStart w:id="332" w:name="_Toc212023329"/>
      <w:r w:rsidRPr="00D44CF2">
        <w:t xml:space="preserve">Limitations in the Northern </w:t>
      </w:r>
      <w:r w:rsidR="00657E6B">
        <w:t xml:space="preserve">Victoria </w:t>
      </w:r>
      <w:r w:rsidRPr="00D44CF2">
        <w:t>corridor</w:t>
      </w:r>
      <w:bookmarkEnd w:id="332"/>
    </w:p>
    <w:tbl>
      <w:tblPr>
        <w:tblStyle w:val="AEMO-Table4"/>
        <w:tblW w:w="15027" w:type="dxa"/>
        <w:tblLayout w:type="fixed"/>
        <w:tblLook w:val="06A0" w:firstRow="1" w:lastRow="0" w:firstColumn="1" w:lastColumn="0" w:noHBand="1" w:noVBand="1"/>
      </w:tblPr>
      <w:tblGrid>
        <w:gridCol w:w="3402"/>
        <w:gridCol w:w="1276"/>
        <w:gridCol w:w="3402"/>
        <w:gridCol w:w="2552"/>
        <w:gridCol w:w="2127"/>
        <w:gridCol w:w="2268"/>
      </w:tblGrid>
      <w:tr w:rsidR="00723C05" w:rsidRPr="00D44CF2" w14:paraId="5FD09CBC" w14:textId="7777777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402" w:type="dxa"/>
          </w:tcPr>
          <w:p w14:paraId="68C7BCFC" w14:textId="77777777" w:rsidR="00E77B70" w:rsidRPr="00D44CF2" w:rsidRDefault="00E77B70" w:rsidP="001A3F5B">
            <w:pPr>
              <w:pStyle w:val="TableText"/>
            </w:pPr>
            <w:r w:rsidRPr="00D44CF2">
              <w:t>Limitation</w:t>
            </w:r>
          </w:p>
        </w:tc>
        <w:tc>
          <w:tcPr>
            <w:tcW w:w="1276" w:type="dxa"/>
          </w:tcPr>
          <w:p w14:paraId="51AA0196"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type</w:t>
            </w:r>
          </w:p>
        </w:tc>
        <w:tc>
          <w:tcPr>
            <w:tcW w:w="3402" w:type="dxa"/>
          </w:tcPr>
          <w:p w14:paraId="020BC2DE"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Possible network solution</w:t>
            </w:r>
          </w:p>
        </w:tc>
        <w:tc>
          <w:tcPr>
            <w:tcW w:w="2552" w:type="dxa"/>
          </w:tcPr>
          <w:p w14:paraId="183F7D4B"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Trigger</w:t>
            </w:r>
          </w:p>
        </w:tc>
        <w:tc>
          <w:tcPr>
            <w:tcW w:w="2127" w:type="dxa"/>
          </w:tcPr>
          <w:p w14:paraId="56B65407" w14:textId="69701563"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AEMO NTP references</w:t>
            </w:r>
          </w:p>
        </w:tc>
        <w:tc>
          <w:tcPr>
            <w:tcW w:w="2268" w:type="dxa"/>
          </w:tcPr>
          <w:p w14:paraId="2BC280B6"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Contestable project status</w:t>
            </w:r>
          </w:p>
        </w:tc>
      </w:tr>
      <w:tr w:rsidR="00723C05" w:rsidRPr="00D44CF2" w14:paraId="66C87C33"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6119B13C" w14:textId="77777777" w:rsidR="00E77B70" w:rsidRPr="00D44CF2" w:rsidRDefault="00E77B70" w:rsidP="001A3F5B">
            <w:pPr>
              <w:pStyle w:val="TableText"/>
            </w:pPr>
            <w:r w:rsidRPr="00D44CF2">
              <w:t>Dederang – Mount Beauty 220 kV line thermal capacity limitation</w:t>
            </w:r>
          </w:p>
        </w:tc>
        <w:tc>
          <w:tcPr>
            <w:tcW w:w="1276" w:type="dxa"/>
          </w:tcPr>
          <w:p w14:paraId="31B13BF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Monitored</w:t>
            </w:r>
          </w:p>
        </w:tc>
        <w:tc>
          <w:tcPr>
            <w:tcW w:w="3402" w:type="dxa"/>
          </w:tcPr>
          <w:p w14:paraId="77554AA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wind monitoring scheme. </w:t>
            </w:r>
          </w:p>
          <w:p w14:paraId="1E1E4BD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Up-rate the conductor temperature of both 220 kV circuits between Dederang and Mount Beauty to 82°C.</w:t>
            </w:r>
          </w:p>
        </w:tc>
        <w:tc>
          <w:tcPr>
            <w:tcW w:w="2552" w:type="dxa"/>
          </w:tcPr>
          <w:p w14:paraId="0B50B9D9" w14:textId="76EC547F"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Increased import from New South Wales or increased export to New South Wales with high hydro generation in the area.</w:t>
            </w:r>
          </w:p>
        </w:tc>
        <w:tc>
          <w:tcPr>
            <w:tcW w:w="2127" w:type="dxa"/>
          </w:tcPr>
          <w:p w14:paraId="32F6708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Not identified as a material limitation in the scenarios modelled.</w:t>
            </w:r>
          </w:p>
        </w:tc>
        <w:tc>
          <w:tcPr>
            <w:tcW w:w="2268" w:type="dxa"/>
          </w:tcPr>
          <w:p w14:paraId="3347DBD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If needed, these are unlikely to be contestable projects.</w:t>
            </w:r>
          </w:p>
        </w:tc>
      </w:tr>
      <w:tr w:rsidR="00723C05" w:rsidRPr="00D44CF2" w14:paraId="3112C932"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34518EDD" w14:textId="77777777" w:rsidR="00E77B70" w:rsidRPr="00D44CF2" w:rsidRDefault="00E77B70" w:rsidP="001A3F5B">
            <w:pPr>
              <w:pStyle w:val="TableText"/>
            </w:pPr>
            <w:r w:rsidRPr="00D44CF2">
              <w:lastRenderedPageBreak/>
              <w:t>Dederang – South Morang 330 kV line thermal capacity limitation</w:t>
            </w:r>
          </w:p>
        </w:tc>
        <w:tc>
          <w:tcPr>
            <w:tcW w:w="1276" w:type="dxa"/>
          </w:tcPr>
          <w:p w14:paraId="37E2821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Monitored</w:t>
            </w:r>
          </w:p>
        </w:tc>
        <w:tc>
          <w:tcPr>
            <w:tcW w:w="3402" w:type="dxa"/>
          </w:tcPr>
          <w:p w14:paraId="07A4681F" w14:textId="54355EB6"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Construct additional interconnector to New South Wales (VNI West)</w:t>
            </w:r>
            <w:r w:rsidR="00C13675">
              <w:t>.</w:t>
            </w:r>
          </w:p>
          <w:p w14:paraId="493B2B9A" w14:textId="583D2DCB"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Rebuild lines rated for 500</w:t>
            </w:r>
            <w:r w:rsidR="00C13675">
              <w:t xml:space="preserve"> </w:t>
            </w:r>
            <w:r w:rsidRPr="00D44CF2">
              <w:t>kV and change convert stations to 500</w:t>
            </w:r>
            <w:r w:rsidR="00C13675">
              <w:t xml:space="preserve"> </w:t>
            </w:r>
            <w:r w:rsidRPr="00D44CF2">
              <w:t>kV</w:t>
            </w:r>
            <w:r w:rsidR="00C13675">
              <w:t>.</w:t>
            </w:r>
          </w:p>
          <w:p w14:paraId="7E049194" w14:textId="3E12A448"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Construct third circuit or replace one circuit with double-circuit structures</w:t>
            </w:r>
            <w:r w:rsidR="00C13675">
              <w:t>.</w:t>
            </w:r>
          </w:p>
        </w:tc>
        <w:tc>
          <w:tcPr>
            <w:tcW w:w="2552" w:type="dxa"/>
          </w:tcPr>
          <w:p w14:paraId="1051C46B" w14:textId="22E1573C"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Increased import from New South Wales or increased export to New South Wales with high hydro generation in the area.</w:t>
            </w:r>
          </w:p>
        </w:tc>
        <w:tc>
          <w:tcPr>
            <w:tcW w:w="2127" w:type="dxa"/>
          </w:tcPr>
          <w:p w14:paraId="2BE8F4D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Not identified as a material limitation in the scenarios modelled.</w:t>
            </w:r>
          </w:p>
        </w:tc>
        <w:tc>
          <w:tcPr>
            <w:tcW w:w="2268" w:type="dxa"/>
          </w:tcPr>
          <w:p w14:paraId="2305D03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If needed, these are unlikely to be contestable projects.</w:t>
            </w:r>
          </w:p>
        </w:tc>
      </w:tr>
      <w:tr w:rsidR="00723C05" w:rsidRPr="00D44CF2" w14:paraId="3DA43325"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38BD4181" w14:textId="77777777" w:rsidR="00E77B70" w:rsidRPr="00D44CF2" w:rsidRDefault="00E77B70" w:rsidP="001A3F5B">
            <w:pPr>
              <w:pStyle w:val="TableText"/>
            </w:pPr>
            <w:r w:rsidRPr="00D44CF2">
              <w:t>Mount Beauty – Eildon 220 kV line thermal capacity limitation</w:t>
            </w:r>
          </w:p>
        </w:tc>
        <w:tc>
          <w:tcPr>
            <w:tcW w:w="1276" w:type="dxa"/>
          </w:tcPr>
          <w:p w14:paraId="4F86D07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Monitored</w:t>
            </w:r>
          </w:p>
        </w:tc>
        <w:tc>
          <w:tcPr>
            <w:tcW w:w="3402" w:type="dxa"/>
          </w:tcPr>
          <w:p w14:paraId="01F981C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wind monitoring scheme. </w:t>
            </w:r>
          </w:p>
          <w:p w14:paraId="5BF4DA34"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Up-rate Mount Beauty – Eildon – Thomastown 220 kV line, including terminations to 75°C operation.</w:t>
            </w:r>
          </w:p>
        </w:tc>
        <w:tc>
          <w:tcPr>
            <w:tcW w:w="2552" w:type="dxa"/>
          </w:tcPr>
          <w:p w14:paraId="5B63E31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Increased New South Wales import and export.</w:t>
            </w:r>
          </w:p>
        </w:tc>
        <w:tc>
          <w:tcPr>
            <w:tcW w:w="2127" w:type="dxa"/>
          </w:tcPr>
          <w:p w14:paraId="220BF74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Not identified as a material limitation in the scenarios modelled.</w:t>
            </w:r>
          </w:p>
        </w:tc>
        <w:tc>
          <w:tcPr>
            <w:tcW w:w="2268" w:type="dxa"/>
          </w:tcPr>
          <w:p w14:paraId="4019ECF4"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If needed, this is unlikely to be a contestable project.</w:t>
            </w:r>
          </w:p>
        </w:tc>
      </w:tr>
      <w:tr w:rsidR="00723C05" w:rsidRPr="00D44CF2" w14:paraId="53EAD1E1"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5F4AD87F" w14:textId="77777777" w:rsidR="00E77B70" w:rsidRPr="00D44CF2" w:rsidRDefault="00E77B70" w:rsidP="001A3F5B">
            <w:pPr>
              <w:pStyle w:val="TableText"/>
            </w:pPr>
            <w:r w:rsidRPr="00D44CF2">
              <w:t>Eildon – Thomastown 220 kV line thermal capacity limitation</w:t>
            </w:r>
          </w:p>
        </w:tc>
        <w:tc>
          <w:tcPr>
            <w:tcW w:w="1276" w:type="dxa"/>
          </w:tcPr>
          <w:p w14:paraId="556079F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Priority</w:t>
            </w:r>
          </w:p>
        </w:tc>
        <w:tc>
          <w:tcPr>
            <w:tcW w:w="3402" w:type="dxa"/>
          </w:tcPr>
          <w:p w14:paraId="71340644" w14:textId="77777777" w:rsidR="00E77B70" w:rsidRPr="00D44CF2" w:rsidRDefault="00E77B70" w:rsidP="001114FC">
            <w:pPr>
              <w:pStyle w:val="TableText"/>
              <w:cnfStyle w:val="000000000000" w:firstRow="0" w:lastRow="0" w:firstColumn="0" w:lastColumn="0" w:oddVBand="0" w:evenVBand="0" w:oddHBand="0" w:evenHBand="0" w:firstRowFirstColumn="0" w:firstRowLastColumn="0" w:lastRowFirstColumn="0" w:lastRowLastColumn="0"/>
            </w:pPr>
            <w:r w:rsidRPr="00D44CF2">
              <w:rPr>
                <w:rFonts w:ascii="Arial Nova" w:eastAsia="Arial Nova" w:hAnsi="Arial Nova" w:cs="Arial Nova"/>
                <w:color w:val="000000"/>
              </w:rPr>
              <w:t xml:space="preserve">To manage </w:t>
            </w:r>
            <w:r w:rsidRPr="00D44CF2">
              <w:t>thermal capacity limitation</w:t>
            </w:r>
            <w:r w:rsidRPr="00D44CF2">
              <w:rPr>
                <w:rFonts w:ascii="Arial Nova" w:eastAsia="Arial Nova" w:hAnsi="Arial Nova" w:cs="Arial Nova"/>
                <w:color w:val="000000"/>
              </w:rPr>
              <w:t xml:space="preserve"> on the Eildon – Thomastown 220 kV line, as part of VNI West AVP will cut the Eildon – Thomastown 220 kV line in at South Morang Terminal Station.</w:t>
            </w:r>
          </w:p>
          <w:p w14:paraId="28B21411" w14:textId="77777777" w:rsidR="00E77B70" w:rsidRPr="00D44CF2" w:rsidRDefault="00E77B70" w:rsidP="00ED64AB">
            <w:pPr>
              <w:pStyle w:val="TableBullet"/>
              <w:numPr>
                <w:ilvl w:val="0"/>
                <w:numId w:val="0"/>
              </w:numPr>
              <w:cnfStyle w:val="000000000000" w:firstRow="0" w:lastRow="0" w:firstColumn="0" w:lastColumn="0" w:oddVBand="0" w:evenVBand="0" w:oddHBand="0" w:evenHBand="0" w:firstRowFirstColumn="0" w:firstRowLastColumn="0" w:lastRowFirstColumn="0" w:lastRowLastColumn="0"/>
            </w:pPr>
            <w:r w:rsidRPr="00D44CF2">
              <w:t>Other options may include</w:t>
            </w:r>
          </w:p>
          <w:p w14:paraId="52B8946F"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wind monitoring scheme. </w:t>
            </w:r>
          </w:p>
          <w:p w14:paraId="7C1BDD80" w14:textId="034600CD" w:rsidR="00E77B70" w:rsidRPr="00D44CF2" w:rsidRDefault="00E77B70" w:rsidP="00C13675">
            <w:pPr>
              <w:pStyle w:val="TableBullet"/>
              <w:cnfStyle w:val="000000000000" w:firstRow="0" w:lastRow="0" w:firstColumn="0" w:lastColumn="0" w:oddVBand="0" w:evenVBand="0" w:oddHBand="0" w:evenHBand="0" w:firstRowFirstColumn="0" w:firstRowLastColumn="0" w:lastRowFirstColumn="0" w:lastRowLastColumn="0"/>
            </w:pPr>
            <w:r w:rsidRPr="00D44CF2">
              <w:t xml:space="preserve">Up-rate Eildon – </w:t>
            </w:r>
            <w:r w:rsidRPr="00C13675">
              <w:t>Thomastown</w:t>
            </w:r>
            <w:r w:rsidRPr="00D44CF2">
              <w:t xml:space="preserve"> 220 kV line, including terminations to 75°C operation.</w:t>
            </w:r>
          </w:p>
        </w:tc>
        <w:tc>
          <w:tcPr>
            <w:tcW w:w="2552" w:type="dxa"/>
          </w:tcPr>
          <w:p w14:paraId="540D734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Loss of Rowville A1 transformer at times of high demand in Eastern Metropolitan Melbourne.</w:t>
            </w:r>
          </w:p>
          <w:p w14:paraId="230C6DB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 xml:space="preserve"> </w:t>
            </w:r>
          </w:p>
        </w:tc>
        <w:tc>
          <w:tcPr>
            <w:tcW w:w="2127" w:type="dxa"/>
          </w:tcPr>
          <w:p w14:paraId="2ED905A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Not identified as a material limitation in the scenarios modelled.</w:t>
            </w:r>
          </w:p>
        </w:tc>
        <w:tc>
          <w:tcPr>
            <w:tcW w:w="2268" w:type="dxa"/>
          </w:tcPr>
          <w:p w14:paraId="56BAB62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Wind monitoring or line up-rating are unlikely to be contestable projects.</w:t>
            </w:r>
          </w:p>
        </w:tc>
      </w:tr>
      <w:tr w:rsidR="00723C05" w:rsidRPr="00D44CF2" w14:paraId="67304D41"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72828B2A" w14:textId="77777777" w:rsidR="00E77B70" w:rsidRPr="00D44CF2" w:rsidRDefault="00E77B70" w:rsidP="001A3F5B">
            <w:pPr>
              <w:pStyle w:val="TableText"/>
            </w:pPr>
            <w:r w:rsidRPr="00D44CF2">
              <w:t>Dederang 330/220 kV H3 transformer thermal capacity limitation</w:t>
            </w:r>
          </w:p>
        </w:tc>
        <w:tc>
          <w:tcPr>
            <w:tcW w:w="1276" w:type="dxa"/>
          </w:tcPr>
          <w:p w14:paraId="1521AFB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Monitored</w:t>
            </w:r>
          </w:p>
        </w:tc>
        <w:tc>
          <w:tcPr>
            <w:tcW w:w="3402" w:type="dxa"/>
          </w:tcPr>
          <w:p w14:paraId="485EB0DC"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 fourth 330/220 kV transformer at Dederang (or a newly established station nearby).</w:t>
            </w:r>
          </w:p>
        </w:tc>
        <w:tc>
          <w:tcPr>
            <w:tcW w:w="2552" w:type="dxa"/>
          </w:tcPr>
          <w:p w14:paraId="73B3B64B" w14:textId="61564B51"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At times of over 2,500 MW of imports from New South Wales and Murray generation (with the DBUSS transformer control scheme being active).</w:t>
            </w:r>
          </w:p>
        </w:tc>
        <w:tc>
          <w:tcPr>
            <w:tcW w:w="2127" w:type="dxa"/>
          </w:tcPr>
          <w:p w14:paraId="50655B4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Not identified as a material limitation in the scenarios modelled.</w:t>
            </w:r>
          </w:p>
        </w:tc>
        <w:tc>
          <w:tcPr>
            <w:tcW w:w="2268" w:type="dxa"/>
          </w:tcPr>
          <w:p w14:paraId="5B6C5CC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Any new transformer is likely to be a contestable project.</w:t>
            </w:r>
          </w:p>
        </w:tc>
      </w:tr>
      <w:tr w:rsidR="00723C05" w:rsidRPr="00D44CF2" w14:paraId="6961E7D6"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4310A655" w14:textId="77777777" w:rsidR="00E77B70" w:rsidRPr="00D44CF2" w:rsidRDefault="00E77B70" w:rsidP="001A3F5B">
            <w:pPr>
              <w:pStyle w:val="TableText"/>
            </w:pPr>
            <w:r w:rsidRPr="00D44CF2">
              <w:t>Voltage stability at North Victoria/South New South Wales (import)</w:t>
            </w:r>
          </w:p>
        </w:tc>
        <w:tc>
          <w:tcPr>
            <w:tcW w:w="1276" w:type="dxa"/>
          </w:tcPr>
          <w:p w14:paraId="70C9DE0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Monitored</w:t>
            </w:r>
          </w:p>
        </w:tc>
        <w:tc>
          <w:tcPr>
            <w:tcW w:w="3402" w:type="dxa"/>
          </w:tcPr>
          <w:p w14:paraId="0B586407"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Procure network support services, including the provision of additional reactive support (generating). </w:t>
            </w:r>
          </w:p>
          <w:p w14:paraId="59022926"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additional capacitor banks and/or controlled series compensation at Dederang and Wodonga terminal stations.</w:t>
            </w:r>
          </w:p>
        </w:tc>
        <w:tc>
          <w:tcPr>
            <w:tcW w:w="2552" w:type="dxa"/>
          </w:tcPr>
          <w:p w14:paraId="42F1710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Increased import from New South Wales to Victoria (high demand in Victoria).</w:t>
            </w:r>
          </w:p>
        </w:tc>
        <w:tc>
          <w:tcPr>
            <w:tcW w:w="2127" w:type="dxa"/>
          </w:tcPr>
          <w:p w14:paraId="43899AF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Not identified as a material limitation in the scenarios modelled.</w:t>
            </w:r>
          </w:p>
        </w:tc>
        <w:tc>
          <w:tcPr>
            <w:tcW w:w="2268" w:type="dxa"/>
          </w:tcPr>
          <w:p w14:paraId="110AE0E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If needed, these are both likely to be contestable projects</w:t>
            </w:r>
          </w:p>
        </w:tc>
      </w:tr>
      <w:tr w:rsidR="00723C05" w:rsidRPr="00D44CF2" w14:paraId="2A2623C5"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6C07DD3F" w14:textId="77777777" w:rsidR="00E77B70" w:rsidRPr="00D44CF2" w:rsidRDefault="00E77B70" w:rsidP="001A3F5B">
            <w:pPr>
              <w:pStyle w:val="TableText"/>
            </w:pPr>
            <w:r w:rsidRPr="00D44CF2">
              <w:t>Voltage stability at North Victoria/South New South Wales (export)</w:t>
            </w:r>
          </w:p>
        </w:tc>
        <w:tc>
          <w:tcPr>
            <w:tcW w:w="1276" w:type="dxa"/>
          </w:tcPr>
          <w:p w14:paraId="04BFB84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rPr>
                <w:szCs w:val="22"/>
              </w:rPr>
              <w:t>Monitored</w:t>
            </w:r>
          </w:p>
        </w:tc>
        <w:tc>
          <w:tcPr>
            <w:tcW w:w="3402" w:type="dxa"/>
          </w:tcPr>
          <w:p w14:paraId="4A0DD935"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Procure network support services. </w:t>
            </w:r>
          </w:p>
          <w:p w14:paraId="1052966E" w14:textId="10A0A0C0"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an SVC or a Static Compensator (STATCOM). </w:t>
            </w:r>
          </w:p>
        </w:tc>
        <w:tc>
          <w:tcPr>
            <w:tcW w:w="2552" w:type="dxa"/>
          </w:tcPr>
          <w:p w14:paraId="4B61BB13" w14:textId="4F5DB819"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Increased export to New South Wales from Victoria under low demand in Victoria.</w:t>
            </w:r>
          </w:p>
        </w:tc>
        <w:tc>
          <w:tcPr>
            <w:tcW w:w="2127" w:type="dxa"/>
          </w:tcPr>
          <w:p w14:paraId="7F529BD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Constraint identified during high export to New South Wales.</w:t>
            </w:r>
          </w:p>
        </w:tc>
        <w:tc>
          <w:tcPr>
            <w:tcW w:w="2268" w:type="dxa"/>
          </w:tcPr>
          <w:p w14:paraId="1F30B1EA"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If needed, these are both likely to be contestable projects.</w:t>
            </w:r>
          </w:p>
        </w:tc>
      </w:tr>
    </w:tbl>
    <w:p w14:paraId="1436F42B" w14:textId="77777777" w:rsidR="00E77B70" w:rsidRPr="00D44CF2" w:rsidRDefault="00E77B70" w:rsidP="00E77B70">
      <w:pPr>
        <w:pStyle w:val="AppendixHeading2"/>
        <w:spacing w:before="0"/>
      </w:pPr>
      <w:bookmarkStart w:id="333" w:name="_Toc212023299"/>
      <w:r w:rsidRPr="00D44CF2">
        <w:lastRenderedPageBreak/>
        <w:t>Murray River corridor</w:t>
      </w:r>
      <w:bookmarkEnd w:id="333"/>
    </w:p>
    <w:p w14:paraId="1B41C08F" w14:textId="77777777" w:rsidR="00E77B70" w:rsidRPr="00D44CF2" w:rsidRDefault="00E77B70" w:rsidP="00E77B70">
      <w:pPr>
        <w:pStyle w:val="CaptionTable"/>
      </w:pPr>
      <w:bookmarkStart w:id="334" w:name="_Toc212023330"/>
      <w:r w:rsidRPr="00D44CF2">
        <w:t>Limitations in the Murray River corridor</w:t>
      </w:r>
      <w:bookmarkEnd w:id="334"/>
    </w:p>
    <w:tbl>
      <w:tblPr>
        <w:tblStyle w:val="AEMO-Table4"/>
        <w:tblW w:w="15027" w:type="dxa"/>
        <w:tblLayout w:type="fixed"/>
        <w:tblLook w:val="06A0" w:firstRow="1" w:lastRow="0" w:firstColumn="1" w:lastColumn="0" w:noHBand="1" w:noVBand="1"/>
      </w:tblPr>
      <w:tblGrid>
        <w:gridCol w:w="3402"/>
        <w:gridCol w:w="1276"/>
        <w:gridCol w:w="3402"/>
        <w:gridCol w:w="2552"/>
        <w:gridCol w:w="2127"/>
        <w:gridCol w:w="2268"/>
      </w:tblGrid>
      <w:tr w:rsidR="00723C05" w:rsidRPr="00D44CF2" w14:paraId="03E9623A"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02" w:type="dxa"/>
          </w:tcPr>
          <w:p w14:paraId="4484E47F" w14:textId="77777777" w:rsidR="00E77B70" w:rsidRPr="00D44CF2" w:rsidRDefault="00E77B70" w:rsidP="001A3F5B">
            <w:pPr>
              <w:pStyle w:val="TableText"/>
            </w:pPr>
            <w:r w:rsidRPr="00D44CF2">
              <w:t>Limitation</w:t>
            </w:r>
          </w:p>
        </w:tc>
        <w:tc>
          <w:tcPr>
            <w:tcW w:w="1276" w:type="dxa"/>
          </w:tcPr>
          <w:p w14:paraId="393EBEF8"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type</w:t>
            </w:r>
          </w:p>
        </w:tc>
        <w:tc>
          <w:tcPr>
            <w:tcW w:w="3402" w:type="dxa"/>
          </w:tcPr>
          <w:p w14:paraId="3730F9F9"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Possible network solution</w:t>
            </w:r>
          </w:p>
        </w:tc>
        <w:tc>
          <w:tcPr>
            <w:tcW w:w="2552" w:type="dxa"/>
          </w:tcPr>
          <w:p w14:paraId="6CF2A30A"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Trigger</w:t>
            </w:r>
          </w:p>
        </w:tc>
        <w:tc>
          <w:tcPr>
            <w:tcW w:w="2127" w:type="dxa"/>
          </w:tcPr>
          <w:p w14:paraId="3365B1D1" w14:textId="09BD5804"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AEMO NTP references</w:t>
            </w:r>
          </w:p>
        </w:tc>
        <w:tc>
          <w:tcPr>
            <w:tcW w:w="2268" w:type="dxa"/>
          </w:tcPr>
          <w:p w14:paraId="5F636A14"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Contestable project status</w:t>
            </w:r>
          </w:p>
        </w:tc>
      </w:tr>
      <w:tr w:rsidR="00723C05" w:rsidRPr="00D44CF2" w14:paraId="44882AB3"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3402" w:type="dxa"/>
          </w:tcPr>
          <w:p w14:paraId="2B6A0032" w14:textId="77777777" w:rsidR="00E77B70" w:rsidRPr="00D44CF2" w:rsidRDefault="00E77B70" w:rsidP="001A3F5B">
            <w:pPr>
              <w:pStyle w:val="TableText"/>
            </w:pPr>
            <w:r w:rsidRPr="00D44CF2">
              <w:t>Voltage oscillation in western and north-west Victoria (under prior outage)</w:t>
            </w:r>
          </w:p>
        </w:tc>
        <w:tc>
          <w:tcPr>
            <w:tcW w:w="1276" w:type="dxa"/>
          </w:tcPr>
          <w:p w14:paraId="1C964FB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Monitored</w:t>
            </w:r>
          </w:p>
        </w:tc>
        <w:tc>
          <w:tcPr>
            <w:tcW w:w="3402" w:type="dxa"/>
          </w:tcPr>
          <w:p w14:paraId="4D7BDE64"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Non-market ancillary services (NMAS) contracts to provide system strength. </w:t>
            </w:r>
          </w:p>
          <w:p w14:paraId="240F78CC"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automatic generation runback control schemes.</w:t>
            </w:r>
          </w:p>
        </w:tc>
        <w:tc>
          <w:tcPr>
            <w:tcW w:w="2552" w:type="dxa"/>
          </w:tcPr>
          <w:p w14:paraId="0099F51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Increased probability of prior outages of local 220 kV transmission lines. Reduced system strength in the region.</w:t>
            </w:r>
          </w:p>
        </w:tc>
        <w:tc>
          <w:tcPr>
            <w:tcW w:w="2127" w:type="dxa"/>
          </w:tcPr>
          <w:p w14:paraId="2D5D2C8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Constraint identified during high solar generation and prior outage.</w:t>
            </w:r>
          </w:p>
        </w:tc>
        <w:tc>
          <w:tcPr>
            <w:tcW w:w="2268" w:type="dxa"/>
          </w:tcPr>
          <w:p w14:paraId="6A83275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Any solutions are likely to be contestable projects.</w:t>
            </w:r>
          </w:p>
        </w:tc>
      </w:tr>
      <w:tr w:rsidR="00723C05" w:rsidRPr="00D44CF2" w14:paraId="578CCD28"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3402" w:type="dxa"/>
          </w:tcPr>
          <w:p w14:paraId="36DAF623" w14:textId="77777777" w:rsidR="00E77B70" w:rsidRPr="00D44CF2" w:rsidRDefault="00E77B70" w:rsidP="001A3F5B">
            <w:pPr>
              <w:pStyle w:val="TableText"/>
            </w:pPr>
            <w:r w:rsidRPr="00D44CF2">
              <w:t>Kerang – Bendigo 220 kV line thermal capacity limitation (high generation or high demand)</w:t>
            </w:r>
          </w:p>
        </w:tc>
        <w:tc>
          <w:tcPr>
            <w:tcW w:w="1276" w:type="dxa"/>
          </w:tcPr>
          <w:p w14:paraId="09215FC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Monitored</w:t>
            </w:r>
          </w:p>
        </w:tc>
        <w:tc>
          <w:tcPr>
            <w:tcW w:w="3402" w:type="dxa"/>
          </w:tcPr>
          <w:p w14:paraId="60641E92" w14:textId="21C0A2B4"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Replace the existing Kerang </w:t>
            </w:r>
            <w:r w:rsidR="0014266A">
              <w:t xml:space="preserve">– </w:t>
            </w:r>
            <w:r w:rsidRPr="00D44CF2">
              <w:t>Bendigo 220 kV line with a new double-circuit 220 kV circuit line and establish associated new terminal stations or existing station augmentations.</w:t>
            </w:r>
          </w:p>
          <w:p w14:paraId="7BF5B99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an automatic load shedding control scheme to enable the use of five minute line rating.</w:t>
            </w:r>
          </w:p>
        </w:tc>
        <w:tc>
          <w:tcPr>
            <w:tcW w:w="2552" w:type="dxa"/>
          </w:tcPr>
          <w:p w14:paraId="1CDE3EB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Increased generation in regional Victoria.</w:t>
            </w:r>
          </w:p>
        </w:tc>
        <w:tc>
          <w:tcPr>
            <w:tcW w:w="2127" w:type="dxa"/>
          </w:tcPr>
          <w:p w14:paraId="15197A7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Not identified as limitation as it is a localised issue.</w:t>
            </w:r>
          </w:p>
        </w:tc>
        <w:tc>
          <w:tcPr>
            <w:tcW w:w="2268" w:type="dxa"/>
          </w:tcPr>
          <w:p w14:paraId="0D7B8AE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Any solutions are likely to be contestable projects.</w:t>
            </w:r>
          </w:p>
        </w:tc>
      </w:tr>
      <w:tr w:rsidR="00723C05" w:rsidRPr="00D44CF2" w14:paraId="654D09B3"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3402" w:type="dxa"/>
          </w:tcPr>
          <w:p w14:paraId="4FA7606E" w14:textId="23BFD7DF" w:rsidR="00E77B70" w:rsidRPr="00D44CF2" w:rsidRDefault="00E77B70" w:rsidP="001A3F5B">
            <w:pPr>
              <w:pStyle w:val="TableText"/>
            </w:pPr>
            <w:r w:rsidRPr="00D44CF2">
              <w:t>Red Cliffs – Wemen – Koorangie</w:t>
            </w:r>
            <w:r w:rsidR="00531D12" w:rsidRPr="00D44CF2">
              <w:t xml:space="preserve"> – </w:t>
            </w:r>
            <w:r w:rsidRPr="00D44CF2">
              <w:t>Kerang 220 kV line thermal capacity limitation (high generation, high demand)</w:t>
            </w:r>
          </w:p>
        </w:tc>
        <w:tc>
          <w:tcPr>
            <w:tcW w:w="1276" w:type="dxa"/>
          </w:tcPr>
          <w:p w14:paraId="632B413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Priority</w:t>
            </w:r>
          </w:p>
        </w:tc>
        <w:tc>
          <w:tcPr>
            <w:tcW w:w="3402" w:type="dxa"/>
          </w:tcPr>
          <w:p w14:paraId="0D70B77E"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Build a second Red Cliffs – Wemen – Kerang 220 kV line by either building a new single-circuit or building a new double-circuit and retiring the existing line.</w:t>
            </w:r>
          </w:p>
          <w:p w14:paraId="383C0336"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 Power Flow Controller (or similar device) on the Red Cliffs – Wemen – Kerang 220 kV line to divert flow away from the line at times of high demand.</w:t>
            </w:r>
          </w:p>
          <w:p w14:paraId="71540F6C"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Contracting BESS to charge or discharge, as required, to manage thermal loading on the Red Cliffs – Wemen – Kerang 220 kV line during peak loading periods.</w:t>
            </w:r>
          </w:p>
        </w:tc>
        <w:tc>
          <w:tcPr>
            <w:tcW w:w="2552" w:type="dxa"/>
          </w:tcPr>
          <w:p w14:paraId="40E0962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rPr>
            </w:pPr>
            <w:r w:rsidRPr="00D44CF2">
              <w:rPr>
                <w:rFonts w:ascii="Arial Nova" w:eastAsia="Times New Roman" w:hAnsi="Arial Nova" w:cs="Times New Roman"/>
              </w:rPr>
              <w:t>High Victorian demand post the commissioning of EnergyConnect and retirement of YWPS.</w:t>
            </w:r>
          </w:p>
          <w:p w14:paraId="02ED09A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rPr>
            </w:pPr>
            <w:r w:rsidRPr="00D44CF2">
              <w:rPr>
                <w:rFonts w:ascii="Arial Nova" w:eastAsia="Times New Roman" w:hAnsi="Arial Nova" w:cs="Times New Roman"/>
              </w:rPr>
              <w:t>Increased generation in regional Victoria.</w:t>
            </w:r>
          </w:p>
          <w:p w14:paraId="5A97D09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rPr>
            </w:pPr>
          </w:p>
        </w:tc>
        <w:tc>
          <w:tcPr>
            <w:tcW w:w="2127" w:type="dxa"/>
          </w:tcPr>
          <w:p w14:paraId="0D2AF06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Identified as limitation as part of Murray River REZ.</w:t>
            </w:r>
          </w:p>
        </w:tc>
        <w:tc>
          <w:tcPr>
            <w:tcW w:w="2268" w:type="dxa"/>
          </w:tcPr>
          <w:p w14:paraId="43566AD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Protection scheme or power flow controller works are unlikely to be contestable projects.</w:t>
            </w:r>
          </w:p>
        </w:tc>
      </w:tr>
      <w:tr w:rsidR="00723C05" w:rsidRPr="00D44CF2" w14:paraId="0D66E5D4" w14:textId="77777777" w:rsidTr="00261D2D">
        <w:trPr>
          <w:trHeight w:val="285"/>
        </w:trPr>
        <w:tc>
          <w:tcPr>
            <w:cnfStyle w:val="001000000000" w:firstRow="0" w:lastRow="0" w:firstColumn="1" w:lastColumn="0" w:oddVBand="0" w:evenVBand="0" w:oddHBand="0" w:evenHBand="0" w:firstRowFirstColumn="0" w:firstRowLastColumn="0" w:lastRowFirstColumn="0" w:lastRowLastColumn="0"/>
            <w:tcW w:w="3402" w:type="dxa"/>
          </w:tcPr>
          <w:p w14:paraId="577A0B31" w14:textId="77777777" w:rsidR="00E77B70" w:rsidRPr="00D44CF2" w:rsidRDefault="00E77B70" w:rsidP="001A3F5B">
            <w:pPr>
              <w:pStyle w:val="TableText"/>
            </w:pPr>
            <w:r w:rsidRPr="00D44CF2">
              <w:t>Voltage instability/collapse in North West Victoria (around Wemen Terminal Station)</w:t>
            </w:r>
          </w:p>
        </w:tc>
        <w:tc>
          <w:tcPr>
            <w:tcW w:w="1276" w:type="dxa"/>
          </w:tcPr>
          <w:p w14:paraId="000C379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Monitored</w:t>
            </w:r>
          </w:p>
        </w:tc>
        <w:tc>
          <w:tcPr>
            <w:tcW w:w="3402" w:type="dxa"/>
          </w:tcPr>
          <w:p w14:paraId="6FBE2938"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NMAS contract for the use of spare reactive power capacity. </w:t>
            </w:r>
          </w:p>
          <w:p w14:paraId="6D404978" w14:textId="60CB8185"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dynamic voltage regulation such as </w:t>
            </w:r>
            <w:r w:rsidR="0014266A">
              <w:t xml:space="preserve">an </w:t>
            </w:r>
            <w:r w:rsidRPr="00D44CF2">
              <w:t>SVC.</w:t>
            </w:r>
          </w:p>
        </w:tc>
        <w:tc>
          <w:tcPr>
            <w:tcW w:w="2552" w:type="dxa"/>
          </w:tcPr>
          <w:p w14:paraId="564F7F7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Low local demand and high solar generation.</w:t>
            </w:r>
          </w:p>
        </w:tc>
        <w:tc>
          <w:tcPr>
            <w:tcW w:w="2127" w:type="dxa"/>
          </w:tcPr>
          <w:p w14:paraId="42D9262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Not identified as a limitation as it is a localised issue.</w:t>
            </w:r>
          </w:p>
        </w:tc>
        <w:tc>
          <w:tcPr>
            <w:tcW w:w="2268" w:type="dxa"/>
          </w:tcPr>
          <w:p w14:paraId="1F9AB6E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rPr>
                <w:rFonts w:ascii="Arial Nova" w:eastAsia="Times New Roman" w:hAnsi="Arial Nova" w:cs="Times New Roman"/>
                <w:szCs w:val="16"/>
              </w:rPr>
            </w:pPr>
            <w:r w:rsidRPr="00D44CF2">
              <w:rPr>
                <w:rFonts w:ascii="Arial Nova" w:eastAsia="Times New Roman" w:hAnsi="Arial Nova" w:cs="Times New Roman"/>
                <w:szCs w:val="16"/>
              </w:rPr>
              <w:t>Any solutions are likely to be contestable projects.</w:t>
            </w:r>
          </w:p>
        </w:tc>
      </w:tr>
    </w:tbl>
    <w:p w14:paraId="3F8BB4CE" w14:textId="77777777" w:rsidR="00E77B70" w:rsidRPr="00D44CF2" w:rsidRDefault="00E77B70" w:rsidP="00E77B70">
      <w:pPr>
        <w:pStyle w:val="AppendixHeading2"/>
      </w:pPr>
      <w:bookmarkStart w:id="335" w:name="_Toc212023300"/>
      <w:r w:rsidRPr="00D44CF2">
        <w:lastRenderedPageBreak/>
        <w:t>South West Victoria corridor</w:t>
      </w:r>
      <w:bookmarkEnd w:id="335"/>
    </w:p>
    <w:p w14:paraId="6DA424EA" w14:textId="77777777" w:rsidR="00E77B70" w:rsidRPr="00D44CF2" w:rsidRDefault="00E77B70" w:rsidP="00E77B70">
      <w:pPr>
        <w:pStyle w:val="CaptionTable"/>
      </w:pPr>
      <w:bookmarkStart w:id="336" w:name="_Toc212023331"/>
      <w:r w:rsidRPr="00D44CF2">
        <w:t>Limitations in the South West Victoria corridor</w:t>
      </w:r>
      <w:bookmarkEnd w:id="336"/>
    </w:p>
    <w:tbl>
      <w:tblPr>
        <w:tblStyle w:val="AEMO-Table4"/>
        <w:tblW w:w="15027" w:type="dxa"/>
        <w:tblLayout w:type="fixed"/>
        <w:tblLook w:val="06A0" w:firstRow="1" w:lastRow="0" w:firstColumn="1" w:lastColumn="0" w:noHBand="1" w:noVBand="1"/>
      </w:tblPr>
      <w:tblGrid>
        <w:gridCol w:w="3402"/>
        <w:gridCol w:w="1276"/>
        <w:gridCol w:w="3402"/>
        <w:gridCol w:w="2552"/>
        <w:gridCol w:w="2127"/>
        <w:gridCol w:w="2268"/>
      </w:tblGrid>
      <w:tr w:rsidR="00723C05" w:rsidRPr="00D44CF2" w14:paraId="497C3823" w14:textId="7777777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402" w:type="dxa"/>
          </w:tcPr>
          <w:p w14:paraId="4D291C4B" w14:textId="77777777" w:rsidR="00E77B70" w:rsidRPr="00D44CF2" w:rsidRDefault="00E77B70" w:rsidP="001A3F5B">
            <w:pPr>
              <w:pStyle w:val="TableText"/>
            </w:pPr>
            <w:r w:rsidRPr="00D44CF2">
              <w:t>Limitation</w:t>
            </w:r>
          </w:p>
        </w:tc>
        <w:tc>
          <w:tcPr>
            <w:tcW w:w="1276" w:type="dxa"/>
          </w:tcPr>
          <w:p w14:paraId="3D2F49AE"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type</w:t>
            </w:r>
          </w:p>
        </w:tc>
        <w:tc>
          <w:tcPr>
            <w:tcW w:w="3402" w:type="dxa"/>
          </w:tcPr>
          <w:p w14:paraId="5A2A6948"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Possible network solution</w:t>
            </w:r>
          </w:p>
        </w:tc>
        <w:tc>
          <w:tcPr>
            <w:tcW w:w="2552" w:type="dxa"/>
          </w:tcPr>
          <w:p w14:paraId="2815DD87"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Trigger</w:t>
            </w:r>
          </w:p>
        </w:tc>
        <w:tc>
          <w:tcPr>
            <w:tcW w:w="2127" w:type="dxa"/>
          </w:tcPr>
          <w:p w14:paraId="69E04CDF" w14:textId="5A4A0891"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AEMO NTP references</w:t>
            </w:r>
          </w:p>
        </w:tc>
        <w:tc>
          <w:tcPr>
            <w:tcW w:w="2268" w:type="dxa"/>
          </w:tcPr>
          <w:p w14:paraId="5CF1F621"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Contestable project status</w:t>
            </w:r>
          </w:p>
        </w:tc>
      </w:tr>
      <w:tr w:rsidR="00723C05" w:rsidRPr="00D44CF2" w14:paraId="4C6F6623" w14:textId="77777777" w:rsidTr="00261D2D">
        <w:trPr>
          <w:trHeight w:val="165"/>
        </w:trPr>
        <w:tc>
          <w:tcPr>
            <w:cnfStyle w:val="001000000000" w:firstRow="0" w:lastRow="0" w:firstColumn="1" w:lastColumn="0" w:oddVBand="0" w:evenVBand="0" w:oddHBand="0" w:evenHBand="0" w:firstRowFirstColumn="0" w:firstRowLastColumn="0" w:lastRowFirstColumn="0" w:lastRowLastColumn="0"/>
            <w:tcW w:w="3402" w:type="dxa"/>
          </w:tcPr>
          <w:p w14:paraId="3D8282FD" w14:textId="77777777" w:rsidR="00E77B70" w:rsidRPr="00D44CF2" w:rsidRDefault="00E77B70" w:rsidP="001A3F5B">
            <w:pPr>
              <w:pStyle w:val="TableText"/>
            </w:pPr>
            <w:r w:rsidRPr="00D44CF2">
              <w:t>Ballarat – Berrybank – Terang – Gnarwarre – Moorabool 220 kV line thermal capacity limitation</w:t>
            </w:r>
          </w:p>
        </w:tc>
        <w:tc>
          <w:tcPr>
            <w:tcW w:w="1276" w:type="dxa"/>
          </w:tcPr>
          <w:p w14:paraId="52E7E97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25F38379"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automatic generation runback control schemes. </w:t>
            </w:r>
          </w:p>
          <w:p w14:paraId="0A077042"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Replace the existing Ballarat – Berrybank – Terang – Gnarwarre – Moorabool 220 kV line with a new double-circuit 220 kV circuit line.</w:t>
            </w:r>
          </w:p>
        </w:tc>
        <w:tc>
          <w:tcPr>
            <w:tcW w:w="2552" w:type="dxa"/>
          </w:tcPr>
          <w:p w14:paraId="5A6A496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generation in regional Victoria.</w:t>
            </w:r>
          </w:p>
        </w:tc>
        <w:tc>
          <w:tcPr>
            <w:tcW w:w="2127" w:type="dxa"/>
          </w:tcPr>
          <w:p w14:paraId="3A8EBB7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Identified as limitation as part of South West Victoria REZ.</w:t>
            </w:r>
          </w:p>
        </w:tc>
        <w:tc>
          <w:tcPr>
            <w:tcW w:w="2268" w:type="dxa"/>
          </w:tcPr>
          <w:p w14:paraId="10BA0C1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Solutions are likely to be contestable projects.</w:t>
            </w:r>
          </w:p>
        </w:tc>
      </w:tr>
      <w:tr w:rsidR="00723C05" w:rsidRPr="00D44CF2" w14:paraId="6DB75E96" w14:textId="77777777" w:rsidTr="00261D2D">
        <w:trPr>
          <w:trHeight w:val="165"/>
        </w:trPr>
        <w:tc>
          <w:tcPr>
            <w:cnfStyle w:val="001000000000" w:firstRow="0" w:lastRow="0" w:firstColumn="1" w:lastColumn="0" w:oddVBand="0" w:evenVBand="0" w:oddHBand="0" w:evenHBand="0" w:firstRowFirstColumn="0" w:firstRowLastColumn="0" w:lastRowFirstColumn="0" w:lastRowLastColumn="0"/>
            <w:tcW w:w="3402" w:type="dxa"/>
          </w:tcPr>
          <w:p w14:paraId="68AE2FFE" w14:textId="77777777" w:rsidR="00E77B70" w:rsidRPr="00D44CF2" w:rsidRDefault="00E77B70" w:rsidP="001A3F5B">
            <w:pPr>
              <w:pStyle w:val="TableText"/>
            </w:pPr>
            <w:r w:rsidRPr="00D44CF2">
              <w:t xml:space="preserve">Moorabool – Heywood – Portland 500 kV line voltage unbalance </w:t>
            </w:r>
          </w:p>
        </w:tc>
        <w:tc>
          <w:tcPr>
            <w:tcW w:w="1276" w:type="dxa"/>
          </w:tcPr>
          <w:p w14:paraId="7D7416F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69A1C696"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A switched capacitor with individual phase switching at Heywood or near Alcoa Portland. </w:t>
            </w:r>
          </w:p>
          <w:p w14:paraId="7E4C65FE"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phase switched power flow controllers at Heywood or near Alcoa Portland. </w:t>
            </w:r>
          </w:p>
          <w:p w14:paraId="53F1CAFE"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An SVC or a STATCOM. </w:t>
            </w:r>
          </w:p>
          <w:p w14:paraId="7E0546B7"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Additional transposition towers along the Moorabool – Heywood – Alcoa Portland 500 KV line. </w:t>
            </w:r>
          </w:p>
        </w:tc>
        <w:tc>
          <w:tcPr>
            <w:tcW w:w="2552" w:type="dxa"/>
          </w:tcPr>
          <w:p w14:paraId="2B76CF8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New generation connections along the Moorabool – Heywood – Alcoa Portland 500 kV line potentially introduce voltage unbalance along the line. The impact of voltage unbalance levels increases in proportion to power flow, new generation connection points, and output generated. </w:t>
            </w:r>
          </w:p>
        </w:tc>
        <w:tc>
          <w:tcPr>
            <w:tcW w:w="2127" w:type="dxa"/>
          </w:tcPr>
          <w:p w14:paraId="0803F0AB" w14:textId="242D36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Limitation not found as part of 2022 ISP/2022 </w:t>
            </w:r>
            <w:r w:rsidRPr="00286F5D">
              <w:rPr>
                <w:i/>
                <w:iCs/>
              </w:rPr>
              <w:t xml:space="preserve">NSCAS </w:t>
            </w:r>
            <w:r w:rsidR="00286F5D" w:rsidRPr="00286F5D">
              <w:rPr>
                <w:i/>
                <w:iCs/>
              </w:rPr>
              <w:t>R</w:t>
            </w:r>
            <w:r w:rsidR="00F14E4A" w:rsidRPr="00286F5D">
              <w:rPr>
                <w:i/>
                <w:iCs/>
              </w:rPr>
              <w:t>eport</w:t>
            </w:r>
            <w:r w:rsidRPr="00D44CF2">
              <w:t xml:space="preserve"> as it is related to voltage quality. </w:t>
            </w:r>
          </w:p>
        </w:tc>
        <w:tc>
          <w:tcPr>
            <w:tcW w:w="2268" w:type="dxa"/>
          </w:tcPr>
          <w:p w14:paraId="1A34915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Switched capacitor and static MVAr options are likely to be contestable projects. Line transposition is unlikely to be a contestable project. </w:t>
            </w:r>
          </w:p>
        </w:tc>
      </w:tr>
      <w:tr w:rsidR="00723C05" w:rsidRPr="00D44CF2" w14:paraId="0344F716"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3402" w:type="dxa"/>
          </w:tcPr>
          <w:p w14:paraId="2EB486FF" w14:textId="77777777" w:rsidR="00E77B70" w:rsidRPr="00D44CF2" w:rsidRDefault="00E77B70" w:rsidP="001A3F5B">
            <w:pPr>
              <w:pStyle w:val="TableText"/>
            </w:pPr>
            <w:r w:rsidRPr="00D44CF2">
              <w:t>Inadequate south-west Melbourne 500 kV thermal capacity</w:t>
            </w:r>
          </w:p>
        </w:tc>
        <w:tc>
          <w:tcPr>
            <w:tcW w:w="1276" w:type="dxa"/>
          </w:tcPr>
          <w:p w14:paraId="5EABAAB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7AC04222"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A new Moorabool – Mortlake/Tarrone – Heywood 500 kV line. </w:t>
            </w:r>
          </w:p>
          <w:p w14:paraId="3CB5F987"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Line limiting plant upgrades.</w:t>
            </w:r>
          </w:p>
          <w:p w14:paraId="2C328E87"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wind monitoring dynamic line rating scheme.</w:t>
            </w:r>
          </w:p>
        </w:tc>
        <w:tc>
          <w:tcPr>
            <w:tcW w:w="2552" w:type="dxa"/>
          </w:tcPr>
          <w:p w14:paraId="2A92ACC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Significant wind generation and/or gas generation (in addition to the existing generation from Mortlake) is connected to the transmission network in the South West Corridor.</w:t>
            </w:r>
          </w:p>
        </w:tc>
        <w:tc>
          <w:tcPr>
            <w:tcW w:w="2127" w:type="dxa"/>
          </w:tcPr>
          <w:p w14:paraId="57FA4E8A" w14:textId="5D4FDB86"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Identified as a limitation in </w:t>
            </w:r>
            <w:r w:rsidR="00D1694C">
              <w:t xml:space="preserve">the </w:t>
            </w:r>
            <w:r w:rsidRPr="00D44CF2">
              <w:t>2020 ISP South West Victoria REZ Scorecard.</w:t>
            </w:r>
          </w:p>
        </w:tc>
        <w:tc>
          <w:tcPr>
            <w:tcW w:w="2268" w:type="dxa"/>
          </w:tcPr>
          <w:p w14:paraId="38A3E99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Any new line is likely to be a contestable project.</w:t>
            </w:r>
          </w:p>
        </w:tc>
      </w:tr>
      <w:tr w:rsidR="00723C05" w:rsidRPr="00D44CF2" w14:paraId="198513E3" w14:textId="77777777" w:rsidTr="00261D2D">
        <w:trPr>
          <w:trHeight w:val="300"/>
        </w:trPr>
        <w:tc>
          <w:tcPr>
            <w:cnfStyle w:val="001000000000" w:firstRow="0" w:lastRow="0" w:firstColumn="1" w:lastColumn="0" w:oddVBand="0" w:evenVBand="0" w:oddHBand="0" w:evenHBand="0" w:firstRowFirstColumn="0" w:firstRowLastColumn="0" w:lastRowFirstColumn="0" w:lastRowLastColumn="0"/>
            <w:tcW w:w="3402" w:type="dxa"/>
          </w:tcPr>
          <w:p w14:paraId="07C7C76F" w14:textId="77777777" w:rsidR="00E77B70" w:rsidRPr="00D44CF2" w:rsidRDefault="00E77B70" w:rsidP="001A3F5B">
            <w:pPr>
              <w:pStyle w:val="TableText"/>
            </w:pPr>
            <w:r w:rsidRPr="00D44CF2">
              <w:t>Moorabool 500/220 kV transformer thermal capacity limitation</w:t>
            </w:r>
          </w:p>
        </w:tc>
        <w:tc>
          <w:tcPr>
            <w:tcW w:w="1276" w:type="dxa"/>
          </w:tcPr>
          <w:p w14:paraId="163AA8E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636E332B"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an automatic generation runback control scheme.</w:t>
            </w:r>
          </w:p>
          <w:p w14:paraId="15ADEF59"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third Moorabool 500/220 kV transformer.</w:t>
            </w:r>
          </w:p>
        </w:tc>
        <w:tc>
          <w:tcPr>
            <w:tcW w:w="2552" w:type="dxa"/>
          </w:tcPr>
          <w:p w14:paraId="4CC3E8B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Large-scale new generation connected to western Victoria area, and congestion in western Victoria relieved to allow the new generation to be sent out of western Victoria.</w:t>
            </w:r>
          </w:p>
        </w:tc>
        <w:tc>
          <w:tcPr>
            <w:tcW w:w="2127" w:type="dxa"/>
          </w:tcPr>
          <w:p w14:paraId="12C3CE5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a material limitation in the scenarios modelled.</w:t>
            </w:r>
          </w:p>
        </w:tc>
        <w:tc>
          <w:tcPr>
            <w:tcW w:w="2268" w:type="dxa"/>
          </w:tcPr>
          <w:p w14:paraId="7CCE830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Any new transformer is likely to be a contestable project.</w:t>
            </w:r>
          </w:p>
        </w:tc>
      </w:tr>
    </w:tbl>
    <w:p w14:paraId="2158A071" w14:textId="77777777" w:rsidR="00E77B70" w:rsidRPr="00D44CF2" w:rsidRDefault="00E77B70" w:rsidP="00E77B70">
      <w:pPr>
        <w:pStyle w:val="AppendixHeading2"/>
      </w:pPr>
      <w:bookmarkStart w:id="337" w:name="_Toc212023301"/>
      <w:r w:rsidRPr="00D44CF2">
        <w:lastRenderedPageBreak/>
        <w:t>Greater Melbourne and Geelong</w:t>
      </w:r>
      <w:bookmarkEnd w:id="337"/>
    </w:p>
    <w:p w14:paraId="600FD2A2" w14:textId="77777777" w:rsidR="00E77B70" w:rsidRPr="00D44CF2" w:rsidRDefault="00E77B70" w:rsidP="00E77B70">
      <w:pPr>
        <w:pStyle w:val="CaptionTable"/>
      </w:pPr>
      <w:bookmarkStart w:id="338" w:name="_Toc212023332"/>
      <w:r w:rsidRPr="00D44CF2">
        <w:t>Limitations in Greater Melbourne and Geelong</w:t>
      </w:r>
      <w:bookmarkEnd w:id="338"/>
    </w:p>
    <w:tbl>
      <w:tblPr>
        <w:tblStyle w:val="AEMO-Table4"/>
        <w:tblW w:w="0" w:type="auto"/>
        <w:tblLayout w:type="fixed"/>
        <w:tblLook w:val="06A0" w:firstRow="1" w:lastRow="0" w:firstColumn="1" w:lastColumn="0" w:noHBand="1" w:noVBand="1"/>
      </w:tblPr>
      <w:tblGrid>
        <w:gridCol w:w="3402"/>
        <w:gridCol w:w="1276"/>
        <w:gridCol w:w="3402"/>
        <w:gridCol w:w="2552"/>
        <w:gridCol w:w="2127"/>
        <w:gridCol w:w="2268"/>
      </w:tblGrid>
      <w:tr w:rsidR="00723C05" w:rsidRPr="00D44CF2" w14:paraId="6179D9BA"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2" w:type="dxa"/>
          </w:tcPr>
          <w:p w14:paraId="5A108AE9" w14:textId="77777777" w:rsidR="00E77B70" w:rsidRPr="00D44CF2" w:rsidRDefault="00E77B70" w:rsidP="001A3F5B">
            <w:pPr>
              <w:pStyle w:val="TableText"/>
            </w:pPr>
            <w:r w:rsidRPr="00D44CF2">
              <w:t>Limitation</w:t>
            </w:r>
          </w:p>
        </w:tc>
        <w:tc>
          <w:tcPr>
            <w:tcW w:w="1276" w:type="dxa"/>
          </w:tcPr>
          <w:p w14:paraId="47ADE25D"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type</w:t>
            </w:r>
          </w:p>
        </w:tc>
        <w:tc>
          <w:tcPr>
            <w:tcW w:w="3402" w:type="dxa"/>
          </w:tcPr>
          <w:p w14:paraId="74D1DBD4"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Possible network solution</w:t>
            </w:r>
          </w:p>
        </w:tc>
        <w:tc>
          <w:tcPr>
            <w:tcW w:w="2552" w:type="dxa"/>
          </w:tcPr>
          <w:p w14:paraId="31EB503F"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Trigger</w:t>
            </w:r>
          </w:p>
        </w:tc>
        <w:tc>
          <w:tcPr>
            <w:tcW w:w="2127" w:type="dxa"/>
          </w:tcPr>
          <w:p w14:paraId="2B726105" w14:textId="7387F2CD"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AEMO NTP references</w:t>
            </w:r>
          </w:p>
        </w:tc>
        <w:tc>
          <w:tcPr>
            <w:tcW w:w="2268" w:type="dxa"/>
          </w:tcPr>
          <w:p w14:paraId="5E00D861"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Contestable project status</w:t>
            </w:r>
          </w:p>
        </w:tc>
      </w:tr>
      <w:tr w:rsidR="00723C05" w:rsidRPr="00D44CF2" w14:paraId="1125E1EA"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1AA2A245" w14:textId="77777777" w:rsidR="00E77B70" w:rsidRPr="00D44CF2" w:rsidRDefault="00E77B70" w:rsidP="001A3F5B">
            <w:pPr>
              <w:pStyle w:val="TableText"/>
            </w:pPr>
            <w:r w:rsidRPr="00D44CF2">
              <w:t>Ringwood – Thomastown 220 kV line thermal capacity limitation</w:t>
            </w:r>
          </w:p>
        </w:tc>
        <w:tc>
          <w:tcPr>
            <w:tcW w:w="1276" w:type="dxa"/>
          </w:tcPr>
          <w:p w14:paraId="6C37E18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Priority</w:t>
            </w:r>
          </w:p>
        </w:tc>
        <w:tc>
          <w:tcPr>
            <w:tcW w:w="3402" w:type="dxa"/>
            <w:vMerge w:val="restart"/>
          </w:tcPr>
          <w:p w14:paraId="36D47F58" w14:textId="72283705"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The credible network option currently being assessed as part of East</w:t>
            </w:r>
            <w:r w:rsidR="005B4331">
              <w:t xml:space="preserve">ern Victoria </w:t>
            </w:r>
            <w:r w:rsidR="003F284A">
              <w:t>Grid Reinforcement</w:t>
            </w:r>
            <w:r w:rsidRPr="00D44CF2">
              <w:t xml:space="preserve"> RIT-T:</w:t>
            </w:r>
          </w:p>
          <w:p w14:paraId="11261189" w14:textId="2E4EC5F8" w:rsidR="00E77B70" w:rsidRPr="00D44CF2" w:rsidRDefault="00137E6A"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bringing </w:t>
            </w:r>
            <w:r w:rsidR="00E77B70" w:rsidRPr="00D44CF2">
              <w:t>forward already planned VNI West works to cut the Eildon – Thomastown 220 kV line into South Morang Terminal Station, to address the forecast line overloads, </w:t>
            </w:r>
          </w:p>
          <w:p w14:paraId="7C7B81F1" w14:textId="2A91BA5B" w:rsidR="00E77B70" w:rsidRPr="00D44CF2" w:rsidRDefault="00137E6A"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installing </w:t>
            </w:r>
            <w:r w:rsidR="00E77B70" w:rsidRPr="00D44CF2">
              <w:t>a third 500/220 kV transformer at Rowville in parallel with the existing No. 1 500/220 kV transformer providing supply to the Rowville No. 3-4 220 kV Bus Group, </w:t>
            </w:r>
          </w:p>
          <w:p w14:paraId="2934FE34" w14:textId="74D14B4B" w:rsidR="00E77B70" w:rsidRPr="00D44CF2" w:rsidRDefault="00137E6A"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installing </w:t>
            </w:r>
            <w:r w:rsidR="00E77B70" w:rsidRPr="00D44CF2">
              <w:t>a second 500/220 kV transformer at Cranbourne in parallel with the existing transformer and provide supply to the Rowville No. 1-2 220 kV Bus Group and transferring the Rowville No. 2 500/220 kV transformer to the Rowville No. 3-4 220 kV Bus Group in parallel with the Rowville No. 1 500/220 kV transformer, and </w:t>
            </w:r>
          </w:p>
          <w:p w14:paraId="7108C9E9" w14:textId="4BDDE067" w:rsidR="00E77B70" w:rsidRPr="00D44CF2" w:rsidRDefault="00137E6A"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replacing </w:t>
            </w:r>
            <w:r w:rsidR="00E77B70" w:rsidRPr="00D44CF2">
              <w:t>equipment at metropolitan terminal stations that have fault level exceedances, expected to be Keilor, Rowville, South Morang or Thomastown 220 kV assets and Templestowe and Thomastown 66 kV assets.  </w:t>
            </w:r>
          </w:p>
        </w:tc>
        <w:tc>
          <w:tcPr>
            <w:tcW w:w="2552" w:type="dxa"/>
            <w:vMerge w:val="restart"/>
          </w:tcPr>
          <w:p w14:paraId="7936D23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demand in eastern metropolitan Melbourne.</w:t>
            </w:r>
          </w:p>
          <w:p w14:paraId="472CBC9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Reduced supply from Eastern Victoria and increased supply from Western Victoria.</w:t>
            </w:r>
          </w:p>
          <w:p w14:paraId="1A4BB08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 </w:t>
            </w:r>
          </w:p>
        </w:tc>
        <w:tc>
          <w:tcPr>
            <w:tcW w:w="2127" w:type="dxa"/>
            <w:vMerge w:val="restart"/>
          </w:tcPr>
          <w:p w14:paraId="64BF929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it is a localised issue.</w:t>
            </w:r>
          </w:p>
          <w:p w14:paraId="246888F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 </w:t>
            </w:r>
          </w:p>
        </w:tc>
        <w:tc>
          <w:tcPr>
            <w:tcW w:w="2268" w:type="dxa"/>
            <w:vMerge w:val="restart"/>
          </w:tcPr>
          <w:p w14:paraId="595C710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Any line cut-in is unlikely to be a contestable project.</w:t>
            </w:r>
          </w:p>
          <w:p w14:paraId="4A6A1EC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Any new transformer is likely to be a contestable project.</w:t>
            </w:r>
          </w:p>
          <w:p w14:paraId="642C437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 </w:t>
            </w:r>
          </w:p>
        </w:tc>
      </w:tr>
      <w:tr w:rsidR="00723C05" w:rsidRPr="00D44CF2" w14:paraId="6624CE81"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755876C4" w14:textId="77777777" w:rsidR="00E77B70" w:rsidRPr="00D44CF2" w:rsidRDefault="00E77B70" w:rsidP="001A3F5B">
            <w:pPr>
              <w:pStyle w:val="TableText"/>
            </w:pPr>
            <w:r w:rsidRPr="00D44CF2">
              <w:t>Templestowe – Thomastown 220 kV line thermal capacity limitation</w:t>
            </w:r>
          </w:p>
        </w:tc>
        <w:tc>
          <w:tcPr>
            <w:tcW w:w="1276" w:type="dxa"/>
          </w:tcPr>
          <w:p w14:paraId="5DD1363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vMerge/>
          </w:tcPr>
          <w:p w14:paraId="3E199CF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552" w:type="dxa"/>
            <w:vMerge/>
          </w:tcPr>
          <w:p w14:paraId="77A6B5E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127" w:type="dxa"/>
            <w:vMerge/>
          </w:tcPr>
          <w:p w14:paraId="519D050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268" w:type="dxa"/>
            <w:vMerge/>
          </w:tcPr>
          <w:p w14:paraId="0FD7D57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r>
      <w:tr w:rsidR="00723C05" w:rsidRPr="00D44CF2" w14:paraId="075C0CAC"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2D13255F" w14:textId="77777777" w:rsidR="00E77B70" w:rsidRPr="00D44CF2" w:rsidRDefault="00E77B70" w:rsidP="001A3F5B">
            <w:pPr>
              <w:pStyle w:val="TableText"/>
            </w:pPr>
            <w:r w:rsidRPr="00D44CF2">
              <w:t>Rowville A1 500/220 kV transformer thermal capacity limitation</w:t>
            </w:r>
          </w:p>
        </w:tc>
        <w:tc>
          <w:tcPr>
            <w:tcW w:w="1276" w:type="dxa"/>
          </w:tcPr>
          <w:p w14:paraId="528D86A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Priority</w:t>
            </w:r>
          </w:p>
        </w:tc>
        <w:tc>
          <w:tcPr>
            <w:tcW w:w="3402" w:type="dxa"/>
            <w:vMerge/>
          </w:tcPr>
          <w:p w14:paraId="1A747A8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552" w:type="dxa"/>
            <w:vMerge/>
          </w:tcPr>
          <w:p w14:paraId="018D8B8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127" w:type="dxa"/>
            <w:vMerge/>
          </w:tcPr>
          <w:p w14:paraId="2E2E5E8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268" w:type="dxa"/>
            <w:vMerge/>
          </w:tcPr>
          <w:p w14:paraId="43ED72D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r>
      <w:tr w:rsidR="00723C05" w:rsidRPr="00D44CF2" w14:paraId="43A16EAE"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715EDAD4" w14:textId="77777777" w:rsidR="00E77B70" w:rsidRPr="00D44CF2" w:rsidRDefault="00E77B70" w:rsidP="001A3F5B">
            <w:pPr>
              <w:pStyle w:val="TableText"/>
            </w:pPr>
            <w:r w:rsidRPr="00D44CF2">
              <w:t>Rowville – Malvern 220 kV line thermal capacity limitation</w:t>
            </w:r>
          </w:p>
        </w:tc>
        <w:tc>
          <w:tcPr>
            <w:tcW w:w="1276" w:type="dxa"/>
          </w:tcPr>
          <w:p w14:paraId="5EFDE7A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4DAC0BFD"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Cut-in Rowville – Richmond 220 kV No. 1 and No. 4 circuits at Malvern Terminal Station to form the Rowville – Malvern – Richmond No. 3 and No. 4 circuits.</w:t>
            </w:r>
          </w:p>
        </w:tc>
        <w:tc>
          <w:tcPr>
            <w:tcW w:w="2552" w:type="dxa"/>
          </w:tcPr>
          <w:p w14:paraId="5C54D674"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demand or additional loads connected to Malvern Terminal Station.</w:t>
            </w:r>
          </w:p>
        </w:tc>
        <w:tc>
          <w:tcPr>
            <w:tcW w:w="2127" w:type="dxa"/>
          </w:tcPr>
          <w:p w14:paraId="3DB40F6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it is a localised issue.</w:t>
            </w:r>
          </w:p>
        </w:tc>
        <w:tc>
          <w:tcPr>
            <w:tcW w:w="2268" w:type="dxa"/>
          </w:tcPr>
          <w:p w14:paraId="3FBFFED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Any line cut-in is unlikely to be a contestable project.</w:t>
            </w:r>
          </w:p>
        </w:tc>
      </w:tr>
      <w:tr w:rsidR="00723C05" w:rsidRPr="00D44CF2" w14:paraId="2726636A"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231FCF7F" w14:textId="177C8A81" w:rsidR="00E77B70" w:rsidRPr="00D44CF2" w:rsidRDefault="00E77B70" w:rsidP="001A3F5B">
            <w:pPr>
              <w:pStyle w:val="TableText"/>
            </w:pPr>
            <w:r w:rsidRPr="00D44CF2">
              <w:lastRenderedPageBreak/>
              <w:t xml:space="preserve">Rowville – Springvale – Heatherton 220 kV line thermal capacity limitation </w:t>
            </w:r>
            <w:hyperlink r:id="rId110" w:anchor="_ftn1">
              <w:r w:rsidRPr="00D44CF2">
                <w:t>[1]</w:t>
              </w:r>
            </w:hyperlink>
          </w:p>
        </w:tc>
        <w:tc>
          <w:tcPr>
            <w:tcW w:w="1276" w:type="dxa"/>
          </w:tcPr>
          <w:p w14:paraId="1667FD2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2E67759F"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Connect a third Rowville –Springvale circuit (underground cable). </w:t>
            </w:r>
          </w:p>
          <w:p w14:paraId="52180DEE" w14:textId="58ABA31D"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Connect a Cranbourne – Heatherton 220 kV double</w:t>
            </w:r>
            <w:r w:rsidR="00407BB0">
              <w:t>-</w:t>
            </w:r>
            <w:r w:rsidRPr="00D44CF2">
              <w:t>circuit overhead line.</w:t>
            </w:r>
          </w:p>
        </w:tc>
        <w:tc>
          <w:tcPr>
            <w:tcW w:w="2552" w:type="dxa"/>
          </w:tcPr>
          <w:p w14:paraId="7FDB540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demand or additional loads connected to Springvale and Heatherton Terminal Station.</w:t>
            </w:r>
          </w:p>
        </w:tc>
        <w:tc>
          <w:tcPr>
            <w:tcW w:w="2127" w:type="dxa"/>
          </w:tcPr>
          <w:p w14:paraId="1C327D7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it is a localised issue.</w:t>
            </w:r>
          </w:p>
        </w:tc>
        <w:tc>
          <w:tcPr>
            <w:tcW w:w="2268" w:type="dxa"/>
          </w:tcPr>
          <w:p w14:paraId="5803DC4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If needed, the third circuit is likely to be a contestable project.</w:t>
            </w:r>
          </w:p>
        </w:tc>
      </w:tr>
      <w:tr w:rsidR="00723C05" w:rsidRPr="00D44CF2" w14:paraId="579AC514"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06C0A843" w14:textId="77777777" w:rsidR="00E77B70" w:rsidRPr="00D44CF2" w:rsidRDefault="00E77B70" w:rsidP="001A3F5B">
            <w:pPr>
              <w:pStyle w:val="TableText"/>
            </w:pPr>
            <w:r w:rsidRPr="00D44CF2">
              <w:t>South Morang H1 330/220 kV transformer thermal capacity limitation</w:t>
            </w:r>
          </w:p>
        </w:tc>
        <w:tc>
          <w:tcPr>
            <w:tcW w:w="1276" w:type="dxa"/>
          </w:tcPr>
          <w:p w14:paraId="2803C22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333BDAF0"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Replace the existing transformer with a higher rated unit in conjunction with AusNet Services asset replacement program.</w:t>
            </w:r>
          </w:p>
        </w:tc>
        <w:tc>
          <w:tcPr>
            <w:tcW w:w="2552" w:type="dxa"/>
          </w:tcPr>
          <w:p w14:paraId="1A4AE65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demand in Metropolitan Melbourne and/or increased import from New South Wales.</w:t>
            </w:r>
          </w:p>
        </w:tc>
        <w:tc>
          <w:tcPr>
            <w:tcW w:w="2127" w:type="dxa"/>
          </w:tcPr>
          <w:p w14:paraId="467306B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a material limitation in the scenarios modelled.</w:t>
            </w:r>
          </w:p>
        </w:tc>
        <w:tc>
          <w:tcPr>
            <w:tcW w:w="2268" w:type="dxa"/>
          </w:tcPr>
          <w:p w14:paraId="45D6AC3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This is unlikely to be a contestable project.</w:t>
            </w:r>
          </w:p>
        </w:tc>
      </w:tr>
      <w:tr w:rsidR="00723C05" w:rsidRPr="00D44CF2" w14:paraId="454A3B0A"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67876216" w14:textId="77777777" w:rsidR="00E77B70" w:rsidRPr="00D44CF2" w:rsidRDefault="00E77B70" w:rsidP="001A3F5B">
            <w:pPr>
              <w:pStyle w:val="TableText"/>
            </w:pPr>
            <w:r w:rsidRPr="00D44CF2">
              <w:t>Cranbourne A1 500/220 kV transformer thermal capacity limitation</w:t>
            </w:r>
          </w:p>
        </w:tc>
        <w:tc>
          <w:tcPr>
            <w:tcW w:w="1276" w:type="dxa"/>
          </w:tcPr>
          <w:p w14:paraId="4FCACD5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323388C6" w14:textId="13B6E066"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 new 500/220 kV 1,000 MVA transformer at Cranbourne Terminal Station and cut in the existing Hazelwood – Rowville No.</w:t>
            </w:r>
            <w:r w:rsidR="00137E6A">
              <w:t xml:space="preserve"> </w:t>
            </w:r>
            <w:r w:rsidRPr="00D44CF2">
              <w:t>3 500 kV line at Cranbourne.</w:t>
            </w:r>
          </w:p>
        </w:tc>
        <w:tc>
          <w:tcPr>
            <w:tcW w:w="2552" w:type="dxa"/>
          </w:tcPr>
          <w:p w14:paraId="7E12E06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demand around the Eastern Melbourne Metropolitan area.</w:t>
            </w:r>
          </w:p>
          <w:p w14:paraId="3538C742"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Reduced supply in the 220 kV metro network and increased supply from the 500 kV network.</w:t>
            </w:r>
          </w:p>
        </w:tc>
        <w:tc>
          <w:tcPr>
            <w:tcW w:w="2127" w:type="dxa"/>
          </w:tcPr>
          <w:p w14:paraId="5E410D0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a material limitation in the scenarios modelled.</w:t>
            </w:r>
          </w:p>
        </w:tc>
        <w:tc>
          <w:tcPr>
            <w:tcW w:w="2268" w:type="dxa"/>
          </w:tcPr>
          <w:p w14:paraId="009D045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Any line cut-ins is unlikely to be a contestable project.</w:t>
            </w:r>
          </w:p>
          <w:p w14:paraId="22BCEFDA"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The new transformer is likely to be a contestable project.</w:t>
            </w:r>
          </w:p>
        </w:tc>
      </w:tr>
      <w:tr w:rsidR="00723C05" w:rsidRPr="00D44CF2" w14:paraId="17E3F207"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4BC7C07E" w14:textId="77777777" w:rsidR="00E77B70" w:rsidRPr="00D44CF2" w:rsidRDefault="00E77B70" w:rsidP="001A3F5B">
            <w:pPr>
              <w:pStyle w:val="TableText"/>
            </w:pPr>
            <w:r w:rsidRPr="00D44CF2">
              <w:t>South Morang – Thomastown No. 1 and No. 2 220 kV line thermal capacity limitation</w:t>
            </w:r>
          </w:p>
        </w:tc>
        <w:tc>
          <w:tcPr>
            <w:tcW w:w="1276" w:type="dxa"/>
          </w:tcPr>
          <w:p w14:paraId="4930797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63AFAB75"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Increase the transfer capability by installing wind monitoring facilities on the South Morang to Thomastown line. </w:t>
            </w:r>
          </w:p>
          <w:p w14:paraId="65518550"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an automatic load shedding control scheme to enable the use of five-minute line rating. </w:t>
            </w:r>
          </w:p>
          <w:p w14:paraId="037437C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 third 500/220 kV 1,000 MVA transformer at Rowville, plus any fault level mitigation works.</w:t>
            </w:r>
          </w:p>
        </w:tc>
        <w:tc>
          <w:tcPr>
            <w:tcW w:w="2552" w:type="dxa"/>
          </w:tcPr>
          <w:p w14:paraId="1C8CFF2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Increased demand around the Melbourne Metropolitan area and/or increased export to New South Wales. </w:t>
            </w:r>
          </w:p>
          <w:p w14:paraId="68261D10" w14:textId="57208E34"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Generation planting and retirements as per the 2024 ISP </w:t>
            </w:r>
            <w:r w:rsidRPr="00D44CF2">
              <w:rPr>
                <w:i/>
                <w:iCs/>
              </w:rPr>
              <w:t>Step Change</w:t>
            </w:r>
            <w:r w:rsidRPr="00D44CF2">
              <w:t xml:space="preserve"> scenario.</w:t>
            </w:r>
          </w:p>
        </w:tc>
        <w:tc>
          <w:tcPr>
            <w:tcW w:w="2127" w:type="dxa"/>
          </w:tcPr>
          <w:p w14:paraId="1935E61A"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it is a localised issue.</w:t>
            </w:r>
          </w:p>
        </w:tc>
        <w:tc>
          <w:tcPr>
            <w:tcW w:w="2268" w:type="dxa"/>
          </w:tcPr>
          <w:p w14:paraId="43C92D84"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Any new transformer is likely to be a contestable project.</w:t>
            </w:r>
          </w:p>
        </w:tc>
      </w:tr>
      <w:tr w:rsidR="00723C05" w:rsidRPr="00D44CF2" w14:paraId="24CC3A10"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1EC8BE8D" w14:textId="77777777" w:rsidR="00E77B70" w:rsidRPr="00D44CF2" w:rsidRDefault="00E77B70" w:rsidP="001A3F5B">
            <w:pPr>
              <w:pStyle w:val="TableText"/>
            </w:pPr>
            <w:r w:rsidRPr="00D44CF2">
              <w:t>Moorabool – Geelong 220 kV line thermal capacity limitation</w:t>
            </w:r>
          </w:p>
        </w:tc>
        <w:tc>
          <w:tcPr>
            <w:tcW w:w="1276" w:type="dxa"/>
          </w:tcPr>
          <w:p w14:paraId="1642F00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Priority</w:t>
            </w:r>
          </w:p>
        </w:tc>
        <w:tc>
          <w:tcPr>
            <w:tcW w:w="3402" w:type="dxa"/>
            <w:vMerge w:val="restart"/>
          </w:tcPr>
          <w:p w14:paraId="210011D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The credible network option currently being assessed as part of West Metro RIT-T:</w:t>
            </w:r>
          </w:p>
          <w:p w14:paraId="1AB94D42" w14:textId="3C3621B9"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Deer Park cut</w:t>
            </w:r>
            <w:r w:rsidR="00137E6A">
              <w:t>-</w:t>
            </w:r>
            <w:r w:rsidRPr="00D44CF2">
              <w:t>in with Moorabool to Geelong uprate.</w:t>
            </w:r>
          </w:p>
          <w:p w14:paraId="51D5A2E2"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Cut Geelong – Keilor No.1 and No.3 220 kV lines into Deer Park and potentially operate the Deer Park – Keilor circuits as normally open. Under this arrangement Deer Park would be supplied from Geelong.</w:t>
            </w:r>
          </w:p>
          <w:p w14:paraId="0BD6A400"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Perform works to increase line rating of existing Geelong – Moorabool 220 kV lines </w:t>
            </w:r>
            <w:r w:rsidRPr="00D44CF2">
              <w:lastRenderedPageBreak/>
              <w:t xml:space="preserve">(replace limiting plant and install wind monitoring). </w:t>
            </w:r>
          </w:p>
          <w:p w14:paraId="445E5D0E"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Constructing a third Geelong – Moorabool 220 kV line.</w:t>
            </w:r>
          </w:p>
        </w:tc>
        <w:tc>
          <w:tcPr>
            <w:tcW w:w="2552" w:type="dxa"/>
            <w:vMerge w:val="restart"/>
          </w:tcPr>
          <w:p w14:paraId="7324BFB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lastRenderedPageBreak/>
              <w:t xml:space="preserve">Large-scale new generation connected to western Victoria area, and congestion within western Victoria relieved to allow the new generation to be sent out of western Victoria. </w:t>
            </w:r>
          </w:p>
          <w:p w14:paraId="63DCDE2C" w14:textId="55B33D8C"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Generation planting and retirements as per the 2024 ISP </w:t>
            </w:r>
            <w:r w:rsidRPr="00D44CF2">
              <w:rPr>
                <w:i/>
                <w:iCs/>
              </w:rPr>
              <w:t>Step Change</w:t>
            </w:r>
            <w:r w:rsidRPr="00D44CF2">
              <w:t xml:space="preserve"> scenario. </w:t>
            </w:r>
          </w:p>
          <w:p w14:paraId="2B442B7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maximum demand in Metropolitan Melbourne.</w:t>
            </w:r>
          </w:p>
        </w:tc>
        <w:tc>
          <w:tcPr>
            <w:tcW w:w="2127" w:type="dxa"/>
            <w:vMerge w:val="restart"/>
          </w:tcPr>
          <w:p w14:paraId="7143E970"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a material limitation in the scenarios modelled.</w:t>
            </w:r>
          </w:p>
          <w:p w14:paraId="555F67E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 </w:t>
            </w:r>
          </w:p>
          <w:p w14:paraId="48219FE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 </w:t>
            </w:r>
          </w:p>
        </w:tc>
        <w:tc>
          <w:tcPr>
            <w:tcW w:w="2268" w:type="dxa"/>
            <w:vMerge w:val="restart"/>
          </w:tcPr>
          <w:p w14:paraId="4D00F182" w14:textId="663DFA53"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Any line cut-in is unlikely to be a </w:t>
            </w:r>
            <w:r w:rsidR="00FA3429" w:rsidRPr="00D44CF2">
              <w:t>contestable project</w:t>
            </w:r>
          </w:p>
          <w:p w14:paraId="383DDAB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The new transformer is likely to be a contestable project.</w:t>
            </w:r>
          </w:p>
          <w:p w14:paraId="37FCC48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 </w:t>
            </w:r>
          </w:p>
          <w:p w14:paraId="770C0FE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 </w:t>
            </w:r>
          </w:p>
        </w:tc>
      </w:tr>
      <w:tr w:rsidR="00723C05" w:rsidRPr="00D44CF2" w14:paraId="01349485"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49DC4391" w14:textId="77777777" w:rsidR="00E77B70" w:rsidRPr="00D44CF2" w:rsidRDefault="00E77B70" w:rsidP="001A3F5B">
            <w:pPr>
              <w:pStyle w:val="TableText"/>
            </w:pPr>
            <w:r w:rsidRPr="00D44CF2">
              <w:t>Geelong – Keilor 220 kV line thermal capacity limitation</w:t>
            </w:r>
          </w:p>
        </w:tc>
        <w:tc>
          <w:tcPr>
            <w:tcW w:w="1276" w:type="dxa"/>
          </w:tcPr>
          <w:p w14:paraId="2218DDA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Priority</w:t>
            </w:r>
          </w:p>
        </w:tc>
        <w:tc>
          <w:tcPr>
            <w:tcW w:w="3402" w:type="dxa"/>
            <w:vMerge/>
          </w:tcPr>
          <w:p w14:paraId="2EFC308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552" w:type="dxa"/>
            <w:vMerge/>
          </w:tcPr>
          <w:p w14:paraId="1BDF65B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127" w:type="dxa"/>
            <w:vMerge/>
          </w:tcPr>
          <w:p w14:paraId="644EFFAA"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268" w:type="dxa"/>
            <w:vMerge/>
          </w:tcPr>
          <w:p w14:paraId="45B30E3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r>
      <w:tr w:rsidR="00723C05" w:rsidRPr="00D44CF2" w14:paraId="7995BC9E"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59326B8F" w14:textId="77777777" w:rsidR="00E77B70" w:rsidRPr="00D44CF2" w:rsidRDefault="00E77B70" w:rsidP="001A3F5B">
            <w:pPr>
              <w:pStyle w:val="TableText"/>
            </w:pPr>
            <w:r w:rsidRPr="00D44CF2">
              <w:t>Keilor – Deer Park – Geelong 220 kV line thermal capacity limitation</w:t>
            </w:r>
          </w:p>
        </w:tc>
        <w:tc>
          <w:tcPr>
            <w:tcW w:w="1276" w:type="dxa"/>
          </w:tcPr>
          <w:p w14:paraId="7E55447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Priority</w:t>
            </w:r>
          </w:p>
        </w:tc>
        <w:tc>
          <w:tcPr>
            <w:tcW w:w="3402" w:type="dxa"/>
            <w:vMerge/>
          </w:tcPr>
          <w:p w14:paraId="28303D4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552" w:type="dxa"/>
            <w:vMerge/>
          </w:tcPr>
          <w:p w14:paraId="5DACBC7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127" w:type="dxa"/>
            <w:vMerge/>
          </w:tcPr>
          <w:p w14:paraId="46C706F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c>
          <w:tcPr>
            <w:tcW w:w="2268" w:type="dxa"/>
            <w:vMerge/>
          </w:tcPr>
          <w:p w14:paraId="5C63BEA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p>
        </w:tc>
      </w:tr>
      <w:tr w:rsidR="00723C05" w:rsidRPr="00D44CF2" w14:paraId="6E0A375B"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00720332" w14:textId="363B158F" w:rsidR="00E77B70" w:rsidRPr="00D44CF2" w:rsidRDefault="00E77B70" w:rsidP="001A3F5B">
            <w:pPr>
              <w:pStyle w:val="TableText"/>
            </w:pPr>
            <w:r w:rsidRPr="00D44CF2">
              <w:t>Keilor 500/220</w:t>
            </w:r>
            <w:r w:rsidR="00137E6A">
              <w:t xml:space="preserve"> k</w:t>
            </w:r>
            <w:r w:rsidRPr="00D44CF2">
              <w:t>V, A2 and A4 Transformer thermal capacity limitation</w:t>
            </w:r>
          </w:p>
        </w:tc>
        <w:tc>
          <w:tcPr>
            <w:tcW w:w="1276" w:type="dxa"/>
          </w:tcPr>
          <w:p w14:paraId="30F14A24"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Priority</w:t>
            </w:r>
          </w:p>
        </w:tc>
        <w:tc>
          <w:tcPr>
            <w:tcW w:w="3402" w:type="dxa"/>
          </w:tcPr>
          <w:p w14:paraId="33B60AA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Replace the transformers with larger units.</w:t>
            </w:r>
          </w:p>
          <w:p w14:paraId="69C3FAF4"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additional 500/220kV transformation at KTS.</w:t>
            </w:r>
          </w:p>
          <w:p w14:paraId="1E7F4702"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Construct new 500/220 kV connection point (potentially at Truganina) including associated 500 kV and 220 kV line works and transfer load from Keilor to the new connection point. </w:t>
            </w:r>
          </w:p>
        </w:tc>
        <w:tc>
          <w:tcPr>
            <w:tcW w:w="2552" w:type="dxa"/>
          </w:tcPr>
          <w:p w14:paraId="13D3EA2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maximum demand in Metropolitan Melbourne.</w:t>
            </w:r>
          </w:p>
        </w:tc>
        <w:tc>
          <w:tcPr>
            <w:tcW w:w="2127" w:type="dxa"/>
          </w:tcPr>
          <w:p w14:paraId="43CA862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a material limitation in the scenarios modelled.</w:t>
            </w:r>
          </w:p>
        </w:tc>
        <w:tc>
          <w:tcPr>
            <w:tcW w:w="2268" w:type="dxa"/>
          </w:tcPr>
          <w:p w14:paraId="4B89518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Any new transformer is likely to be a contestable project.</w:t>
            </w:r>
          </w:p>
        </w:tc>
      </w:tr>
      <w:tr w:rsidR="00723C05" w:rsidRPr="00D44CF2" w14:paraId="191A96B4"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18FA938D" w14:textId="47348A7E" w:rsidR="00E77B70" w:rsidRPr="00D44CF2" w:rsidRDefault="00E77B70" w:rsidP="001A3F5B">
            <w:pPr>
              <w:pStyle w:val="TableText"/>
            </w:pPr>
            <w:r w:rsidRPr="00D44CF2">
              <w:t>Altona to Keilor 220</w:t>
            </w:r>
            <w:r w:rsidR="00137E6A">
              <w:t xml:space="preserve"> </w:t>
            </w:r>
            <w:r w:rsidRPr="00D44CF2">
              <w:t xml:space="preserve">kV line and Brooklyn to Keilor 220 kV </w:t>
            </w:r>
            <w:r w:rsidR="00137E6A">
              <w:t>l</w:t>
            </w:r>
            <w:r w:rsidRPr="00D44CF2">
              <w:t>ine</w:t>
            </w:r>
          </w:p>
        </w:tc>
        <w:tc>
          <w:tcPr>
            <w:tcW w:w="1276" w:type="dxa"/>
          </w:tcPr>
          <w:p w14:paraId="5FFB348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431A201D"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Western Metropolitan Grid Reinforcement RIT-T will provide a holistic solution to address limitations</w:t>
            </w:r>
          </w:p>
        </w:tc>
        <w:tc>
          <w:tcPr>
            <w:tcW w:w="2552" w:type="dxa"/>
          </w:tcPr>
          <w:p w14:paraId="5C4EDDE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maximum demand in Metropolitan Melbourne.</w:t>
            </w:r>
          </w:p>
        </w:tc>
        <w:tc>
          <w:tcPr>
            <w:tcW w:w="2127" w:type="dxa"/>
          </w:tcPr>
          <w:p w14:paraId="58A42AA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it is a localised issue.</w:t>
            </w:r>
          </w:p>
        </w:tc>
        <w:tc>
          <w:tcPr>
            <w:tcW w:w="2268" w:type="dxa"/>
          </w:tcPr>
          <w:p w14:paraId="2D044D6A"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Any line cut-in is unlikely to be a contestable project.</w:t>
            </w:r>
          </w:p>
        </w:tc>
      </w:tr>
      <w:tr w:rsidR="00723C05" w:rsidRPr="00D44CF2" w14:paraId="238B5AE5"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2C143DE6" w14:textId="77777777" w:rsidR="00E77B70" w:rsidRPr="00D44CF2" w:rsidRDefault="00E77B70" w:rsidP="001A3F5B">
            <w:pPr>
              <w:pStyle w:val="TableText"/>
            </w:pPr>
            <w:r w:rsidRPr="00D44CF2">
              <w:t>Keilor – Thomastown No. 1 220 kV line thermal capacity limitation</w:t>
            </w:r>
          </w:p>
        </w:tc>
        <w:tc>
          <w:tcPr>
            <w:tcW w:w="1276" w:type="dxa"/>
          </w:tcPr>
          <w:p w14:paraId="1F977779"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10CF2B69"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Increase the transfer capability by installing wind monitoring facilities on the Keilor to Thomastown line. </w:t>
            </w:r>
          </w:p>
          <w:p w14:paraId="76C11570"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an automatic load shedding control scheme to enable the use of five-minute line rating </w:t>
            </w:r>
          </w:p>
          <w:p w14:paraId="68604FA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 third 500/220 kV 1,000 MVA transformer at Rowville, plus any fault level mitigation works.</w:t>
            </w:r>
          </w:p>
        </w:tc>
        <w:tc>
          <w:tcPr>
            <w:tcW w:w="2552" w:type="dxa"/>
          </w:tcPr>
          <w:p w14:paraId="51DD0ED7"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Reduced supply from Eastern Victoria and increased supply from Western Victoria.</w:t>
            </w:r>
          </w:p>
        </w:tc>
        <w:tc>
          <w:tcPr>
            <w:tcW w:w="2127" w:type="dxa"/>
          </w:tcPr>
          <w:p w14:paraId="288F1F08"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it is a localised issue.</w:t>
            </w:r>
          </w:p>
        </w:tc>
        <w:tc>
          <w:tcPr>
            <w:tcW w:w="2268" w:type="dxa"/>
          </w:tcPr>
          <w:p w14:paraId="15A62FF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The new transformer is likely to be a contestable project.</w:t>
            </w:r>
          </w:p>
        </w:tc>
      </w:tr>
      <w:tr w:rsidR="00723C05" w:rsidRPr="00D44CF2" w14:paraId="65AFA3C4" w14:textId="77777777" w:rsidTr="00261D2D">
        <w:trPr>
          <w:trHeight w:val="20"/>
        </w:trPr>
        <w:tc>
          <w:tcPr>
            <w:cnfStyle w:val="001000000000" w:firstRow="0" w:lastRow="0" w:firstColumn="1" w:lastColumn="0" w:oddVBand="0" w:evenVBand="0" w:oddHBand="0" w:evenHBand="0" w:firstRowFirstColumn="0" w:firstRowLastColumn="0" w:lastRowFirstColumn="0" w:lastRowLastColumn="0"/>
            <w:tcW w:w="3402" w:type="dxa"/>
          </w:tcPr>
          <w:p w14:paraId="342ACB33" w14:textId="77777777" w:rsidR="00E77B70" w:rsidRPr="00D44CF2" w:rsidRDefault="00E77B70" w:rsidP="001A3F5B">
            <w:pPr>
              <w:pStyle w:val="TableText"/>
            </w:pPr>
            <w:r w:rsidRPr="00D44CF2">
              <w:t>Sydenham – Keilor 500 kV line thermal capacity limitation</w:t>
            </w:r>
          </w:p>
        </w:tc>
        <w:tc>
          <w:tcPr>
            <w:tcW w:w="1276" w:type="dxa"/>
          </w:tcPr>
          <w:p w14:paraId="68C22C5B"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7C2C8E2D"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a new single-circuit Sydenham – Keilor 500 kV line with a rating of approximately 2,900 MVA at 35°C. </w:t>
            </w:r>
          </w:p>
          <w:p w14:paraId="54573C7F"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Uprate line rating of the existing 500 kV SYTS – KTS.</w:t>
            </w:r>
          </w:p>
        </w:tc>
        <w:tc>
          <w:tcPr>
            <w:tcW w:w="2552" w:type="dxa"/>
          </w:tcPr>
          <w:p w14:paraId="31B8C08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generation in west and south-west Victoria supplying KTS.</w:t>
            </w:r>
          </w:p>
        </w:tc>
        <w:tc>
          <w:tcPr>
            <w:tcW w:w="2127" w:type="dxa"/>
          </w:tcPr>
          <w:p w14:paraId="17C0016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 as a material limitation in the scenarios modelled.</w:t>
            </w:r>
          </w:p>
        </w:tc>
        <w:tc>
          <w:tcPr>
            <w:tcW w:w="2268" w:type="dxa"/>
          </w:tcPr>
          <w:p w14:paraId="3C034D0C"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The new line is likely to be a contestable project.</w:t>
            </w:r>
          </w:p>
        </w:tc>
      </w:tr>
    </w:tbl>
    <w:p w14:paraId="1E2A9150" w14:textId="77777777" w:rsidR="00E77B70" w:rsidRPr="00D44CF2" w:rsidRDefault="00E77B70" w:rsidP="00E77B70">
      <w:pPr>
        <w:pStyle w:val="TableFigureFootnote"/>
      </w:pPr>
      <w:r w:rsidRPr="00D44CF2">
        <w:t>A. These monitored limitations assume five-minute ratings are already applied. An automatic load shedding control scheme to enable five-minute line ratings is currently available to manage this limitation.</w:t>
      </w:r>
    </w:p>
    <w:p w14:paraId="62156E3F" w14:textId="20CAE4AB" w:rsidR="00E77B70" w:rsidRPr="00D44CF2" w:rsidRDefault="00E77B70" w:rsidP="00E77B70">
      <w:pPr>
        <w:spacing w:before="0" w:after="160" w:line="259" w:lineRule="auto"/>
        <w:rPr>
          <w:rFonts w:asciiTheme="majorHAnsi" w:eastAsiaTheme="majorEastAsia" w:hAnsiTheme="majorHAnsi" w:cstheme="majorBidi"/>
          <w:b/>
          <w:color w:val="A3519B" w:themeColor="accent2"/>
          <w:sz w:val="28"/>
          <w:szCs w:val="26"/>
        </w:rPr>
      </w:pPr>
    </w:p>
    <w:p w14:paraId="6B334BF6" w14:textId="77777777" w:rsidR="00E77B70" w:rsidRPr="00D44CF2" w:rsidRDefault="00E77B70" w:rsidP="00E77B70">
      <w:pPr>
        <w:pStyle w:val="AppendixHeading2"/>
      </w:pPr>
      <w:bookmarkStart w:id="339" w:name="_Toc212023302"/>
      <w:r w:rsidRPr="00D44CF2">
        <w:lastRenderedPageBreak/>
        <w:t>Western Victoria corridor</w:t>
      </w:r>
      <w:bookmarkEnd w:id="339"/>
    </w:p>
    <w:p w14:paraId="29F61DD8" w14:textId="77777777" w:rsidR="00E77B70" w:rsidRPr="00D44CF2" w:rsidRDefault="00E77B70" w:rsidP="00E77B70">
      <w:pPr>
        <w:pStyle w:val="CaptionTable"/>
      </w:pPr>
      <w:bookmarkStart w:id="340" w:name="_Toc212023333"/>
      <w:r w:rsidRPr="00D44CF2">
        <w:t>Limitations in Western Victoria corridor</w:t>
      </w:r>
      <w:bookmarkEnd w:id="340"/>
    </w:p>
    <w:tbl>
      <w:tblPr>
        <w:tblStyle w:val="AEMO-Table4"/>
        <w:tblW w:w="0" w:type="auto"/>
        <w:tblLayout w:type="fixed"/>
        <w:tblLook w:val="06A0" w:firstRow="1" w:lastRow="0" w:firstColumn="1" w:lastColumn="0" w:noHBand="1" w:noVBand="1"/>
      </w:tblPr>
      <w:tblGrid>
        <w:gridCol w:w="3402"/>
        <w:gridCol w:w="1276"/>
        <w:gridCol w:w="3402"/>
        <w:gridCol w:w="2552"/>
        <w:gridCol w:w="2127"/>
        <w:gridCol w:w="2268"/>
      </w:tblGrid>
      <w:tr w:rsidR="00723C05" w:rsidRPr="00D44CF2" w14:paraId="68485F47" w14:textId="7777777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402" w:type="dxa"/>
          </w:tcPr>
          <w:p w14:paraId="61E3BC83" w14:textId="77777777" w:rsidR="00E77B70" w:rsidRPr="00D44CF2" w:rsidRDefault="00E77B70" w:rsidP="001A3F5B">
            <w:pPr>
              <w:pStyle w:val="TableText"/>
            </w:pPr>
            <w:r w:rsidRPr="00D44CF2">
              <w:t>Limitation</w:t>
            </w:r>
          </w:p>
        </w:tc>
        <w:tc>
          <w:tcPr>
            <w:tcW w:w="1276" w:type="dxa"/>
          </w:tcPr>
          <w:p w14:paraId="78C3CDA5"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type</w:t>
            </w:r>
          </w:p>
        </w:tc>
        <w:tc>
          <w:tcPr>
            <w:tcW w:w="3402" w:type="dxa"/>
          </w:tcPr>
          <w:p w14:paraId="0AB52DE7"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Possible network solution</w:t>
            </w:r>
          </w:p>
        </w:tc>
        <w:tc>
          <w:tcPr>
            <w:tcW w:w="2552" w:type="dxa"/>
          </w:tcPr>
          <w:p w14:paraId="63AEAD3D"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Trigger</w:t>
            </w:r>
          </w:p>
        </w:tc>
        <w:tc>
          <w:tcPr>
            <w:tcW w:w="2127" w:type="dxa"/>
          </w:tcPr>
          <w:p w14:paraId="3F38F173" w14:textId="535FC78F"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AEMO NTP references</w:t>
            </w:r>
          </w:p>
        </w:tc>
        <w:tc>
          <w:tcPr>
            <w:tcW w:w="2268" w:type="dxa"/>
          </w:tcPr>
          <w:p w14:paraId="06939F06"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Contestable project status</w:t>
            </w:r>
          </w:p>
        </w:tc>
      </w:tr>
      <w:tr w:rsidR="00723C05" w:rsidRPr="00D44CF2" w14:paraId="631C9EE5" w14:textId="77777777" w:rsidTr="00261D2D">
        <w:trPr>
          <w:trHeight w:val="113"/>
        </w:trPr>
        <w:tc>
          <w:tcPr>
            <w:cnfStyle w:val="001000000000" w:firstRow="0" w:lastRow="0" w:firstColumn="1" w:lastColumn="0" w:oddVBand="0" w:evenVBand="0" w:oddHBand="0" w:evenHBand="0" w:firstRowFirstColumn="0" w:firstRowLastColumn="0" w:lastRowFirstColumn="0" w:lastRowLastColumn="0"/>
            <w:tcW w:w="3402" w:type="dxa"/>
          </w:tcPr>
          <w:p w14:paraId="3B7C062D" w14:textId="77777777" w:rsidR="00E77B70" w:rsidRPr="00D44CF2" w:rsidRDefault="00E77B70" w:rsidP="001A3F5B">
            <w:pPr>
              <w:pStyle w:val="TableText"/>
            </w:pPr>
            <w:r w:rsidRPr="00D44CF2">
              <w:t>Red Cliffs – Kiamal – Murra Warra – Horsham – Bulgana 220 kV line thermal capacity limitation</w:t>
            </w:r>
          </w:p>
        </w:tc>
        <w:tc>
          <w:tcPr>
            <w:tcW w:w="1276" w:type="dxa"/>
          </w:tcPr>
          <w:p w14:paraId="2005CEF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19E141FB"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 xml:space="preserve">Install automatic generation runback control schemes. </w:t>
            </w:r>
          </w:p>
          <w:p w14:paraId="71ACFDC4"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a new double-circuit Bulgana to Murra Warra 220 kV line via a new terminal station at Horsham.</w:t>
            </w:r>
          </w:p>
        </w:tc>
        <w:tc>
          <w:tcPr>
            <w:tcW w:w="2552" w:type="dxa"/>
          </w:tcPr>
          <w:p w14:paraId="14904244"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Increased generation in Western Victoria and Murray River REZ.</w:t>
            </w:r>
          </w:p>
        </w:tc>
        <w:tc>
          <w:tcPr>
            <w:tcW w:w="2127" w:type="dxa"/>
          </w:tcPr>
          <w:p w14:paraId="7D4ADA21"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Not identified.</w:t>
            </w:r>
          </w:p>
        </w:tc>
        <w:tc>
          <w:tcPr>
            <w:tcW w:w="2268" w:type="dxa"/>
          </w:tcPr>
          <w:p w14:paraId="3B9F235E"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These are unlikely to be contestable projects.</w:t>
            </w:r>
          </w:p>
        </w:tc>
      </w:tr>
      <w:tr w:rsidR="00723C05" w:rsidRPr="00D44CF2" w14:paraId="2BB4FF77" w14:textId="77777777" w:rsidTr="00261D2D">
        <w:trPr>
          <w:trHeight w:val="113"/>
        </w:trPr>
        <w:tc>
          <w:tcPr>
            <w:cnfStyle w:val="001000000000" w:firstRow="0" w:lastRow="0" w:firstColumn="1" w:lastColumn="0" w:oddVBand="0" w:evenVBand="0" w:oddHBand="0" w:evenHBand="0" w:firstRowFirstColumn="0" w:firstRowLastColumn="0" w:lastRowFirstColumn="0" w:lastRowLastColumn="0"/>
            <w:tcW w:w="3402" w:type="dxa"/>
          </w:tcPr>
          <w:p w14:paraId="5C08978C" w14:textId="77777777" w:rsidR="00E77B70" w:rsidRPr="00D44CF2" w:rsidRDefault="00E77B70" w:rsidP="001A3F5B">
            <w:pPr>
              <w:pStyle w:val="TableText"/>
            </w:pPr>
            <w:r w:rsidRPr="00D44CF2">
              <w:t xml:space="preserve">Inadequate reactive power support in Regional Victoria </w:t>
            </w:r>
          </w:p>
        </w:tc>
        <w:tc>
          <w:tcPr>
            <w:tcW w:w="1276" w:type="dxa"/>
          </w:tcPr>
          <w:p w14:paraId="50AAC653"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428750A5"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Staged installation of additional reactive power support in regional Victoria.</w:t>
            </w:r>
          </w:p>
        </w:tc>
        <w:tc>
          <w:tcPr>
            <w:tcW w:w="2552" w:type="dxa"/>
          </w:tcPr>
          <w:p w14:paraId="5C2D9265"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Increased maximum demand and/or reactive power consumption in regional Victoria. </w:t>
            </w:r>
          </w:p>
        </w:tc>
        <w:tc>
          <w:tcPr>
            <w:tcW w:w="2127" w:type="dxa"/>
          </w:tcPr>
          <w:p w14:paraId="5B561F55" w14:textId="5C3D1868"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2022 ISP/</w:t>
            </w:r>
            <w:r w:rsidR="00BA6143">
              <w:t xml:space="preserve">2024 </w:t>
            </w:r>
            <w:r w:rsidRPr="00AF3337">
              <w:rPr>
                <w:i/>
                <w:iCs/>
              </w:rPr>
              <w:t xml:space="preserve">NSCAS </w:t>
            </w:r>
            <w:r w:rsidR="00AF3337" w:rsidRPr="00AF3337">
              <w:rPr>
                <w:i/>
                <w:iCs/>
              </w:rPr>
              <w:t>Report</w:t>
            </w:r>
            <w:r w:rsidR="00AF3337" w:rsidRPr="00D44CF2">
              <w:t xml:space="preserve"> </w:t>
            </w:r>
            <w:r w:rsidRPr="00D44CF2">
              <w:t xml:space="preserve">did not identify this limitation as it is a localised issue. </w:t>
            </w:r>
          </w:p>
        </w:tc>
        <w:tc>
          <w:tcPr>
            <w:tcW w:w="2268" w:type="dxa"/>
          </w:tcPr>
          <w:p w14:paraId="11FCD646"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Additional reactive support is unlikely to be a contestable project.</w:t>
            </w:r>
          </w:p>
        </w:tc>
      </w:tr>
    </w:tbl>
    <w:p w14:paraId="59B94F5F" w14:textId="77777777" w:rsidR="00E77B70" w:rsidRPr="00D44CF2" w:rsidRDefault="00E77B70" w:rsidP="00E77B70">
      <w:pPr>
        <w:pStyle w:val="AppendixHeading2"/>
      </w:pPr>
      <w:bookmarkStart w:id="341" w:name="_Toc212023303"/>
      <w:r w:rsidRPr="00D44CF2">
        <w:t>Victoria system-wide</w:t>
      </w:r>
      <w:bookmarkEnd w:id="341"/>
    </w:p>
    <w:p w14:paraId="3526D2DE" w14:textId="77777777" w:rsidR="00E77B70" w:rsidRPr="00D44CF2" w:rsidRDefault="00E77B70" w:rsidP="00E77B70">
      <w:pPr>
        <w:pStyle w:val="CaptionTable"/>
      </w:pPr>
      <w:bookmarkStart w:id="342" w:name="_Toc212023334"/>
      <w:r w:rsidRPr="00D44CF2">
        <w:t>Limitations in the Victorian system</w:t>
      </w:r>
      <w:bookmarkEnd w:id="342"/>
    </w:p>
    <w:tbl>
      <w:tblPr>
        <w:tblStyle w:val="AEMO-Table4"/>
        <w:tblW w:w="0" w:type="auto"/>
        <w:tblLayout w:type="fixed"/>
        <w:tblLook w:val="06A0" w:firstRow="1" w:lastRow="0" w:firstColumn="1" w:lastColumn="0" w:noHBand="1" w:noVBand="1"/>
      </w:tblPr>
      <w:tblGrid>
        <w:gridCol w:w="3402"/>
        <w:gridCol w:w="1276"/>
        <w:gridCol w:w="3402"/>
        <w:gridCol w:w="2552"/>
        <w:gridCol w:w="2127"/>
        <w:gridCol w:w="2268"/>
      </w:tblGrid>
      <w:tr w:rsidR="00723C05" w:rsidRPr="00D44CF2" w14:paraId="5E9514CD" w14:textId="7777777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402" w:type="dxa"/>
          </w:tcPr>
          <w:p w14:paraId="2D7462F2" w14:textId="77777777" w:rsidR="00E77B70" w:rsidRPr="00D44CF2" w:rsidRDefault="00E77B70" w:rsidP="001A3F5B">
            <w:pPr>
              <w:pStyle w:val="TableText"/>
            </w:pPr>
            <w:r w:rsidRPr="00D44CF2">
              <w:t>Limitation</w:t>
            </w:r>
          </w:p>
        </w:tc>
        <w:tc>
          <w:tcPr>
            <w:tcW w:w="1276" w:type="dxa"/>
          </w:tcPr>
          <w:p w14:paraId="65049EA6"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Limitation type</w:t>
            </w:r>
          </w:p>
        </w:tc>
        <w:tc>
          <w:tcPr>
            <w:tcW w:w="3402" w:type="dxa"/>
          </w:tcPr>
          <w:p w14:paraId="7D47441B"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Possible network solution</w:t>
            </w:r>
          </w:p>
        </w:tc>
        <w:tc>
          <w:tcPr>
            <w:tcW w:w="2552" w:type="dxa"/>
          </w:tcPr>
          <w:p w14:paraId="320CBF0A"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Trigger</w:t>
            </w:r>
          </w:p>
        </w:tc>
        <w:tc>
          <w:tcPr>
            <w:tcW w:w="2127" w:type="dxa"/>
          </w:tcPr>
          <w:p w14:paraId="2E09A698" w14:textId="73002653"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AEMO NTP references</w:t>
            </w:r>
          </w:p>
        </w:tc>
        <w:tc>
          <w:tcPr>
            <w:tcW w:w="2268" w:type="dxa"/>
          </w:tcPr>
          <w:p w14:paraId="4348E564" w14:textId="77777777" w:rsidR="00E77B70" w:rsidRPr="00D44CF2" w:rsidRDefault="00E77B70" w:rsidP="001A3F5B">
            <w:pPr>
              <w:pStyle w:val="TableText"/>
              <w:cnfStyle w:val="100000000000" w:firstRow="1" w:lastRow="0" w:firstColumn="0" w:lastColumn="0" w:oddVBand="0" w:evenVBand="0" w:oddHBand="0" w:evenHBand="0" w:firstRowFirstColumn="0" w:firstRowLastColumn="0" w:lastRowFirstColumn="0" w:lastRowLastColumn="0"/>
            </w:pPr>
            <w:r w:rsidRPr="00D44CF2">
              <w:t>Contestable project status</w:t>
            </w:r>
          </w:p>
        </w:tc>
      </w:tr>
      <w:tr w:rsidR="00723C05" w:rsidRPr="00D44CF2" w14:paraId="572A073E" w14:textId="77777777" w:rsidTr="00261D2D">
        <w:trPr>
          <w:trHeight w:val="345"/>
        </w:trPr>
        <w:tc>
          <w:tcPr>
            <w:cnfStyle w:val="001000000000" w:firstRow="0" w:lastRow="0" w:firstColumn="1" w:lastColumn="0" w:oddVBand="0" w:evenVBand="0" w:oddHBand="0" w:evenHBand="0" w:firstRowFirstColumn="0" w:firstRowLastColumn="0" w:lastRowFirstColumn="0" w:lastRowLastColumn="0"/>
            <w:tcW w:w="3402" w:type="dxa"/>
          </w:tcPr>
          <w:p w14:paraId="184BF6C2" w14:textId="77777777" w:rsidR="00E77B70" w:rsidRPr="00D44CF2" w:rsidRDefault="00E77B70" w:rsidP="001A3F5B">
            <w:pPr>
              <w:pStyle w:val="TableText"/>
            </w:pPr>
            <w:r w:rsidRPr="00D44CF2">
              <w:t>Insufficient demand to dispatch system strength services from synchronous generation</w:t>
            </w:r>
          </w:p>
        </w:tc>
        <w:tc>
          <w:tcPr>
            <w:tcW w:w="1276" w:type="dxa"/>
          </w:tcPr>
          <w:p w14:paraId="354634BD"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Monitored</w:t>
            </w:r>
          </w:p>
        </w:tc>
        <w:tc>
          <w:tcPr>
            <w:tcW w:w="3402" w:type="dxa"/>
          </w:tcPr>
          <w:p w14:paraId="6161FC57"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System strength will be addressed with published RIT-Ts.</w:t>
            </w:r>
          </w:p>
          <w:p w14:paraId="071A92F7"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synchronous condensers at strategic locations of the network.</w:t>
            </w:r>
          </w:p>
          <w:p w14:paraId="2184BCCA"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Install GFM BESS.</w:t>
            </w:r>
          </w:p>
          <w:p w14:paraId="7C4B478D" w14:textId="77777777" w:rsidR="00E77B70" w:rsidRPr="00D44CF2" w:rsidRDefault="00E77B70" w:rsidP="00ED64AB">
            <w:pPr>
              <w:pStyle w:val="TableBullet"/>
              <w:cnfStyle w:val="000000000000" w:firstRow="0" w:lastRow="0" w:firstColumn="0" w:lastColumn="0" w:oddVBand="0" w:evenVBand="0" w:oddHBand="0" w:evenHBand="0" w:firstRowFirstColumn="0" w:firstRowLastColumn="0" w:lastRowFirstColumn="0" w:lastRowLastColumn="0"/>
            </w:pPr>
            <w:r w:rsidRPr="00D44CF2">
              <w:t>Contract synchronous generation to provide system strength services.</w:t>
            </w:r>
          </w:p>
        </w:tc>
        <w:tc>
          <w:tcPr>
            <w:tcW w:w="2552" w:type="dxa"/>
          </w:tcPr>
          <w:p w14:paraId="6F04F8EF"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Decreasing minimum demand</w:t>
            </w:r>
          </w:p>
        </w:tc>
        <w:tc>
          <w:tcPr>
            <w:tcW w:w="2127" w:type="dxa"/>
          </w:tcPr>
          <w:p w14:paraId="2CCEEDD3" w14:textId="2848D816"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 xml:space="preserve">2024 </w:t>
            </w:r>
            <w:r w:rsidRPr="004F7141">
              <w:rPr>
                <w:i/>
                <w:iCs/>
              </w:rPr>
              <w:t xml:space="preserve">NSCAS </w:t>
            </w:r>
            <w:r w:rsidR="00723C05" w:rsidRPr="004F7141">
              <w:rPr>
                <w:i/>
                <w:iCs/>
              </w:rPr>
              <w:t>Report</w:t>
            </w:r>
            <w:r w:rsidR="00723C05" w:rsidRPr="00D44CF2">
              <w:t xml:space="preserve"> </w:t>
            </w:r>
            <w:r w:rsidRPr="00D44CF2">
              <w:t>did identify this limitation, however it clarified that it is expected the outcomes of the System Strength RIT-T will address the limitation.</w:t>
            </w:r>
          </w:p>
        </w:tc>
        <w:tc>
          <w:tcPr>
            <w:tcW w:w="2268" w:type="dxa"/>
          </w:tcPr>
          <w:p w14:paraId="19867B04" w14:textId="77777777" w:rsidR="00E77B70" w:rsidRPr="00D44CF2" w:rsidRDefault="00E77B70" w:rsidP="001A3F5B">
            <w:pPr>
              <w:pStyle w:val="TableText"/>
              <w:cnfStyle w:val="000000000000" w:firstRow="0" w:lastRow="0" w:firstColumn="0" w:lastColumn="0" w:oddVBand="0" w:evenVBand="0" w:oddHBand="0" w:evenHBand="0" w:firstRowFirstColumn="0" w:firstRowLastColumn="0" w:lastRowFirstColumn="0" w:lastRowLastColumn="0"/>
            </w:pPr>
            <w:r w:rsidRPr="00D44CF2">
              <w:t>This is likely to be a contestable project.</w:t>
            </w:r>
          </w:p>
        </w:tc>
      </w:tr>
    </w:tbl>
    <w:p w14:paraId="0264B79C" w14:textId="77777777" w:rsidR="00E77B70" w:rsidRPr="00D44CF2" w:rsidRDefault="00E77B70" w:rsidP="00E77B70">
      <w:r w:rsidRPr="00D44CF2">
        <w:rPr>
          <w:rFonts w:ascii="Aptos" w:eastAsia="Aptos" w:hAnsi="Aptos" w:cs="Aptos"/>
          <w:color w:val="000000"/>
          <w:sz w:val="12"/>
          <w:szCs w:val="12"/>
        </w:rPr>
        <w:t xml:space="preserve"> </w:t>
      </w:r>
    </w:p>
    <w:p w14:paraId="5BECADD9" w14:textId="77777777" w:rsidR="006D7DCA" w:rsidRPr="00D44CF2" w:rsidRDefault="006D7DCA" w:rsidP="00C70B3F">
      <w:pPr>
        <w:pStyle w:val="BodyText"/>
        <w:sectPr w:rsidR="006D7DCA" w:rsidRPr="00D44CF2" w:rsidSect="00AD7BC2">
          <w:headerReference w:type="default" r:id="rId111"/>
          <w:footerReference w:type="default" r:id="rId112"/>
          <w:pgSz w:w="16840" w:h="11907" w:orient="landscape" w:code="9"/>
          <w:pgMar w:top="1985" w:right="907" w:bottom="1418" w:left="907" w:header="788" w:footer="471" w:gutter="0"/>
          <w:cols w:space="708"/>
          <w:docGrid w:linePitch="360"/>
        </w:sectPr>
      </w:pPr>
    </w:p>
    <w:p w14:paraId="43B8CFC5" w14:textId="5DAD2465" w:rsidR="0003054F" w:rsidRPr="00D44CF2" w:rsidRDefault="006D7DCA" w:rsidP="0009308C">
      <w:pPr>
        <w:pStyle w:val="Heading1"/>
        <w:numPr>
          <w:ilvl w:val="0"/>
          <w:numId w:val="0"/>
        </w:numPr>
        <w:ind w:left="567" w:hanging="567"/>
      </w:pPr>
      <w:bookmarkStart w:id="343" w:name="_Toc212023304"/>
      <w:r w:rsidRPr="00D44CF2">
        <w:lastRenderedPageBreak/>
        <w:t>Abbreviations</w:t>
      </w:r>
      <w:bookmarkEnd w:id="343"/>
    </w:p>
    <w:tbl>
      <w:tblPr>
        <w:tblStyle w:val="AEMO-Table1"/>
        <w:tblW w:w="0" w:type="auto"/>
        <w:tblLook w:val="04A0" w:firstRow="1" w:lastRow="0" w:firstColumn="1" w:lastColumn="0" w:noHBand="0" w:noVBand="1"/>
      </w:tblPr>
      <w:tblGrid>
        <w:gridCol w:w="2552"/>
        <w:gridCol w:w="5942"/>
      </w:tblGrid>
      <w:tr w:rsidR="006D7DCA" w:rsidRPr="00D44CF2" w14:paraId="5F3C81A7" w14:textId="77777777" w:rsidTr="000B4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7292629" w14:textId="7A343656" w:rsidR="006D7DCA" w:rsidRPr="00D44CF2" w:rsidRDefault="006D7DCA" w:rsidP="0084366A">
            <w:pPr>
              <w:pStyle w:val="TableText"/>
            </w:pPr>
            <w:r w:rsidRPr="00D44CF2">
              <w:t>Abbreviation</w:t>
            </w:r>
          </w:p>
        </w:tc>
        <w:tc>
          <w:tcPr>
            <w:tcW w:w="5942" w:type="dxa"/>
          </w:tcPr>
          <w:p w14:paraId="10A9DAD3" w14:textId="19015313" w:rsidR="006D7DCA" w:rsidRPr="00D44CF2" w:rsidRDefault="006D7DCA" w:rsidP="0084366A">
            <w:pPr>
              <w:pStyle w:val="TableText"/>
              <w:cnfStyle w:val="100000000000" w:firstRow="1" w:lastRow="0" w:firstColumn="0" w:lastColumn="0" w:oddVBand="0" w:evenVBand="0" w:oddHBand="0" w:evenHBand="0" w:firstRowFirstColumn="0" w:firstRowLastColumn="0" w:lastRowFirstColumn="0" w:lastRowLastColumn="0"/>
            </w:pPr>
            <w:r w:rsidRPr="00D44CF2">
              <w:t>Term</w:t>
            </w:r>
          </w:p>
        </w:tc>
      </w:tr>
      <w:tr w:rsidR="00FC122F" w:rsidRPr="00D44CF2" w14:paraId="62A3A98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4B839E1"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ADTS</w:t>
            </w:r>
          </w:p>
        </w:tc>
        <w:tc>
          <w:tcPr>
            <w:tcW w:w="5942" w:type="dxa"/>
            <w:noWrap/>
            <w:hideMark/>
          </w:tcPr>
          <w:p w14:paraId="6A9148D3"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Axedale Terminal Station</w:t>
            </w:r>
          </w:p>
        </w:tc>
      </w:tr>
      <w:tr w:rsidR="00FC122F" w:rsidRPr="00D44CF2" w14:paraId="57ADB69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BACA3C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AEMC</w:t>
            </w:r>
          </w:p>
        </w:tc>
        <w:tc>
          <w:tcPr>
            <w:tcW w:w="5942" w:type="dxa"/>
            <w:noWrap/>
            <w:hideMark/>
          </w:tcPr>
          <w:p w14:paraId="6914A292"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Australian Energy Market Commission</w:t>
            </w:r>
          </w:p>
        </w:tc>
      </w:tr>
      <w:tr w:rsidR="00FC122F" w:rsidRPr="00D44CF2" w14:paraId="3678E73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E42D33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AER</w:t>
            </w:r>
          </w:p>
        </w:tc>
        <w:tc>
          <w:tcPr>
            <w:tcW w:w="5942" w:type="dxa"/>
            <w:noWrap/>
            <w:hideMark/>
          </w:tcPr>
          <w:p w14:paraId="24ADB156"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Australian Energy Regulator</w:t>
            </w:r>
          </w:p>
        </w:tc>
      </w:tr>
      <w:tr w:rsidR="00FC122F" w:rsidRPr="00D44CF2" w14:paraId="441C27B9"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74BF570"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AFL</w:t>
            </w:r>
          </w:p>
        </w:tc>
        <w:tc>
          <w:tcPr>
            <w:tcW w:w="5942" w:type="dxa"/>
            <w:noWrap/>
            <w:hideMark/>
          </w:tcPr>
          <w:p w14:paraId="1813A135"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Available Fault Level</w:t>
            </w:r>
          </w:p>
        </w:tc>
      </w:tr>
      <w:tr w:rsidR="00FC122F" w:rsidRPr="00D44CF2" w14:paraId="3E0E0C79"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72CCA4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APD</w:t>
            </w:r>
          </w:p>
        </w:tc>
        <w:tc>
          <w:tcPr>
            <w:tcW w:w="5942" w:type="dxa"/>
            <w:noWrap/>
            <w:hideMark/>
          </w:tcPr>
          <w:p w14:paraId="5C582EF3"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Alcoa Portland</w:t>
            </w:r>
          </w:p>
        </w:tc>
      </w:tr>
      <w:tr w:rsidR="00FC122F" w:rsidRPr="00D44CF2" w14:paraId="2E9D4FD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C0162E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ARPS</w:t>
            </w:r>
          </w:p>
        </w:tc>
        <w:tc>
          <w:tcPr>
            <w:tcW w:w="5942" w:type="dxa"/>
            <w:noWrap/>
            <w:hideMark/>
          </w:tcPr>
          <w:p w14:paraId="1C3B6BA5"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Anti Resonance Protection Scheme</w:t>
            </w:r>
          </w:p>
        </w:tc>
      </w:tr>
      <w:tr w:rsidR="00247B06" w:rsidRPr="00D44CF2" w14:paraId="67973CB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144CE44F" w14:textId="109EF5F7" w:rsidR="00247B06" w:rsidRPr="00D44CF2" w:rsidRDefault="00247B06"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ATS</w:t>
            </w:r>
          </w:p>
        </w:tc>
        <w:tc>
          <w:tcPr>
            <w:tcW w:w="5942" w:type="dxa"/>
            <w:noWrap/>
          </w:tcPr>
          <w:p w14:paraId="64DF5A47" w14:textId="2ABAC625" w:rsidR="00247B06" w:rsidRPr="00D44CF2" w:rsidRDefault="00247B06"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Altona Terminal Station</w:t>
            </w:r>
          </w:p>
        </w:tc>
      </w:tr>
      <w:tr w:rsidR="00FC122F" w:rsidRPr="00D44CF2" w14:paraId="3ADABB0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40DB09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AVP</w:t>
            </w:r>
          </w:p>
        </w:tc>
        <w:tc>
          <w:tcPr>
            <w:tcW w:w="5942" w:type="dxa"/>
            <w:noWrap/>
            <w:hideMark/>
          </w:tcPr>
          <w:p w14:paraId="7C3C92DA"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AEMO Victorian Planning</w:t>
            </w:r>
          </w:p>
        </w:tc>
      </w:tr>
      <w:tr w:rsidR="00FC122F" w:rsidRPr="00D44CF2" w14:paraId="7924C9B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445722D"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BATS</w:t>
            </w:r>
          </w:p>
        </w:tc>
        <w:tc>
          <w:tcPr>
            <w:tcW w:w="5942" w:type="dxa"/>
            <w:noWrap/>
            <w:hideMark/>
          </w:tcPr>
          <w:p w14:paraId="273A0D81" w14:textId="4AF4C575" w:rsidR="00FC122F" w:rsidRPr="00D44CF2" w:rsidRDefault="001E61E6"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Ballarat Terminal Station</w:t>
            </w:r>
          </w:p>
        </w:tc>
      </w:tr>
      <w:tr w:rsidR="00FC122F" w:rsidRPr="00D44CF2" w14:paraId="4B0ED0C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35BE9C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BESS</w:t>
            </w:r>
          </w:p>
        </w:tc>
        <w:tc>
          <w:tcPr>
            <w:tcW w:w="5942" w:type="dxa"/>
            <w:noWrap/>
            <w:hideMark/>
          </w:tcPr>
          <w:p w14:paraId="4824E916"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battery energy storage system</w:t>
            </w:r>
          </w:p>
        </w:tc>
      </w:tr>
      <w:tr w:rsidR="00FC122F" w:rsidRPr="00D44CF2" w14:paraId="0A0959C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26B34D6"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BETS</w:t>
            </w:r>
          </w:p>
        </w:tc>
        <w:tc>
          <w:tcPr>
            <w:tcW w:w="5942" w:type="dxa"/>
            <w:noWrap/>
            <w:hideMark/>
          </w:tcPr>
          <w:p w14:paraId="35D6BC7A"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Bendigo Terminal Station</w:t>
            </w:r>
          </w:p>
        </w:tc>
      </w:tr>
      <w:tr w:rsidR="00FC122F" w:rsidRPr="00D44CF2" w14:paraId="1D22334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3C60FB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BGTS</w:t>
            </w:r>
          </w:p>
        </w:tc>
        <w:tc>
          <w:tcPr>
            <w:tcW w:w="5942" w:type="dxa"/>
            <w:noWrap/>
            <w:hideMark/>
          </w:tcPr>
          <w:p w14:paraId="0056CDCF"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Bulgana Terminal Station</w:t>
            </w:r>
          </w:p>
        </w:tc>
      </w:tr>
      <w:tr w:rsidR="00FC122F" w:rsidRPr="00D44CF2" w14:paraId="73A8D767"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414E8CE"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BLTS</w:t>
            </w:r>
          </w:p>
        </w:tc>
        <w:tc>
          <w:tcPr>
            <w:tcW w:w="5942" w:type="dxa"/>
            <w:noWrap/>
            <w:hideMark/>
          </w:tcPr>
          <w:p w14:paraId="713404CB"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Brooklyn Terminal Station</w:t>
            </w:r>
          </w:p>
        </w:tc>
      </w:tr>
      <w:tr w:rsidR="00FC122F" w:rsidRPr="00D44CF2" w14:paraId="2A51BF8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D20BB1D"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BMM</w:t>
            </w:r>
          </w:p>
        </w:tc>
        <w:tc>
          <w:tcPr>
            <w:tcW w:w="5942" w:type="dxa"/>
            <w:noWrap/>
            <w:hideMark/>
          </w:tcPr>
          <w:p w14:paraId="2BB71949"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business mass market</w:t>
            </w:r>
          </w:p>
        </w:tc>
      </w:tr>
      <w:tr w:rsidR="00FC122F" w:rsidRPr="00D44CF2" w14:paraId="0F695239"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D2CF50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CBTS</w:t>
            </w:r>
          </w:p>
        </w:tc>
        <w:tc>
          <w:tcPr>
            <w:tcW w:w="5942" w:type="dxa"/>
            <w:noWrap/>
            <w:hideMark/>
          </w:tcPr>
          <w:p w14:paraId="60C20C93"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Cranbourne Terminal Station</w:t>
            </w:r>
          </w:p>
        </w:tc>
      </w:tr>
      <w:tr w:rsidR="00FC122F" w:rsidRPr="00D44CF2" w14:paraId="58A5969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68420F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CDP</w:t>
            </w:r>
          </w:p>
        </w:tc>
        <w:tc>
          <w:tcPr>
            <w:tcW w:w="5942" w:type="dxa"/>
            <w:noWrap/>
            <w:hideMark/>
          </w:tcPr>
          <w:p w14:paraId="25F239F1"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candidate development pathway</w:t>
            </w:r>
          </w:p>
        </w:tc>
      </w:tr>
      <w:tr w:rsidR="00FC122F" w:rsidRPr="00D44CF2" w14:paraId="06C48E8D"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38ECFA2"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CER</w:t>
            </w:r>
          </w:p>
        </w:tc>
        <w:tc>
          <w:tcPr>
            <w:tcW w:w="5942" w:type="dxa"/>
            <w:noWrap/>
            <w:hideMark/>
          </w:tcPr>
          <w:p w14:paraId="78C05D34" w14:textId="5E080C49" w:rsidR="00FC122F" w:rsidRPr="00D44CF2" w:rsidRDefault="002724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consumer energy resources</w:t>
            </w:r>
          </w:p>
        </w:tc>
      </w:tr>
      <w:tr w:rsidR="00643B75" w:rsidRPr="00D44CF2" w14:paraId="7D2B2DEB"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5BF5F693" w14:textId="3BF129B8" w:rsidR="00643B75" w:rsidRPr="00D44CF2" w:rsidRDefault="00643B75" w:rsidP="0084366A">
            <w:pPr>
              <w:pStyle w:val="TableText"/>
              <w:rPr>
                <w:rFonts w:eastAsia="Times New Roman" w:cs="Times New Roman"/>
                <w:color w:val="000000"/>
                <w:szCs w:val="20"/>
                <w:lang w:eastAsia="en-AU"/>
              </w:rPr>
            </w:pPr>
            <w:r>
              <w:rPr>
                <w:rFonts w:eastAsia="Times New Roman" w:cs="Times New Roman"/>
                <w:color w:val="000000"/>
                <w:szCs w:val="20"/>
                <w:lang w:eastAsia="en-AU"/>
              </w:rPr>
              <w:t>CIS</w:t>
            </w:r>
          </w:p>
        </w:tc>
        <w:tc>
          <w:tcPr>
            <w:tcW w:w="5942" w:type="dxa"/>
            <w:noWrap/>
          </w:tcPr>
          <w:p w14:paraId="06015BCB" w14:textId="7C5B67EA" w:rsidR="00643B75" w:rsidRPr="00D44CF2" w:rsidRDefault="00643B75"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Pr>
                <w:rFonts w:eastAsia="Times New Roman" w:cs="Times New Roman"/>
                <w:color w:val="000000"/>
                <w:szCs w:val="20"/>
                <w:lang w:eastAsia="en-AU"/>
              </w:rPr>
              <w:t>Capacity Investment Scheme</w:t>
            </w:r>
          </w:p>
        </w:tc>
      </w:tr>
      <w:tr w:rsidR="00FC122F" w:rsidRPr="00D44CF2" w14:paraId="35B61AF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D9D7809"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CPTS</w:t>
            </w:r>
          </w:p>
        </w:tc>
        <w:tc>
          <w:tcPr>
            <w:tcW w:w="5942" w:type="dxa"/>
            <w:noWrap/>
            <w:hideMark/>
          </w:tcPr>
          <w:p w14:paraId="5D12CFAD"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Carwarp Terminal Station</w:t>
            </w:r>
          </w:p>
        </w:tc>
      </w:tr>
      <w:tr w:rsidR="00FC122F" w:rsidRPr="00D44CF2" w14:paraId="5237B611"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634ED31"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CRTS</w:t>
            </w:r>
          </w:p>
        </w:tc>
        <w:tc>
          <w:tcPr>
            <w:tcW w:w="5942" w:type="dxa"/>
            <w:noWrap/>
            <w:hideMark/>
          </w:tcPr>
          <w:p w14:paraId="577C2F8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Cressy Terminal Station</w:t>
            </w:r>
          </w:p>
        </w:tc>
      </w:tr>
      <w:tr w:rsidR="00FC122F" w:rsidRPr="00D44CF2" w14:paraId="35E4AF0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E507F3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CWTS</w:t>
            </w:r>
          </w:p>
        </w:tc>
        <w:tc>
          <w:tcPr>
            <w:tcW w:w="5942" w:type="dxa"/>
            <w:noWrap/>
            <w:hideMark/>
          </w:tcPr>
          <w:p w14:paraId="312D6767"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Crowlands Terminal Station</w:t>
            </w:r>
          </w:p>
        </w:tc>
      </w:tr>
      <w:tr w:rsidR="00FC122F" w:rsidRPr="00D44CF2" w14:paraId="540062B2"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11AE2B4"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DB</w:t>
            </w:r>
          </w:p>
        </w:tc>
        <w:tc>
          <w:tcPr>
            <w:tcW w:w="5942" w:type="dxa"/>
            <w:noWrap/>
            <w:hideMark/>
          </w:tcPr>
          <w:p w14:paraId="1F77DA5A"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distribution business</w:t>
            </w:r>
          </w:p>
        </w:tc>
      </w:tr>
      <w:tr w:rsidR="00FC122F" w:rsidRPr="00D44CF2" w14:paraId="583BB7E1"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DD722C1"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DBTS</w:t>
            </w:r>
          </w:p>
        </w:tc>
        <w:tc>
          <w:tcPr>
            <w:tcW w:w="5942" w:type="dxa"/>
            <w:noWrap/>
            <w:hideMark/>
          </w:tcPr>
          <w:p w14:paraId="315D02A8"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Donnybrook Terminal Station</w:t>
            </w:r>
          </w:p>
        </w:tc>
      </w:tr>
      <w:tr w:rsidR="00FC122F" w:rsidRPr="00D44CF2" w14:paraId="1E0D9FA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60A0C3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DBUSS</w:t>
            </w:r>
          </w:p>
        </w:tc>
        <w:tc>
          <w:tcPr>
            <w:tcW w:w="5942" w:type="dxa"/>
            <w:noWrap/>
            <w:hideMark/>
          </w:tcPr>
          <w:p w14:paraId="4A82FC15"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Dederang Bus Split Scheme</w:t>
            </w:r>
          </w:p>
        </w:tc>
      </w:tr>
      <w:tr w:rsidR="00FC122F" w:rsidRPr="00D44CF2" w14:paraId="0C7EFB7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BB1897B"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DC</w:t>
            </w:r>
          </w:p>
        </w:tc>
        <w:tc>
          <w:tcPr>
            <w:tcW w:w="5942" w:type="dxa"/>
            <w:noWrap/>
            <w:hideMark/>
          </w:tcPr>
          <w:p w14:paraId="34F3EAAF"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direct current</w:t>
            </w:r>
          </w:p>
        </w:tc>
      </w:tr>
      <w:tr w:rsidR="00FC122F" w:rsidRPr="00D44CF2" w14:paraId="069D109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E82C1E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DDTS</w:t>
            </w:r>
          </w:p>
        </w:tc>
        <w:tc>
          <w:tcPr>
            <w:tcW w:w="5942" w:type="dxa"/>
            <w:noWrap/>
            <w:hideMark/>
          </w:tcPr>
          <w:p w14:paraId="795680E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Dederang Terminal Station</w:t>
            </w:r>
          </w:p>
        </w:tc>
      </w:tr>
      <w:tr w:rsidR="00FC122F" w:rsidRPr="00D44CF2" w14:paraId="553B443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2923A82"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DEECA</w:t>
            </w:r>
          </w:p>
        </w:tc>
        <w:tc>
          <w:tcPr>
            <w:tcW w:w="5942" w:type="dxa"/>
            <w:noWrap/>
            <w:hideMark/>
          </w:tcPr>
          <w:p w14:paraId="4EDB7C45"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Department of Energy Environment and Climate Action</w:t>
            </w:r>
          </w:p>
        </w:tc>
      </w:tr>
      <w:tr w:rsidR="004679A9" w:rsidRPr="00D44CF2" w14:paraId="03051082"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1B4B0DE5" w14:textId="0A810F05" w:rsidR="004679A9" w:rsidRPr="00D44CF2" w:rsidRDefault="004679A9"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DNSP</w:t>
            </w:r>
          </w:p>
        </w:tc>
        <w:tc>
          <w:tcPr>
            <w:tcW w:w="5942" w:type="dxa"/>
            <w:noWrap/>
          </w:tcPr>
          <w:p w14:paraId="2960D62C" w14:textId="12432563" w:rsidR="004679A9" w:rsidRPr="00D44CF2" w:rsidRDefault="004679A9"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distribution n</w:t>
            </w:r>
            <w:r w:rsidR="003D5608" w:rsidRPr="00D44CF2">
              <w:rPr>
                <w:rFonts w:eastAsia="Times New Roman" w:cs="Times New Roman"/>
                <w:color w:val="000000"/>
                <w:szCs w:val="20"/>
                <w:lang w:eastAsia="en-AU"/>
              </w:rPr>
              <w:t>etwork service provider</w:t>
            </w:r>
          </w:p>
        </w:tc>
      </w:tr>
      <w:tr w:rsidR="00FC122F" w:rsidRPr="00D44CF2" w14:paraId="1E596001"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DB6154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DSN</w:t>
            </w:r>
          </w:p>
        </w:tc>
        <w:tc>
          <w:tcPr>
            <w:tcW w:w="5942" w:type="dxa"/>
            <w:noWrap/>
            <w:hideMark/>
          </w:tcPr>
          <w:p w14:paraId="2D5B3051"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Declared Shared Network</w:t>
            </w:r>
          </w:p>
        </w:tc>
      </w:tr>
      <w:tr w:rsidR="00FC122F" w:rsidRPr="00D44CF2" w14:paraId="42920A0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5C4D24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DTSO</w:t>
            </w:r>
          </w:p>
        </w:tc>
        <w:tc>
          <w:tcPr>
            <w:tcW w:w="5942" w:type="dxa"/>
            <w:noWrap/>
            <w:hideMark/>
          </w:tcPr>
          <w:p w14:paraId="4AC3549E" w14:textId="171A1868"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Declared Tran</w:t>
            </w:r>
            <w:r w:rsidR="004F5697" w:rsidRPr="00D44CF2">
              <w:rPr>
                <w:rFonts w:eastAsia="Times New Roman" w:cs="Times New Roman"/>
                <w:color w:val="000000"/>
                <w:szCs w:val="20"/>
                <w:lang w:eastAsia="en-AU"/>
              </w:rPr>
              <w:t>s</w:t>
            </w:r>
            <w:r w:rsidRPr="00D44CF2">
              <w:rPr>
                <w:rFonts w:eastAsia="Times New Roman" w:cs="Times New Roman"/>
                <w:color w:val="000000"/>
                <w:szCs w:val="20"/>
                <w:lang w:eastAsia="en-AU"/>
              </w:rPr>
              <w:t>mission System Operator</w:t>
            </w:r>
          </w:p>
        </w:tc>
      </w:tr>
      <w:tr w:rsidR="00FC122F" w:rsidRPr="00D44CF2" w14:paraId="265118A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797F6E6"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EAPT</w:t>
            </w:r>
          </w:p>
        </w:tc>
        <w:tc>
          <w:tcPr>
            <w:tcW w:w="5942" w:type="dxa"/>
            <w:noWrap/>
            <w:hideMark/>
          </w:tcPr>
          <w:p w14:paraId="1BE7CA85"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Emergency Alcoa Potline Trip</w:t>
            </w:r>
          </w:p>
        </w:tc>
      </w:tr>
      <w:tr w:rsidR="00FC122F" w:rsidRPr="00D44CF2" w14:paraId="19E8FEF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02A707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EES</w:t>
            </w:r>
          </w:p>
        </w:tc>
        <w:tc>
          <w:tcPr>
            <w:tcW w:w="5942" w:type="dxa"/>
            <w:noWrap/>
            <w:hideMark/>
          </w:tcPr>
          <w:p w14:paraId="472963DD"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Environmental Effects Statement</w:t>
            </w:r>
          </w:p>
        </w:tc>
      </w:tr>
      <w:tr w:rsidR="00FC122F" w:rsidRPr="00D44CF2" w14:paraId="21D1020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A88F50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ELI</w:t>
            </w:r>
          </w:p>
        </w:tc>
        <w:tc>
          <w:tcPr>
            <w:tcW w:w="5942" w:type="dxa"/>
            <w:noWrap/>
            <w:hideMark/>
          </w:tcPr>
          <w:p w14:paraId="132C33EF"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Enhanced Locational Information</w:t>
            </w:r>
          </w:p>
        </w:tc>
      </w:tr>
      <w:tr w:rsidR="00FC122F" w:rsidRPr="00D44CF2" w14:paraId="2396C2F7"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A46EAAE"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ERTS</w:t>
            </w:r>
          </w:p>
        </w:tc>
        <w:tc>
          <w:tcPr>
            <w:tcW w:w="5942" w:type="dxa"/>
            <w:noWrap/>
            <w:hideMark/>
          </w:tcPr>
          <w:p w14:paraId="3DA5FAE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East Rowville Terminal Station</w:t>
            </w:r>
          </w:p>
        </w:tc>
      </w:tr>
      <w:tr w:rsidR="00FC122F" w:rsidRPr="00D44CF2" w14:paraId="6F5F9F9C"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9C231CE"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ESOO</w:t>
            </w:r>
          </w:p>
        </w:tc>
        <w:tc>
          <w:tcPr>
            <w:tcW w:w="5942" w:type="dxa"/>
            <w:noWrap/>
            <w:hideMark/>
          </w:tcPr>
          <w:p w14:paraId="59FD8EE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0"/>
                <w:lang w:eastAsia="en-AU"/>
              </w:rPr>
            </w:pPr>
            <w:r w:rsidRPr="00D44CF2">
              <w:rPr>
                <w:rFonts w:eastAsia="Times New Roman" w:cs="Times New Roman"/>
                <w:i/>
                <w:iCs/>
                <w:color w:val="000000"/>
                <w:szCs w:val="20"/>
                <w:lang w:eastAsia="en-AU"/>
              </w:rPr>
              <w:t>Electricity Statement of Opportunities</w:t>
            </w:r>
          </w:p>
        </w:tc>
      </w:tr>
      <w:tr w:rsidR="00FC122F" w:rsidRPr="00D44CF2" w14:paraId="0C7E865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27B1B42"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EV</w:t>
            </w:r>
          </w:p>
        </w:tc>
        <w:tc>
          <w:tcPr>
            <w:tcW w:w="5942" w:type="dxa"/>
            <w:noWrap/>
            <w:hideMark/>
          </w:tcPr>
          <w:p w14:paraId="07D188EC"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electric vehicle</w:t>
            </w:r>
          </w:p>
        </w:tc>
      </w:tr>
      <w:tr w:rsidR="00FC122F" w:rsidRPr="00D44CF2" w14:paraId="14049D2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CF3E7A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FBTS</w:t>
            </w:r>
          </w:p>
        </w:tc>
        <w:tc>
          <w:tcPr>
            <w:tcW w:w="5942" w:type="dxa"/>
            <w:noWrap/>
            <w:hideMark/>
          </w:tcPr>
          <w:p w14:paraId="640AF923"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Fishermans Bend Terminal Station</w:t>
            </w:r>
          </w:p>
        </w:tc>
      </w:tr>
      <w:tr w:rsidR="00AB7CAF" w:rsidRPr="00D44CF2" w14:paraId="7E89AB0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3FA477B1" w14:textId="4DBC2627" w:rsidR="00AB7CAF" w:rsidRPr="00D44CF2" w:rsidRDefault="00F33F14" w:rsidP="0084366A">
            <w:pPr>
              <w:pStyle w:val="TableText"/>
              <w:rPr>
                <w:rFonts w:eastAsia="Times New Roman" w:cs="Times New Roman"/>
                <w:color w:val="000000"/>
                <w:szCs w:val="20"/>
                <w:lang w:eastAsia="en-AU"/>
              </w:rPr>
            </w:pPr>
            <w:r>
              <w:rPr>
                <w:rFonts w:eastAsia="Times New Roman" w:cs="Times New Roman"/>
                <w:color w:val="000000"/>
                <w:szCs w:val="20"/>
                <w:lang w:eastAsia="en-AU"/>
              </w:rPr>
              <w:lastRenderedPageBreak/>
              <w:t>FCAS</w:t>
            </w:r>
          </w:p>
        </w:tc>
        <w:tc>
          <w:tcPr>
            <w:tcW w:w="5942" w:type="dxa"/>
            <w:noWrap/>
          </w:tcPr>
          <w:p w14:paraId="2390A153" w14:textId="79B531A7" w:rsidR="00AB7CAF" w:rsidRPr="00D44CF2" w:rsidRDefault="00F33F14"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Pr>
                <w:rFonts w:eastAsia="Times New Roman" w:cs="Times New Roman"/>
                <w:color w:val="000000"/>
                <w:szCs w:val="20"/>
                <w:lang w:eastAsia="en-AU"/>
              </w:rPr>
              <w:t>frequency control ancillary services</w:t>
            </w:r>
          </w:p>
        </w:tc>
      </w:tr>
      <w:tr w:rsidR="0036759A" w:rsidRPr="00D44CF2" w14:paraId="3CBC53B1"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78E58ACA" w14:textId="6053752E" w:rsidR="0036759A" w:rsidRDefault="0036759A" w:rsidP="0084366A">
            <w:pPr>
              <w:pStyle w:val="TableText"/>
              <w:rPr>
                <w:rFonts w:eastAsia="Times New Roman" w:cs="Times New Roman"/>
                <w:color w:val="000000"/>
                <w:szCs w:val="20"/>
                <w:lang w:eastAsia="en-AU"/>
              </w:rPr>
            </w:pPr>
            <w:r>
              <w:rPr>
                <w:rFonts w:eastAsia="Times New Roman" w:cs="Times New Roman"/>
                <w:color w:val="000000"/>
                <w:szCs w:val="20"/>
                <w:lang w:eastAsia="en-AU"/>
              </w:rPr>
              <w:t>FFR</w:t>
            </w:r>
          </w:p>
        </w:tc>
        <w:tc>
          <w:tcPr>
            <w:tcW w:w="5942" w:type="dxa"/>
            <w:noWrap/>
          </w:tcPr>
          <w:p w14:paraId="190A571B" w14:textId="2C7618D1" w:rsidR="0036759A" w:rsidRDefault="0036759A"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Pr>
                <w:rFonts w:eastAsia="Times New Roman" w:cs="Times New Roman"/>
                <w:color w:val="000000"/>
                <w:szCs w:val="20"/>
                <w:lang w:eastAsia="en-AU"/>
              </w:rPr>
              <w:t>fast frequency response</w:t>
            </w:r>
          </w:p>
        </w:tc>
      </w:tr>
      <w:tr w:rsidR="00FC122F" w:rsidRPr="00D44CF2" w14:paraId="4AE6198C"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00D375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FID</w:t>
            </w:r>
          </w:p>
        </w:tc>
        <w:tc>
          <w:tcPr>
            <w:tcW w:w="5942" w:type="dxa"/>
            <w:noWrap/>
            <w:hideMark/>
          </w:tcPr>
          <w:p w14:paraId="6611909F"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Final Investment Decision</w:t>
            </w:r>
          </w:p>
        </w:tc>
      </w:tr>
      <w:tr w:rsidR="00FC122F" w:rsidRPr="00D44CF2" w14:paraId="2F2C864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7C0DBCD"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GETS</w:t>
            </w:r>
          </w:p>
        </w:tc>
        <w:tc>
          <w:tcPr>
            <w:tcW w:w="5942" w:type="dxa"/>
            <w:noWrap/>
            <w:hideMark/>
          </w:tcPr>
          <w:p w14:paraId="6CBD2475"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Goorambat East Terminal Station</w:t>
            </w:r>
          </w:p>
        </w:tc>
      </w:tr>
      <w:tr w:rsidR="00FC122F" w:rsidRPr="00D44CF2" w14:paraId="67870682"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A29241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GFL</w:t>
            </w:r>
          </w:p>
        </w:tc>
        <w:tc>
          <w:tcPr>
            <w:tcW w:w="5942" w:type="dxa"/>
            <w:noWrap/>
            <w:hideMark/>
          </w:tcPr>
          <w:p w14:paraId="775A8AAD"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grid-following</w:t>
            </w:r>
          </w:p>
        </w:tc>
      </w:tr>
      <w:tr w:rsidR="00FC122F" w:rsidRPr="00D44CF2" w14:paraId="599461A1"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2118636"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GFM</w:t>
            </w:r>
          </w:p>
        </w:tc>
        <w:tc>
          <w:tcPr>
            <w:tcW w:w="5942" w:type="dxa"/>
            <w:noWrap/>
            <w:hideMark/>
          </w:tcPr>
          <w:p w14:paraId="3556AF6B"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grid-forming</w:t>
            </w:r>
          </w:p>
        </w:tc>
      </w:tr>
      <w:tr w:rsidR="00FC122F" w:rsidRPr="00D44CF2" w14:paraId="2B27C1D1"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C723B7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GFT</w:t>
            </w:r>
          </w:p>
        </w:tc>
        <w:tc>
          <w:tcPr>
            <w:tcW w:w="5942" w:type="dxa"/>
            <w:noWrap/>
            <w:hideMark/>
          </w:tcPr>
          <w:p w14:paraId="355F7C13"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Generator Fast Trip</w:t>
            </w:r>
          </w:p>
        </w:tc>
      </w:tr>
      <w:tr w:rsidR="00FC122F" w:rsidRPr="00D44CF2" w14:paraId="60CB3D9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F432B6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GIL</w:t>
            </w:r>
          </w:p>
        </w:tc>
        <w:tc>
          <w:tcPr>
            <w:tcW w:w="5942" w:type="dxa"/>
            <w:noWrap/>
            <w:hideMark/>
          </w:tcPr>
          <w:p w14:paraId="3EE48B92"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Gas Insulated Line</w:t>
            </w:r>
          </w:p>
        </w:tc>
      </w:tr>
      <w:tr w:rsidR="00FC122F" w:rsidRPr="00D44CF2" w14:paraId="64B7CF3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007F7F1"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GIS</w:t>
            </w:r>
          </w:p>
        </w:tc>
        <w:tc>
          <w:tcPr>
            <w:tcW w:w="5942" w:type="dxa"/>
            <w:noWrap/>
            <w:hideMark/>
          </w:tcPr>
          <w:p w14:paraId="7CBFCA10"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Gas Insulated Switchgear</w:t>
            </w:r>
          </w:p>
        </w:tc>
      </w:tr>
      <w:tr w:rsidR="00FC122F" w:rsidRPr="00D44CF2" w14:paraId="1837C13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A9506C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GNTS</w:t>
            </w:r>
          </w:p>
        </w:tc>
        <w:tc>
          <w:tcPr>
            <w:tcW w:w="5942" w:type="dxa"/>
            <w:noWrap/>
            <w:hideMark/>
          </w:tcPr>
          <w:p w14:paraId="4232216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Glenrowan Terminal Station</w:t>
            </w:r>
          </w:p>
        </w:tc>
      </w:tr>
      <w:tr w:rsidR="00FC122F" w:rsidRPr="00D44CF2" w14:paraId="6523C2C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DFB095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GPSRR</w:t>
            </w:r>
          </w:p>
        </w:tc>
        <w:tc>
          <w:tcPr>
            <w:tcW w:w="5942" w:type="dxa"/>
            <w:noWrap/>
            <w:hideMark/>
          </w:tcPr>
          <w:p w14:paraId="12A1D2E1"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General Power System Risk Review</w:t>
            </w:r>
          </w:p>
        </w:tc>
      </w:tr>
      <w:tr w:rsidR="00FC122F" w:rsidRPr="00D44CF2" w14:paraId="7ABC725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7F4193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GPTS</w:t>
            </w:r>
          </w:p>
        </w:tc>
        <w:tc>
          <w:tcPr>
            <w:tcW w:w="5942" w:type="dxa"/>
            <w:noWrap/>
            <w:hideMark/>
          </w:tcPr>
          <w:p w14:paraId="5A794E4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Golden Plains Terminal Station</w:t>
            </w:r>
          </w:p>
        </w:tc>
      </w:tr>
      <w:tr w:rsidR="00FC122F" w:rsidRPr="00D44CF2" w14:paraId="0ECB469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A7CA764"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GTS</w:t>
            </w:r>
          </w:p>
        </w:tc>
        <w:tc>
          <w:tcPr>
            <w:tcW w:w="5942" w:type="dxa"/>
            <w:noWrap/>
            <w:hideMark/>
          </w:tcPr>
          <w:p w14:paraId="0B2E6AF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Geelong Terminal Station</w:t>
            </w:r>
          </w:p>
        </w:tc>
      </w:tr>
      <w:tr w:rsidR="00FC122F" w:rsidRPr="00D44CF2" w14:paraId="102B0A9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75F4700"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GW</w:t>
            </w:r>
          </w:p>
        </w:tc>
        <w:tc>
          <w:tcPr>
            <w:tcW w:w="5942" w:type="dxa"/>
            <w:noWrap/>
            <w:hideMark/>
          </w:tcPr>
          <w:p w14:paraId="0D339D6D" w14:textId="607EEDDB" w:rsidR="00FC122F" w:rsidRPr="00D44CF2" w:rsidRDefault="00CA7E67"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gigawatt/s</w:t>
            </w:r>
          </w:p>
        </w:tc>
      </w:tr>
      <w:tr w:rsidR="00FC122F" w:rsidRPr="00D44CF2" w14:paraId="4CFD19B2"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E41C181"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GWTS</w:t>
            </w:r>
          </w:p>
        </w:tc>
        <w:tc>
          <w:tcPr>
            <w:tcW w:w="5942" w:type="dxa"/>
            <w:noWrap/>
            <w:hideMark/>
          </w:tcPr>
          <w:p w14:paraId="1BA967BA"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Gnarwarre Terminal Station</w:t>
            </w:r>
          </w:p>
        </w:tc>
      </w:tr>
      <w:tr w:rsidR="00FC122F" w:rsidRPr="00D44CF2" w14:paraId="327B2CA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4CF9450"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HGTS</w:t>
            </w:r>
          </w:p>
        </w:tc>
        <w:tc>
          <w:tcPr>
            <w:tcW w:w="5942" w:type="dxa"/>
            <w:noWrap/>
            <w:hideMark/>
          </w:tcPr>
          <w:p w14:paraId="4A7981F3" w14:textId="78715718" w:rsidR="00FC122F" w:rsidRPr="00D44CF2" w:rsidRDefault="001E61E6"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Haunted Gully Terminal Station</w:t>
            </w:r>
          </w:p>
        </w:tc>
      </w:tr>
      <w:tr w:rsidR="00FC122F" w:rsidRPr="00D44CF2" w14:paraId="3416906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A6CF9A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HIC</w:t>
            </w:r>
          </w:p>
        </w:tc>
        <w:tc>
          <w:tcPr>
            <w:tcW w:w="5942" w:type="dxa"/>
            <w:noWrap/>
            <w:hideMark/>
          </w:tcPr>
          <w:p w14:paraId="01B26698"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Heywood Interconnector</w:t>
            </w:r>
          </w:p>
        </w:tc>
      </w:tr>
      <w:tr w:rsidR="00FC122F" w:rsidRPr="00D44CF2" w14:paraId="4F45B442"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0AEF904"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HIC RAS</w:t>
            </w:r>
          </w:p>
        </w:tc>
        <w:tc>
          <w:tcPr>
            <w:tcW w:w="5942" w:type="dxa"/>
            <w:noWrap/>
            <w:hideMark/>
          </w:tcPr>
          <w:p w14:paraId="3393FC60"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Heywood Interconnector Remedial Action Scheme</w:t>
            </w:r>
          </w:p>
        </w:tc>
      </w:tr>
      <w:tr w:rsidR="00FC122F" w:rsidRPr="00D44CF2" w14:paraId="65CC97D1"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021297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HILP</w:t>
            </w:r>
          </w:p>
        </w:tc>
        <w:tc>
          <w:tcPr>
            <w:tcW w:w="5942" w:type="dxa"/>
            <w:noWrap/>
            <w:hideMark/>
          </w:tcPr>
          <w:p w14:paraId="53405368" w14:textId="7AB76262"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High Im</w:t>
            </w:r>
            <w:r w:rsidR="003C10ED" w:rsidRPr="00D44CF2">
              <w:rPr>
                <w:rFonts w:eastAsia="Times New Roman" w:cs="Times New Roman"/>
                <w:color w:val="000000"/>
                <w:szCs w:val="20"/>
                <w:lang w:eastAsia="en-AU"/>
              </w:rPr>
              <w:t>p</w:t>
            </w:r>
            <w:r w:rsidRPr="00D44CF2">
              <w:rPr>
                <w:rFonts w:eastAsia="Times New Roman" w:cs="Times New Roman"/>
                <w:color w:val="000000"/>
                <w:szCs w:val="20"/>
                <w:lang w:eastAsia="en-AU"/>
              </w:rPr>
              <w:t>act Low Probability</w:t>
            </w:r>
          </w:p>
        </w:tc>
      </w:tr>
      <w:tr w:rsidR="00FC122F" w:rsidRPr="00D44CF2" w14:paraId="76AA680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4E9215D"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HOTS</w:t>
            </w:r>
          </w:p>
        </w:tc>
        <w:tc>
          <w:tcPr>
            <w:tcW w:w="5942" w:type="dxa"/>
            <w:noWrap/>
            <w:hideMark/>
          </w:tcPr>
          <w:p w14:paraId="2EB1D0F7"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Horsham Terminal Station</w:t>
            </w:r>
          </w:p>
        </w:tc>
      </w:tr>
      <w:tr w:rsidR="00FC122F" w:rsidRPr="00D44CF2" w14:paraId="0062407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2659549"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HVDC</w:t>
            </w:r>
          </w:p>
        </w:tc>
        <w:tc>
          <w:tcPr>
            <w:tcW w:w="5942" w:type="dxa"/>
            <w:noWrap/>
            <w:hideMark/>
          </w:tcPr>
          <w:p w14:paraId="0E1CC29A"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high voltage direct current</w:t>
            </w:r>
          </w:p>
        </w:tc>
      </w:tr>
      <w:tr w:rsidR="00DA28FD" w:rsidRPr="00D44CF2" w14:paraId="2DB41AC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5BBB6810" w14:textId="40AD7539" w:rsidR="00DA28FD" w:rsidRPr="00D44CF2" w:rsidRDefault="00DA28FD"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HWPS</w:t>
            </w:r>
          </w:p>
        </w:tc>
        <w:tc>
          <w:tcPr>
            <w:tcW w:w="5942" w:type="dxa"/>
            <w:noWrap/>
          </w:tcPr>
          <w:p w14:paraId="3F940C99" w14:textId="4B59A81C" w:rsidR="00DA28FD" w:rsidRPr="00D44CF2" w:rsidRDefault="00DA28FD"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 xml:space="preserve">Hazelwood Power Station </w:t>
            </w:r>
            <w:r w:rsidR="00CA7E67" w:rsidRPr="00D44CF2">
              <w:rPr>
                <w:rFonts w:eastAsia="Times New Roman" w:cs="Times New Roman"/>
                <w:color w:val="000000"/>
                <w:szCs w:val="20"/>
                <w:lang w:eastAsia="en-AU"/>
              </w:rPr>
              <w:t>switchyard</w:t>
            </w:r>
          </w:p>
        </w:tc>
      </w:tr>
      <w:tr w:rsidR="00D26FE4" w:rsidRPr="00D44CF2" w14:paraId="7FA1290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29BD769B" w14:textId="6BDF181F" w:rsidR="00D26FE4" w:rsidRPr="00D44CF2" w:rsidRDefault="00D26FE4" w:rsidP="0084366A">
            <w:pPr>
              <w:pStyle w:val="TableText"/>
              <w:rPr>
                <w:rFonts w:eastAsia="Times New Roman" w:cs="Times New Roman"/>
                <w:color w:val="000000"/>
                <w:szCs w:val="20"/>
                <w:lang w:eastAsia="en-AU"/>
              </w:rPr>
            </w:pPr>
            <w:r>
              <w:rPr>
                <w:rFonts w:eastAsia="Times New Roman" w:cs="Times New Roman"/>
                <w:color w:val="000000"/>
                <w:szCs w:val="20"/>
                <w:lang w:eastAsia="en-AU"/>
              </w:rPr>
              <w:t>IAC</w:t>
            </w:r>
          </w:p>
        </w:tc>
        <w:tc>
          <w:tcPr>
            <w:tcW w:w="5942" w:type="dxa"/>
            <w:noWrap/>
          </w:tcPr>
          <w:p w14:paraId="647BE230" w14:textId="1C4B57CB" w:rsidR="00D26FE4" w:rsidRPr="00D26FE4" w:rsidRDefault="00D26FE4"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26FE4">
              <w:rPr>
                <w:rFonts w:eastAsia="Times New Roman" w:cs="Times New Roman"/>
                <w:color w:val="000000"/>
                <w:szCs w:val="20"/>
                <w:lang w:eastAsia="en-AU"/>
              </w:rPr>
              <w:t>Victorian Inquiry and Advisory Committee</w:t>
            </w:r>
          </w:p>
        </w:tc>
      </w:tr>
      <w:tr w:rsidR="00FC122F" w:rsidRPr="00D44CF2" w14:paraId="26F2454B"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CDF517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IASR</w:t>
            </w:r>
          </w:p>
        </w:tc>
        <w:tc>
          <w:tcPr>
            <w:tcW w:w="5942" w:type="dxa"/>
            <w:noWrap/>
            <w:hideMark/>
          </w:tcPr>
          <w:p w14:paraId="3E46387F"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0"/>
                <w:lang w:eastAsia="en-AU"/>
              </w:rPr>
            </w:pPr>
            <w:r w:rsidRPr="00D44CF2">
              <w:rPr>
                <w:rFonts w:eastAsia="Times New Roman" w:cs="Times New Roman"/>
                <w:i/>
                <w:iCs/>
                <w:color w:val="000000"/>
                <w:szCs w:val="20"/>
                <w:lang w:eastAsia="en-AU"/>
              </w:rPr>
              <w:t>Inputs, Assumptions and Scenarios Report</w:t>
            </w:r>
          </w:p>
        </w:tc>
      </w:tr>
      <w:tr w:rsidR="00FC122F" w:rsidRPr="00D44CF2" w14:paraId="4944FC1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75909F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IBL</w:t>
            </w:r>
          </w:p>
        </w:tc>
        <w:tc>
          <w:tcPr>
            <w:tcW w:w="5942" w:type="dxa"/>
            <w:noWrap/>
            <w:hideMark/>
          </w:tcPr>
          <w:p w14:paraId="6DE019A7" w14:textId="0BDE1D79"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inverter based load</w:t>
            </w:r>
            <w:r w:rsidR="00CA7E67" w:rsidRPr="00D44CF2">
              <w:rPr>
                <w:rFonts w:eastAsia="Times New Roman" w:cs="Times New Roman"/>
                <w:color w:val="000000"/>
                <w:szCs w:val="20"/>
                <w:lang w:eastAsia="en-AU"/>
              </w:rPr>
              <w:t>/</w:t>
            </w:r>
            <w:r w:rsidRPr="00D44CF2">
              <w:rPr>
                <w:rFonts w:eastAsia="Times New Roman" w:cs="Times New Roman"/>
                <w:color w:val="000000"/>
                <w:szCs w:val="20"/>
                <w:lang w:eastAsia="en-AU"/>
              </w:rPr>
              <w:t>s</w:t>
            </w:r>
          </w:p>
        </w:tc>
      </w:tr>
      <w:tr w:rsidR="00FC122F" w:rsidRPr="00D44CF2" w14:paraId="26FB930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688429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IBR</w:t>
            </w:r>
          </w:p>
        </w:tc>
        <w:tc>
          <w:tcPr>
            <w:tcW w:w="5942" w:type="dxa"/>
            <w:noWrap/>
            <w:hideMark/>
          </w:tcPr>
          <w:p w14:paraId="646F9031" w14:textId="2B4B8946"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inverter based resource</w:t>
            </w:r>
            <w:r w:rsidR="00CA7E67" w:rsidRPr="00D44CF2">
              <w:rPr>
                <w:rFonts w:eastAsia="Times New Roman" w:cs="Times New Roman"/>
                <w:color w:val="000000"/>
                <w:szCs w:val="20"/>
                <w:lang w:eastAsia="en-AU"/>
              </w:rPr>
              <w:t>/</w:t>
            </w:r>
            <w:r w:rsidRPr="00D44CF2">
              <w:rPr>
                <w:rFonts w:eastAsia="Times New Roman" w:cs="Times New Roman"/>
                <w:color w:val="000000"/>
                <w:szCs w:val="20"/>
                <w:lang w:eastAsia="en-AU"/>
              </w:rPr>
              <w:t>s</w:t>
            </w:r>
          </w:p>
        </w:tc>
      </w:tr>
      <w:tr w:rsidR="00FC122F" w:rsidRPr="00D44CF2" w14:paraId="1DB392D9"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C442440"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IECS</w:t>
            </w:r>
          </w:p>
        </w:tc>
        <w:tc>
          <w:tcPr>
            <w:tcW w:w="5942" w:type="dxa"/>
            <w:noWrap/>
            <w:hideMark/>
          </w:tcPr>
          <w:p w14:paraId="7D2F6145"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Interconnector Emergency Control Scheme</w:t>
            </w:r>
          </w:p>
        </w:tc>
      </w:tr>
      <w:tr w:rsidR="00FC122F" w:rsidRPr="00D44CF2" w14:paraId="68BA151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D154F3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ISF</w:t>
            </w:r>
          </w:p>
        </w:tc>
        <w:tc>
          <w:tcPr>
            <w:tcW w:w="5942" w:type="dxa"/>
            <w:noWrap/>
            <w:hideMark/>
          </w:tcPr>
          <w:p w14:paraId="058C0C22"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Improving Security Frameworks</w:t>
            </w:r>
          </w:p>
        </w:tc>
      </w:tr>
      <w:tr w:rsidR="00FC122F" w:rsidRPr="00D44CF2" w14:paraId="5C23500C"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5C8220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ISP</w:t>
            </w:r>
          </w:p>
        </w:tc>
        <w:tc>
          <w:tcPr>
            <w:tcW w:w="5942" w:type="dxa"/>
            <w:noWrap/>
            <w:hideMark/>
          </w:tcPr>
          <w:p w14:paraId="29CDEDAA" w14:textId="4993161C"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0"/>
                <w:lang w:eastAsia="en-AU"/>
              </w:rPr>
            </w:pPr>
            <w:r w:rsidRPr="00D44CF2">
              <w:rPr>
                <w:rFonts w:eastAsia="Times New Roman" w:cs="Times New Roman"/>
                <w:i/>
                <w:iCs/>
                <w:color w:val="000000"/>
                <w:szCs w:val="20"/>
                <w:lang w:eastAsia="en-AU"/>
              </w:rPr>
              <w:t>Integrated System Plan</w:t>
            </w:r>
          </w:p>
        </w:tc>
      </w:tr>
      <w:tr w:rsidR="00FC122F" w:rsidRPr="00D44CF2" w14:paraId="153D855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1C2CC8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JJTS</w:t>
            </w:r>
          </w:p>
        </w:tc>
        <w:tc>
          <w:tcPr>
            <w:tcW w:w="5942" w:type="dxa"/>
            <w:noWrap/>
            <w:hideMark/>
          </w:tcPr>
          <w:p w14:paraId="392D2DA9"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Joel Joel Terminal Station</w:t>
            </w:r>
          </w:p>
        </w:tc>
      </w:tr>
      <w:tr w:rsidR="00FC122F" w:rsidRPr="00D44CF2" w14:paraId="1D1FF86B"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430FF0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JLTS</w:t>
            </w:r>
          </w:p>
        </w:tc>
        <w:tc>
          <w:tcPr>
            <w:tcW w:w="5942" w:type="dxa"/>
            <w:noWrap/>
            <w:hideMark/>
          </w:tcPr>
          <w:p w14:paraId="16B4474C"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Jeeralang Terminal Station</w:t>
            </w:r>
          </w:p>
        </w:tc>
      </w:tr>
      <w:tr w:rsidR="00FC122F" w:rsidRPr="00D44CF2" w14:paraId="0765328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E89D11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JPB</w:t>
            </w:r>
          </w:p>
        </w:tc>
        <w:tc>
          <w:tcPr>
            <w:tcW w:w="5942" w:type="dxa"/>
            <w:noWrap/>
            <w:hideMark/>
          </w:tcPr>
          <w:p w14:paraId="38289191"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Jurisdictional Planning Body</w:t>
            </w:r>
          </w:p>
        </w:tc>
      </w:tr>
      <w:tr w:rsidR="00FC122F" w:rsidRPr="00D44CF2" w14:paraId="3283FAA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050507D"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kA</w:t>
            </w:r>
          </w:p>
        </w:tc>
        <w:tc>
          <w:tcPr>
            <w:tcW w:w="5942" w:type="dxa"/>
            <w:noWrap/>
            <w:hideMark/>
          </w:tcPr>
          <w:p w14:paraId="342CB762" w14:textId="4181BEDD" w:rsidR="00FC122F" w:rsidRPr="00D44CF2" w:rsidRDefault="005167C7"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kiloampere/</w:t>
            </w:r>
            <w:r w:rsidR="00FC122F" w:rsidRPr="00D44CF2">
              <w:rPr>
                <w:rFonts w:eastAsia="Times New Roman" w:cs="Times New Roman"/>
                <w:color w:val="000000"/>
                <w:szCs w:val="20"/>
                <w:lang w:eastAsia="en-AU"/>
              </w:rPr>
              <w:t>s</w:t>
            </w:r>
          </w:p>
        </w:tc>
      </w:tr>
      <w:tr w:rsidR="00FC122F" w:rsidRPr="00D44CF2" w14:paraId="3B4F8F3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C32A5AB"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KESS</w:t>
            </w:r>
          </w:p>
        </w:tc>
        <w:tc>
          <w:tcPr>
            <w:tcW w:w="5942" w:type="dxa"/>
            <w:noWrap/>
            <w:hideMark/>
          </w:tcPr>
          <w:p w14:paraId="0E0A46EC" w14:textId="2AC41C25"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Koorangie battery energy storage system</w:t>
            </w:r>
          </w:p>
        </w:tc>
      </w:tr>
      <w:tr w:rsidR="00FC122F" w:rsidRPr="00D44CF2" w14:paraId="3D69F31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637309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KGTS</w:t>
            </w:r>
          </w:p>
        </w:tc>
        <w:tc>
          <w:tcPr>
            <w:tcW w:w="5942" w:type="dxa"/>
            <w:noWrap/>
            <w:hideMark/>
          </w:tcPr>
          <w:p w14:paraId="3E50D0E0"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Kerang Terminal Station</w:t>
            </w:r>
          </w:p>
        </w:tc>
      </w:tr>
      <w:tr w:rsidR="00FC122F" w:rsidRPr="00D44CF2" w14:paraId="13A545C7"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4A0CC9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km</w:t>
            </w:r>
          </w:p>
        </w:tc>
        <w:tc>
          <w:tcPr>
            <w:tcW w:w="5942" w:type="dxa"/>
            <w:noWrap/>
            <w:hideMark/>
          </w:tcPr>
          <w:p w14:paraId="47D6B9DE" w14:textId="027A5CEC" w:rsidR="00FC122F" w:rsidRPr="00D44CF2" w:rsidRDefault="00CA7E67"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kilometre/</w:t>
            </w:r>
            <w:r w:rsidR="00FC122F" w:rsidRPr="00D44CF2">
              <w:rPr>
                <w:rFonts w:eastAsia="Times New Roman" w:cs="Times New Roman"/>
                <w:color w:val="000000"/>
                <w:szCs w:val="20"/>
                <w:lang w:eastAsia="en-AU"/>
              </w:rPr>
              <w:t>s</w:t>
            </w:r>
          </w:p>
        </w:tc>
      </w:tr>
      <w:tr w:rsidR="00FC122F" w:rsidRPr="00D44CF2" w14:paraId="321B2FF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672ABC0"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KOTS</w:t>
            </w:r>
          </w:p>
        </w:tc>
        <w:tc>
          <w:tcPr>
            <w:tcW w:w="5942" w:type="dxa"/>
            <w:noWrap/>
            <w:hideMark/>
          </w:tcPr>
          <w:p w14:paraId="3833B107"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Koorangie Terminal Station</w:t>
            </w:r>
          </w:p>
        </w:tc>
      </w:tr>
      <w:tr w:rsidR="00FC122F" w:rsidRPr="00D44CF2" w14:paraId="6AE9632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80ACE39"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KOVPS</w:t>
            </w:r>
          </w:p>
        </w:tc>
        <w:tc>
          <w:tcPr>
            <w:tcW w:w="5942" w:type="dxa"/>
            <w:noWrap/>
            <w:hideMark/>
          </w:tcPr>
          <w:p w14:paraId="319637DA"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Keilor OVPS</w:t>
            </w:r>
          </w:p>
        </w:tc>
      </w:tr>
      <w:tr w:rsidR="00FC122F" w:rsidRPr="00D44CF2" w14:paraId="566D059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68EFCB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KTS</w:t>
            </w:r>
          </w:p>
        </w:tc>
        <w:tc>
          <w:tcPr>
            <w:tcW w:w="5942" w:type="dxa"/>
            <w:noWrap/>
            <w:hideMark/>
          </w:tcPr>
          <w:p w14:paraId="0682791D"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Keilor Terminal Station</w:t>
            </w:r>
          </w:p>
        </w:tc>
      </w:tr>
      <w:tr w:rsidR="00FC122F" w:rsidRPr="00D44CF2" w14:paraId="71C0B50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F7BF9E0"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kV</w:t>
            </w:r>
          </w:p>
        </w:tc>
        <w:tc>
          <w:tcPr>
            <w:tcW w:w="5942" w:type="dxa"/>
            <w:noWrap/>
            <w:hideMark/>
          </w:tcPr>
          <w:p w14:paraId="422DCA8F" w14:textId="7CDBCB2A" w:rsidR="00FC122F" w:rsidRPr="00D44CF2" w:rsidRDefault="00700C6C"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kilovolt/</w:t>
            </w:r>
            <w:r w:rsidR="00FC122F" w:rsidRPr="00D44CF2">
              <w:rPr>
                <w:rFonts w:eastAsia="Times New Roman" w:cs="Times New Roman"/>
                <w:color w:val="000000"/>
                <w:szCs w:val="20"/>
                <w:lang w:eastAsia="en-AU"/>
              </w:rPr>
              <w:t>s</w:t>
            </w:r>
          </w:p>
        </w:tc>
      </w:tr>
      <w:tr w:rsidR="00FC122F" w:rsidRPr="00D44CF2" w14:paraId="6BCB5AF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8EDA8A9"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lastRenderedPageBreak/>
              <w:t>LIL</w:t>
            </w:r>
          </w:p>
        </w:tc>
        <w:tc>
          <w:tcPr>
            <w:tcW w:w="5942" w:type="dxa"/>
            <w:noWrap/>
            <w:hideMark/>
          </w:tcPr>
          <w:p w14:paraId="206C0A14" w14:textId="13AEB0A1"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large industrial load</w:t>
            </w:r>
          </w:p>
        </w:tc>
      </w:tr>
      <w:tr w:rsidR="00FC122F" w:rsidRPr="00D44CF2" w14:paraId="1DB53417"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36D63F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LYPS</w:t>
            </w:r>
          </w:p>
        </w:tc>
        <w:tc>
          <w:tcPr>
            <w:tcW w:w="5942" w:type="dxa"/>
            <w:noWrap/>
            <w:hideMark/>
          </w:tcPr>
          <w:p w14:paraId="46A0B10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Loy Yang Power Station</w:t>
            </w:r>
          </w:p>
        </w:tc>
      </w:tr>
      <w:tr w:rsidR="00985618" w:rsidRPr="00D44CF2" w14:paraId="6E3A259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6D13CC5E" w14:textId="25FD080E" w:rsidR="00985618" w:rsidRPr="00D44CF2" w:rsidRDefault="00985618" w:rsidP="0084366A">
            <w:pPr>
              <w:pStyle w:val="TableText"/>
              <w:rPr>
                <w:rFonts w:eastAsia="Times New Roman" w:cs="Times New Roman"/>
                <w:color w:val="000000"/>
                <w:szCs w:val="20"/>
                <w:lang w:eastAsia="en-AU"/>
              </w:rPr>
            </w:pPr>
            <w:r>
              <w:rPr>
                <w:rFonts w:eastAsia="Times New Roman" w:cs="Times New Roman"/>
                <w:color w:val="000000"/>
                <w:szCs w:val="20"/>
                <w:lang w:eastAsia="en-AU"/>
              </w:rPr>
              <w:t>m/s</w:t>
            </w:r>
          </w:p>
        </w:tc>
        <w:tc>
          <w:tcPr>
            <w:tcW w:w="5942" w:type="dxa"/>
            <w:noWrap/>
          </w:tcPr>
          <w:p w14:paraId="2B942AC9" w14:textId="571DBC5A" w:rsidR="00985618" w:rsidRPr="00D44CF2" w:rsidRDefault="00985618"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Pr>
                <w:rFonts w:eastAsia="Times New Roman" w:cs="Times New Roman"/>
                <w:color w:val="000000"/>
                <w:szCs w:val="20"/>
                <w:lang w:eastAsia="en-AU"/>
              </w:rPr>
              <w:t>metres per second</w:t>
            </w:r>
          </w:p>
        </w:tc>
      </w:tr>
      <w:tr w:rsidR="00FC122F" w:rsidRPr="00D44CF2" w14:paraId="47E62331"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B9C0D34"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MLTS</w:t>
            </w:r>
          </w:p>
        </w:tc>
        <w:tc>
          <w:tcPr>
            <w:tcW w:w="5942" w:type="dxa"/>
            <w:noWrap/>
            <w:hideMark/>
          </w:tcPr>
          <w:p w14:paraId="3CB35C3B"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Moorabool Terminal Station</w:t>
            </w:r>
          </w:p>
        </w:tc>
      </w:tr>
      <w:tr w:rsidR="00FC122F" w:rsidRPr="00D44CF2" w14:paraId="71C93DFC"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2E0EDE2"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MOPS</w:t>
            </w:r>
          </w:p>
        </w:tc>
        <w:tc>
          <w:tcPr>
            <w:tcW w:w="5942" w:type="dxa"/>
            <w:noWrap/>
            <w:hideMark/>
          </w:tcPr>
          <w:p w14:paraId="6A12E432"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Mortlake Power Station</w:t>
            </w:r>
          </w:p>
        </w:tc>
      </w:tr>
      <w:tr w:rsidR="00FC122F" w:rsidRPr="00D44CF2" w14:paraId="21DFD007"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05BD4F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MSL</w:t>
            </w:r>
          </w:p>
        </w:tc>
        <w:tc>
          <w:tcPr>
            <w:tcW w:w="5942" w:type="dxa"/>
            <w:noWrap/>
            <w:hideMark/>
          </w:tcPr>
          <w:p w14:paraId="6E071C91"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minimum system load</w:t>
            </w:r>
          </w:p>
        </w:tc>
      </w:tr>
      <w:tr w:rsidR="00FC122F" w:rsidRPr="00D44CF2" w14:paraId="3200CBE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23C5F02"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MSS</w:t>
            </w:r>
          </w:p>
        </w:tc>
        <w:tc>
          <w:tcPr>
            <w:tcW w:w="5942" w:type="dxa"/>
            <w:noWrap/>
            <w:hideMark/>
          </w:tcPr>
          <w:p w14:paraId="011587A1"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Murray Switching Station</w:t>
            </w:r>
          </w:p>
        </w:tc>
      </w:tr>
      <w:tr w:rsidR="00FC122F" w:rsidRPr="00D44CF2" w14:paraId="13F9371C"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39C5C40"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MVA</w:t>
            </w:r>
          </w:p>
        </w:tc>
        <w:tc>
          <w:tcPr>
            <w:tcW w:w="5942" w:type="dxa"/>
            <w:noWrap/>
            <w:hideMark/>
          </w:tcPr>
          <w:p w14:paraId="008BF316" w14:textId="170E11BB"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megavolt ampere</w:t>
            </w:r>
            <w:r w:rsidR="00700C6C" w:rsidRPr="00D44CF2">
              <w:rPr>
                <w:rFonts w:eastAsia="Times New Roman" w:cs="Times New Roman"/>
                <w:color w:val="000000"/>
                <w:szCs w:val="20"/>
                <w:lang w:eastAsia="en-AU"/>
              </w:rPr>
              <w:t>/</w:t>
            </w:r>
            <w:r w:rsidRPr="00D44CF2">
              <w:rPr>
                <w:rFonts w:eastAsia="Times New Roman" w:cs="Times New Roman"/>
                <w:color w:val="000000"/>
                <w:szCs w:val="20"/>
                <w:lang w:eastAsia="en-AU"/>
              </w:rPr>
              <w:t>s</w:t>
            </w:r>
          </w:p>
        </w:tc>
      </w:tr>
      <w:tr w:rsidR="00FC122F" w:rsidRPr="00D44CF2" w14:paraId="0B9E5E7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AC3F5C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MVAr</w:t>
            </w:r>
          </w:p>
        </w:tc>
        <w:tc>
          <w:tcPr>
            <w:tcW w:w="5942" w:type="dxa"/>
            <w:noWrap/>
            <w:hideMark/>
          </w:tcPr>
          <w:p w14:paraId="2AB8B902" w14:textId="11CAF5FF"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megavolt ampere</w:t>
            </w:r>
            <w:r w:rsidR="00700C6C" w:rsidRPr="00D44CF2">
              <w:rPr>
                <w:rFonts w:eastAsia="Times New Roman" w:cs="Times New Roman"/>
                <w:color w:val="000000"/>
                <w:szCs w:val="20"/>
                <w:lang w:eastAsia="en-AU"/>
              </w:rPr>
              <w:t>/</w:t>
            </w:r>
            <w:r w:rsidRPr="00D44CF2">
              <w:rPr>
                <w:rFonts w:eastAsia="Times New Roman" w:cs="Times New Roman"/>
                <w:color w:val="000000"/>
                <w:szCs w:val="20"/>
                <w:lang w:eastAsia="en-AU"/>
              </w:rPr>
              <w:t>s reactive</w:t>
            </w:r>
          </w:p>
        </w:tc>
      </w:tr>
      <w:tr w:rsidR="00FC122F" w:rsidRPr="00D44CF2" w14:paraId="0CF1855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59BB64E"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MW</w:t>
            </w:r>
          </w:p>
        </w:tc>
        <w:tc>
          <w:tcPr>
            <w:tcW w:w="5942" w:type="dxa"/>
            <w:noWrap/>
            <w:hideMark/>
          </w:tcPr>
          <w:p w14:paraId="51ADA075" w14:textId="782D24D4" w:rsidR="00FC122F" w:rsidRPr="00D44CF2" w:rsidRDefault="00700C6C"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megawatt/</w:t>
            </w:r>
            <w:r w:rsidR="00FC122F" w:rsidRPr="00D44CF2">
              <w:rPr>
                <w:rFonts w:eastAsia="Times New Roman" w:cs="Times New Roman"/>
                <w:color w:val="000000"/>
                <w:szCs w:val="20"/>
                <w:lang w:eastAsia="en-AU"/>
              </w:rPr>
              <w:t>s</w:t>
            </w:r>
          </w:p>
        </w:tc>
      </w:tr>
      <w:tr w:rsidR="00FC122F" w:rsidRPr="00D44CF2" w14:paraId="572E0F6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895367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MWh</w:t>
            </w:r>
          </w:p>
        </w:tc>
        <w:tc>
          <w:tcPr>
            <w:tcW w:w="5942" w:type="dxa"/>
            <w:noWrap/>
            <w:hideMark/>
          </w:tcPr>
          <w:p w14:paraId="7F576797" w14:textId="05FDA62D"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megawatt hour</w:t>
            </w:r>
            <w:r w:rsidR="00700C6C" w:rsidRPr="00D44CF2">
              <w:rPr>
                <w:rFonts w:eastAsia="Times New Roman" w:cs="Times New Roman"/>
                <w:color w:val="000000"/>
                <w:szCs w:val="20"/>
                <w:lang w:eastAsia="en-AU"/>
              </w:rPr>
              <w:t>/</w:t>
            </w:r>
            <w:r w:rsidRPr="00D44CF2">
              <w:rPr>
                <w:rFonts w:eastAsia="Times New Roman" w:cs="Times New Roman"/>
                <w:color w:val="000000"/>
                <w:szCs w:val="20"/>
                <w:lang w:eastAsia="en-AU"/>
              </w:rPr>
              <w:t>s</w:t>
            </w:r>
          </w:p>
        </w:tc>
      </w:tr>
      <w:tr w:rsidR="00FC122F" w:rsidRPr="00D44CF2" w14:paraId="3C46490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D12C74E"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MWs</w:t>
            </w:r>
          </w:p>
        </w:tc>
        <w:tc>
          <w:tcPr>
            <w:tcW w:w="5942" w:type="dxa"/>
            <w:noWrap/>
            <w:hideMark/>
          </w:tcPr>
          <w:p w14:paraId="7474B4BA" w14:textId="6EDCBCC0"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megawatt second</w:t>
            </w:r>
            <w:r w:rsidR="00700C6C" w:rsidRPr="00D44CF2">
              <w:rPr>
                <w:rFonts w:eastAsia="Times New Roman" w:cs="Times New Roman"/>
                <w:color w:val="000000"/>
                <w:szCs w:val="20"/>
                <w:lang w:eastAsia="en-AU"/>
              </w:rPr>
              <w:t>/</w:t>
            </w:r>
            <w:r w:rsidRPr="00D44CF2">
              <w:rPr>
                <w:rFonts w:eastAsia="Times New Roman" w:cs="Times New Roman"/>
                <w:color w:val="000000"/>
                <w:szCs w:val="20"/>
                <w:lang w:eastAsia="en-AU"/>
              </w:rPr>
              <w:t>s</w:t>
            </w:r>
          </w:p>
        </w:tc>
      </w:tr>
      <w:tr w:rsidR="00FC122F" w:rsidRPr="00D44CF2" w14:paraId="61D5968D"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F6C0B9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MWTS</w:t>
            </w:r>
          </w:p>
        </w:tc>
        <w:tc>
          <w:tcPr>
            <w:tcW w:w="5942" w:type="dxa"/>
            <w:noWrap/>
            <w:hideMark/>
          </w:tcPr>
          <w:p w14:paraId="1F06C58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Morwell Terminal Station</w:t>
            </w:r>
          </w:p>
        </w:tc>
      </w:tr>
      <w:tr w:rsidR="00FC122F" w:rsidRPr="00D44CF2" w14:paraId="13B1544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9FD8161"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NEL</w:t>
            </w:r>
          </w:p>
        </w:tc>
        <w:tc>
          <w:tcPr>
            <w:tcW w:w="5942" w:type="dxa"/>
            <w:noWrap/>
            <w:hideMark/>
          </w:tcPr>
          <w:p w14:paraId="6D593E20"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National Electricity Law</w:t>
            </w:r>
          </w:p>
        </w:tc>
      </w:tr>
      <w:tr w:rsidR="00FC122F" w:rsidRPr="00D44CF2" w14:paraId="0F23CB6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4FBDF6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NEM</w:t>
            </w:r>
          </w:p>
        </w:tc>
        <w:tc>
          <w:tcPr>
            <w:tcW w:w="5942" w:type="dxa"/>
            <w:noWrap/>
            <w:hideMark/>
          </w:tcPr>
          <w:p w14:paraId="1DB6F6B9" w14:textId="7E30A58A"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 xml:space="preserve">National </w:t>
            </w:r>
            <w:r w:rsidR="00700C6C" w:rsidRPr="00D44CF2">
              <w:rPr>
                <w:rFonts w:eastAsia="Times New Roman" w:cs="Times New Roman"/>
                <w:color w:val="000000"/>
                <w:szCs w:val="20"/>
                <w:lang w:eastAsia="en-AU"/>
              </w:rPr>
              <w:t>Electricity</w:t>
            </w:r>
            <w:r w:rsidRPr="00D44CF2">
              <w:rPr>
                <w:rFonts w:eastAsia="Times New Roman" w:cs="Times New Roman"/>
                <w:color w:val="000000"/>
                <w:szCs w:val="20"/>
                <w:lang w:eastAsia="en-AU"/>
              </w:rPr>
              <w:t xml:space="preserve"> Market</w:t>
            </w:r>
          </w:p>
        </w:tc>
      </w:tr>
      <w:tr w:rsidR="00FC122F" w:rsidRPr="00D44CF2" w14:paraId="7B710B1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B402BF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NER</w:t>
            </w:r>
          </w:p>
        </w:tc>
        <w:tc>
          <w:tcPr>
            <w:tcW w:w="5942" w:type="dxa"/>
            <w:noWrap/>
            <w:hideMark/>
          </w:tcPr>
          <w:p w14:paraId="17E30630"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National Electricity Rules</w:t>
            </w:r>
          </w:p>
        </w:tc>
      </w:tr>
      <w:tr w:rsidR="00FC122F" w:rsidRPr="00D44CF2" w14:paraId="4E0C94D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AC47A21"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NEVA</w:t>
            </w:r>
          </w:p>
        </w:tc>
        <w:tc>
          <w:tcPr>
            <w:tcW w:w="5942" w:type="dxa"/>
            <w:noWrap/>
            <w:hideMark/>
          </w:tcPr>
          <w:p w14:paraId="1E8E2420"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0"/>
                <w:lang w:eastAsia="en-AU"/>
              </w:rPr>
            </w:pPr>
            <w:r w:rsidRPr="00D44CF2">
              <w:rPr>
                <w:rFonts w:eastAsia="Times New Roman" w:cs="Times New Roman"/>
                <w:i/>
                <w:iCs/>
                <w:color w:val="000000"/>
                <w:szCs w:val="20"/>
                <w:lang w:eastAsia="en-AU"/>
              </w:rPr>
              <w:t>National Electricity (Victoria) Act 2005</w:t>
            </w:r>
          </w:p>
        </w:tc>
      </w:tr>
      <w:tr w:rsidR="007A4780" w:rsidRPr="00D44CF2" w14:paraId="24512FE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4089497D" w14:textId="2FACC982" w:rsidR="007A4780" w:rsidRPr="00D44CF2" w:rsidRDefault="007A4780" w:rsidP="0084366A">
            <w:pPr>
              <w:pStyle w:val="TableText"/>
              <w:rPr>
                <w:rFonts w:eastAsia="Times New Roman" w:cs="Times New Roman"/>
                <w:color w:val="000000"/>
                <w:szCs w:val="20"/>
                <w:lang w:eastAsia="en-AU"/>
              </w:rPr>
            </w:pPr>
            <w:r>
              <w:rPr>
                <w:rFonts w:eastAsia="Times New Roman" w:cs="Times New Roman"/>
                <w:color w:val="000000"/>
                <w:szCs w:val="20"/>
                <w:lang w:eastAsia="en-AU"/>
              </w:rPr>
              <w:t>NMAS</w:t>
            </w:r>
          </w:p>
        </w:tc>
        <w:tc>
          <w:tcPr>
            <w:tcW w:w="5942" w:type="dxa"/>
            <w:noWrap/>
          </w:tcPr>
          <w:p w14:paraId="6DD5209E" w14:textId="4510D743" w:rsidR="007A4780" w:rsidRPr="007A4780" w:rsidRDefault="007A4780"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Pr>
                <w:rFonts w:eastAsia="Times New Roman" w:cs="Times New Roman"/>
                <w:color w:val="000000"/>
                <w:szCs w:val="20"/>
                <w:lang w:eastAsia="en-AU"/>
              </w:rPr>
              <w:t>non-market ancillary services</w:t>
            </w:r>
          </w:p>
        </w:tc>
      </w:tr>
      <w:tr w:rsidR="00FC122F" w:rsidRPr="00D44CF2" w14:paraId="71A19FC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3B63B24"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NOAC</w:t>
            </w:r>
          </w:p>
        </w:tc>
        <w:tc>
          <w:tcPr>
            <w:tcW w:w="5942" w:type="dxa"/>
            <w:noWrap/>
            <w:hideMark/>
          </w:tcPr>
          <w:p w14:paraId="1107C1C7"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Normally-Open-Auto-Close</w:t>
            </w:r>
          </w:p>
        </w:tc>
      </w:tr>
      <w:tr w:rsidR="00FC122F" w:rsidRPr="00D44CF2" w14:paraId="35F7891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07B3669"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NPV</w:t>
            </w:r>
          </w:p>
        </w:tc>
        <w:tc>
          <w:tcPr>
            <w:tcW w:w="5942" w:type="dxa"/>
            <w:noWrap/>
            <w:hideMark/>
          </w:tcPr>
          <w:p w14:paraId="71E33F12"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net present value</w:t>
            </w:r>
          </w:p>
        </w:tc>
      </w:tr>
      <w:tr w:rsidR="00FC122F" w:rsidRPr="00D44CF2" w14:paraId="53C579F9"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452A1B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NSCAS</w:t>
            </w:r>
          </w:p>
        </w:tc>
        <w:tc>
          <w:tcPr>
            <w:tcW w:w="5942" w:type="dxa"/>
            <w:noWrap/>
            <w:hideMark/>
          </w:tcPr>
          <w:p w14:paraId="21123D46"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network support and control ancillary services</w:t>
            </w:r>
          </w:p>
        </w:tc>
      </w:tr>
      <w:tr w:rsidR="00FC122F" w:rsidRPr="00D44CF2" w14:paraId="251353EB"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9E5339A"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NSP</w:t>
            </w:r>
          </w:p>
        </w:tc>
        <w:tc>
          <w:tcPr>
            <w:tcW w:w="5942" w:type="dxa"/>
            <w:noWrap/>
            <w:hideMark/>
          </w:tcPr>
          <w:p w14:paraId="48F9753C" w14:textId="1380FCE3" w:rsidR="00FC122F" w:rsidRPr="00D44CF2" w:rsidRDefault="005167C7"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network service provider</w:t>
            </w:r>
          </w:p>
        </w:tc>
      </w:tr>
      <w:tr w:rsidR="00FC122F" w:rsidRPr="00D44CF2" w14:paraId="0F5E922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1871F0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NVES</w:t>
            </w:r>
          </w:p>
        </w:tc>
        <w:tc>
          <w:tcPr>
            <w:tcW w:w="5942" w:type="dxa"/>
            <w:noWrap/>
            <w:hideMark/>
          </w:tcPr>
          <w:p w14:paraId="67BE6CB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New Vehicle Efficiency Standard</w:t>
            </w:r>
          </w:p>
        </w:tc>
      </w:tr>
      <w:tr w:rsidR="00FC122F" w:rsidRPr="00D44CF2" w14:paraId="2FE776D7"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A1A0044" w14:textId="3362D0A3" w:rsidR="00FC122F" w:rsidRPr="00D44CF2" w:rsidRDefault="009F4957" w:rsidP="0084366A">
            <w:pPr>
              <w:pStyle w:val="TableText"/>
              <w:rPr>
                <w:rFonts w:eastAsia="Times New Roman" w:cs="Times New Roman"/>
                <w:color w:val="000000"/>
                <w:szCs w:val="20"/>
                <w:lang w:eastAsia="en-AU"/>
              </w:rPr>
            </w:pPr>
            <w:r>
              <w:rPr>
                <w:rFonts w:eastAsia="Times New Roman" w:cs="Times New Roman"/>
                <w:color w:val="000000"/>
                <w:szCs w:val="20"/>
                <w:lang w:eastAsia="en-AU"/>
              </w:rPr>
              <w:t>ODP</w:t>
            </w:r>
          </w:p>
        </w:tc>
        <w:tc>
          <w:tcPr>
            <w:tcW w:w="5942" w:type="dxa"/>
            <w:noWrap/>
            <w:hideMark/>
          </w:tcPr>
          <w:p w14:paraId="12891496"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optimal development pathway</w:t>
            </w:r>
          </w:p>
        </w:tc>
      </w:tr>
      <w:tr w:rsidR="00FC122F" w:rsidRPr="00D44CF2" w14:paraId="7C84929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DC6E05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OPGW</w:t>
            </w:r>
          </w:p>
        </w:tc>
        <w:tc>
          <w:tcPr>
            <w:tcW w:w="5942" w:type="dxa"/>
            <w:noWrap/>
            <w:hideMark/>
          </w:tcPr>
          <w:p w14:paraId="319A037D"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Optical Ground Wire</w:t>
            </w:r>
          </w:p>
        </w:tc>
      </w:tr>
      <w:tr w:rsidR="00FC122F" w:rsidRPr="00D44CF2" w14:paraId="7C23738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4F9D12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OVPS</w:t>
            </w:r>
          </w:p>
        </w:tc>
        <w:tc>
          <w:tcPr>
            <w:tcW w:w="5942" w:type="dxa"/>
            <w:noWrap/>
            <w:hideMark/>
          </w:tcPr>
          <w:p w14:paraId="7ED99483"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Overvoltage Protection Scheme</w:t>
            </w:r>
          </w:p>
        </w:tc>
      </w:tr>
      <w:tr w:rsidR="00FC122F" w:rsidRPr="00D44CF2" w14:paraId="0CD2D967"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712F6E6"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OWEV</w:t>
            </w:r>
          </w:p>
        </w:tc>
        <w:tc>
          <w:tcPr>
            <w:tcW w:w="5942" w:type="dxa"/>
            <w:noWrap/>
            <w:hideMark/>
          </w:tcPr>
          <w:p w14:paraId="2D96CA12"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Offshore Wind Energy Victoria</w:t>
            </w:r>
          </w:p>
        </w:tc>
      </w:tr>
      <w:tr w:rsidR="00FC122F" w:rsidRPr="00D44CF2" w14:paraId="4B02F2B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FEAF520"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PACR</w:t>
            </w:r>
          </w:p>
        </w:tc>
        <w:tc>
          <w:tcPr>
            <w:tcW w:w="5942" w:type="dxa"/>
            <w:noWrap/>
            <w:hideMark/>
          </w:tcPr>
          <w:p w14:paraId="43CA82A6"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Project Assessment Conclusions Report</w:t>
            </w:r>
          </w:p>
        </w:tc>
      </w:tr>
      <w:tr w:rsidR="00FC122F" w:rsidRPr="00D44CF2" w14:paraId="53CDF47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B266392"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PADR</w:t>
            </w:r>
          </w:p>
        </w:tc>
        <w:tc>
          <w:tcPr>
            <w:tcW w:w="5942" w:type="dxa"/>
            <w:noWrap/>
            <w:hideMark/>
          </w:tcPr>
          <w:p w14:paraId="1AC6B301"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Project Assessment Draft Report</w:t>
            </w:r>
          </w:p>
        </w:tc>
      </w:tr>
      <w:tr w:rsidR="00FC122F" w:rsidRPr="00D44CF2" w14:paraId="1629ACED"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F2887E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PLTS</w:t>
            </w:r>
          </w:p>
        </w:tc>
        <w:tc>
          <w:tcPr>
            <w:tcW w:w="5942" w:type="dxa"/>
            <w:noWrap/>
            <w:hideMark/>
          </w:tcPr>
          <w:p w14:paraId="70F23009"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Pine Lodge Terminal Station</w:t>
            </w:r>
          </w:p>
        </w:tc>
      </w:tr>
      <w:tr w:rsidR="00FC122F" w:rsidRPr="00D44CF2" w14:paraId="1919297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7DBCA0D"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PMU</w:t>
            </w:r>
          </w:p>
        </w:tc>
        <w:tc>
          <w:tcPr>
            <w:tcW w:w="5942" w:type="dxa"/>
            <w:noWrap/>
            <w:hideMark/>
          </w:tcPr>
          <w:p w14:paraId="25E33947" w14:textId="628F7A35"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phasor measurement unit</w:t>
            </w:r>
          </w:p>
        </w:tc>
      </w:tr>
      <w:tr w:rsidR="00FC122F" w:rsidRPr="00D44CF2" w14:paraId="4461901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559924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POE</w:t>
            </w:r>
          </w:p>
        </w:tc>
        <w:tc>
          <w:tcPr>
            <w:tcW w:w="5942" w:type="dxa"/>
            <w:noWrap/>
            <w:hideMark/>
          </w:tcPr>
          <w:p w14:paraId="084E7169"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probability of exceedance</w:t>
            </w:r>
          </w:p>
        </w:tc>
      </w:tr>
      <w:tr w:rsidR="00FC122F" w:rsidRPr="00D44CF2" w14:paraId="59FF578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DE20FCE"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PRTS</w:t>
            </w:r>
          </w:p>
        </w:tc>
        <w:tc>
          <w:tcPr>
            <w:tcW w:w="5942" w:type="dxa"/>
            <w:noWrap/>
            <w:hideMark/>
          </w:tcPr>
          <w:p w14:paraId="1485544A"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Plumpton Terminal Station</w:t>
            </w:r>
          </w:p>
        </w:tc>
      </w:tr>
      <w:tr w:rsidR="00FC122F" w:rsidRPr="00D44CF2" w14:paraId="0593DC2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3CCA151"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PSCR</w:t>
            </w:r>
          </w:p>
        </w:tc>
        <w:tc>
          <w:tcPr>
            <w:tcW w:w="5942" w:type="dxa"/>
            <w:noWrap/>
            <w:hideMark/>
          </w:tcPr>
          <w:p w14:paraId="4C5575C5"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Project Specification Consultation Report</w:t>
            </w:r>
          </w:p>
        </w:tc>
      </w:tr>
      <w:tr w:rsidR="00FC122F" w:rsidRPr="00D44CF2" w14:paraId="131C021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470EED4"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PSFRR</w:t>
            </w:r>
          </w:p>
        </w:tc>
        <w:tc>
          <w:tcPr>
            <w:tcW w:w="5942" w:type="dxa"/>
            <w:noWrap/>
            <w:hideMark/>
          </w:tcPr>
          <w:p w14:paraId="4B86F2C3"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Power System Frequency Risk Review</w:t>
            </w:r>
          </w:p>
        </w:tc>
      </w:tr>
      <w:tr w:rsidR="00FC122F" w:rsidRPr="00D44CF2" w14:paraId="6C01A99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488679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PV</w:t>
            </w:r>
          </w:p>
        </w:tc>
        <w:tc>
          <w:tcPr>
            <w:tcW w:w="5942" w:type="dxa"/>
            <w:noWrap/>
            <w:hideMark/>
          </w:tcPr>
          <w:p w14:paraId="6FFA2F9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photovoltaic</w:t>
            </w:r>
          </w:p>
        </w:tc>
      </w:tr>
      <w:tr w:rsidR="00FC122F" w:rsidRPr="00D44CF2" w14:paraId="531B003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6D42D53"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PVNSG</w:t>
            </w:r>
          </w:p>
        </w:tc>
        <w:tc>
          <w:tcPr>
            <w:tcW w:w="5942" w:type="dxa"/>
            <w:noWrap/>
            <w:hideMark/>
          </w:tcPr>
          <w:p w14:paraId="64DB7B6D"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photovoltaic non-scheduled generation</w:t>
            </w:r>
          </w:p>
        </w:tc>
      </w:tr>
      <w:tr w:rsidR="00FC122F" w:rsidRPr="00D44CF2" w14:paraId="593C5F3C"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DE4A60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RCTS</w:t>
            </w:r>
          </w:p>
        </w:tc>
        <w:tc>
          <w:tcPr>
            <w:tcW w:w="5942" w:type="dxa"/>
            <w:noWrap/>
            <w:hideMark/>
          </w:tcPr>
          <w:p w14:paraId="57C26F80" w14:textId="0401D39E" w:rsidR="00FC122F" w:rsidRPr="00D44CF2" w:rsidRDefault="002F5817"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Red Cliffs Terminal Station</w:t>
            </w:r>
          </w:p>
        </w:tc>
      </w:tr>
      <w:tr w:rsidR="00FC122F" w:rsidRPr="00D44CF2" w14:paraId="43EC46EB"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C1E638D"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RDP</w:t>
            </w:r>
          </w:p>
        </w:tc>
        <w:tc>
          <w:tcPr>
            <w:tcW w:w="5942" w:type="dxa"/>
            <w:noWrap/>
            <w:hideMark/>
          </w:tcPr>
          <w:p w14:paraId="34DE017F"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REZ Development Plan</w:t>
            </w:r>
          </w:p>
        </w:tc>
      </w:tr>
      <w:tr w:rsidR="00FC122F" w:rsidRPr="00D44CF2" w14:paraId="38A4FBF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A6980C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REZ</w:t>
            </w:r>
          </w:p>
        </w:tc>
        <w:tc>
          <w:tcPr>
            <w:tcW w:w="5942" w:type="dxa"/>
            <w:noWrap/>
            <w:hideMark/>
          </w:tcPr>
          <w:p w14:paraId="1C7E6993" w14:textId="68B77F7C" w:rsidR="00FC122F" w:rsidRPr="00D44CF2" w:rsidRDefault="005167C7"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renewable energy zone</w:t>
            </w:r>
          </w:p>
        </w:tc>
      </w:tr>
      <w:tr w:rsidR="00FC122F" w:rsidRPr="00D44CF2" w14:paraId="2789DF09"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C637BEA"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lastRenderedPageBreak/>
              <w:t>RIT-T</w:t>
            </w:r>
          </w:p>
        </w:tc>
        <w:tc>
          <w:tcPr>
            <w:tcW w:w="5942" w:type="dxa"/>
            <w:noWrap/>
            <w:hideMark/>
          </w:tcPr>
          <w:p w14:paraId="7F958E87" w14:textId="50B59E87" w:rsidR="00FC122F" w:rsidRPr="00D44CF2" w:rsidRDefault="005167C7"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regulatory investment test for transmission</w:t>
            </w:r>
          </w:p>
        </w:tc>
      </w:tr>
      <w:tr w:rsidR="00FC122F" w:rsidRPr="00D44CF2" w14:paraId="7F64992D"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F3E17D6"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ROTS</w:t>
            </w:r>
          </w:p>
        </w:tc>
        <w:tc>
          <w:tcPr>
            <w:tcW w:w="5942" w:type="dxa"/>
            <w:noWrap/>
            <w:hideMark/>
          </w:tcPr>
          <w:p w14:paraId="3C255618"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Rowville Terminal Station</w:t>
            </w:r>
          </w:p>
        </w:tc>
      </w:tr>
      <w:tr w:rsidR="00AD6E05" w:rsidRPr="00D44CF2" w14:paraId="503218F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0FB0551A" w14:textId="070286D9" w:rsidR="00AD6E05" w:rsidRPr="00D44CF2" w:rsidRDefault="00AD6E05" w:rsidP="0084366A">
            <w:pPr>
              <w:pStyle w:val="TableText"/>
              <w:rPr>
                <w:rFonts w:eastAsia="Times New Roman" w:cs="Times New Roman"/>
                <w:color w:val="000000"/>
                <w:szCs w:val="20"/>
                <w:lang w:eastAsia="en-AU"/>
              </w:rPr>
            </w:pPr>
            <w:r w:rsidRPr="00AD6E05">
              <w:rPr>
                <w:rFonts w:eastAsia="Times New Roman" w:cs="Times New Roman"/>
                <w:color w:val="000000"/>
                <w:szCs w:val="20"/>
                <w:lang w:eastAsia="en-AU"/>
              </w:rPr>
              <w:t>RTS</w:t>
            </w:r>
          </w:p>
        </w:tc>
        <w:tc>
          <w:tcPr>
            <w:tcW w:w="5942" w:type="dxa"/>
            <w:noWrap/>
          </w:tcPr>
          <w:p w14:paraId="7ABD6E01" w14:textId="388181E2" w:rsidR="00AD6E05" w:rsidRPr="00D44CF2" w:rsidRDefault="00AD6E05"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AD6E05">
              <w:rPr>
                <w:rFonts w:eastAsia="Times New Roman" w:cs="Times New Roman"/>
                <w:color w:val="000000"/>
                <w:szCs w:val="20"/>
                <w:lang w:eastAsia="en-AU"/>
              </w:rPr>
              <w:t>Richmond Terminal Station</w:t>
            </w:r>
          </w:p>
        </w:tc>
      </w:tr>
      <w:tr w:rsidR="00FC122F" w:rsidRPr="00D44CF2" w14:paraId="31F566D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15557F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RWTS</w:t>
            </w:r>
          </w:p>
        </w:tc>
        <w:tc>
          <w:tcPr>
            <w:tcW w:w="5942" w:type="dxa"/>
            <w:noWrap/>
            <w:hideMark/>
          </w:tcPr>
          <w:p w14:paraId="521CB26A"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Ringwood Terminal Station</w:t>
            </w:r>
          </w:p>
        </w:tc>
      </w:tr>
      <w:tr w:rsidR="00FC122F" w:rsidRPr="00D44CF2" w14:paraId="265EF4C2"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E78551A"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SAIT RAS</w:t>
            </w:r>
          </w:p>
        </w:tc>
        <w:tc>
          <w:tcPr>
            <w:tcW w:w="5942" w:type="dxa"/>
            <w:noWrap/>
            <w:hideMark/>
          </w:tcPr>
          <w:p w14:paraId="596582FC"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South Australia Interconnector Trip Remedial Action Scheme</w:t>
            </w:r>
          </w:p>
        </w:tc>
      </w:tr>
      <w:tr w:rsidR="00FC122F" w:rsidRPr="00D44CF2" w14:paraId="65C0980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3E08FF1"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SCIMS</w:t>
            </w:r>
          </w:p>
        </w:tc>
        <w:tc>
          <w:tcPr>
            <w:tcW w:w="5942" w:type="dxa"/>
            <w:noWrap/>
            <w:hideMark/>
          </w:tcPr>
          <w:p w14:paraId="78FEE5B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Substation Control and Information System</w:t>
            </w:r>
          </w:p>
        </w:tc>
      </w:tr>
      <w:tr w:rsidR="00464FC2" w:rsidRPr="00D44CF2" w14:paraId="42D3A21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759122B6" w14:textId="7826CBE2" w:rsidR="00464FC2" w:rsidRPr="00D44CF2" w:rsidRDefault="00464FC2" w:rsidP="0084366A">
            <w:pPr>
              <w:pStyle w:val="TableText"/>
              <w:rPr>
                <w:rFonts w:eastAsia="Times New Roman" w:cs="Times New Roman"/>
                <w:color w:val="000000"/>
                <w:szCs w:val="20"/>
                <w:lang w:eastAsia="en-AU"/>
              </w:rPr>
            </w:pPr>
            <w:r>
              <w:rPr>
                <w:rFonts w:eastAsia="Times New Roman" w:cs="Times New Roman"/>
                <w:color w:val="000000"/>
                <w:szCs w:val="20"/>
                <w:lang w:eastAsia="en-AU"/>
              </w:rPr>
              <w:t>SEC</w:t>
            </w:r>
          </w:p>
        </w:tc>
        <w:tc>
          <w:tcPr>
            <w:tcW w:w="5942" w:type="dxa"/>
            <w:noWrap/>
          </w:tcPr>
          <w:p w14:paraId="5BED89FD" w14:textId="2813220C" w:rsidR="00464FC2" w:rsidRPr="00D44CF2" w:rsidRDefault="00464FC2"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Pr>
                <w:rFonts w:eastAsia="Times New Roman" w:cs="Times New Roman"/>
                <w:color w:val="000000"/>
                <w:szCs w:val="20"/>
                <w:lang w:eastAsia="en-AU"/>
              </w:rPr>
              <w:t>State Electricity Commissi</w:t>
            </w:r>
            <w:r w:rsidR="000D3BF3">
              <w:rPr>
                <w:rFonts w:eastAsia="Times New Roman" w:cs="Times New Roman"/>
                <w:color w:val="000000"/>
                <w:szCs w:val="20"/>
                <w:lang w:eastAsia="en-AU"/>
              </w:rPr>
              <w:t>on</w:t>
            </w:r>
          </w:p>
        </w:tc>
      </w:tr>
      <w:tr w:rsidR="00FC122F" w:rsidRPr="00D44CF2" w14:paraId="3C4BBD7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894C42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SMTS</w:t>
            </w:r>
          </w:p>
        </w:tc>
        <w:tc>
          <w:tcPr>
            <w:tcW w:w="5942" w:type="dxa"/>
            <w:noWrap/>
            <w:hideMark/>
          </w:tcPr>
          <w:p w14:paraId="6E3682FB" w14:textId="5CE3A2B8" w:rsidR="00FC122F" w:rsidRPr="00D44CF2" w:rsidRDefault="002F5817"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South Morang Terminal Station</w:t>
            </w:r>
          </w:p>
        </w:tc>
      </w:tr>
      <w:tr w:rsidR="00FC122F" w:rsidRPr="00D44CF2" w14:paraId="67A8CC4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0B02F7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SNI</w:t>
            </w:r>
          </w:p>
        </w:tc>
        <w:tc>
          <w:tcPr>
            <w:tcW w:w="5942" w:type="dxa"/>
            <w:noWrap/>
            <w:hideMark/>
          </w:tcPr>
          <w:p w14:paraId="4219824E" w14:textId="06BFE330"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 xml:space="preserve">South Australia </w:t>
            </w:r>
            <w:r w:rsidR="00700C6C" w:rsidRPr="00D44CF2">
              <w:rPr>
                <w:rFonts w:eastAsia="Times New Roman" w:cs="Times New Roman"/>
                <w:color w:val="000000"/>
                <w:szCs w:val="20"/>
                <w:lang w:eastAsia="en-AU"/>
              </w:rPr>
              <w:t xml:space="preserve">– </w:t>
            </w:r>
            <w:r w:rsidRPr="00D44CF2">
              <w:rPr>
                <w:rFonts w:eastAsia="Times New Roman" w:cs="Times New Roman"/>
                <w:color w:val="000000"/>
                <w:szCs w:val="20"/>
                <w:lang w:eastAsia="en-AU"/>
              </w:rPr>
              <w:t>New South Wales Interconnector</w:t>
            </w:r>
          </w:p>
        </w:tc>
      </w:tr>
      <w:tr w:rsidR="00FC122F" w:rsidRPr="00D44CF2" w14:paraId="67050E6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51B1360D"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SOCS</w:t>
            </w:r>
          </w:p>
        </w:tc>
        <w:tc>
          <w:tcPr>
            <w:tcW w:w="5942" w:type="dxa"/>
            <w:noWrap/>
            <w:hideMark/>
          </w:tcPr>
          <w:p w14:paraId="16737966"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System Overload Control Scheme</w:t>
            </w:r>
          </w:p>
        </w:tc>
      </w:tr>
      <w:tr w:rsidR="00FC122F" w:rsidRPr="00D44CF2" w14:paraId="1ED4D15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8056E4A"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SOTS</w:t>
            </w:r>
          </w:p>
        </w:tc>
        <w:tc>
          <w:tcPr>
            <w:tcW w:w="5942" w:type="dxa"/>
            <w:noWrap/>
            <w:hideMark/>
          </w:tcPr>
          <w:p w14:paraId="1364D890"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Somerton Terminal Station</w:t>
            </w:r>
          </w:p>
        </w:tc>
      </w:tr>
      <w:tr w:rsidR="00FC122F" w:rsidRPr="00D44CF2" w14:paraId="356A19F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56F1BCA"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SPS</w:t>
            </w:r>
          </w:p>
        </w:tc>
        <w:tc>
          <w:tcPr>
            <w:tcW w:w="5942" w:type="dxa"/>
            <w:noWrap/>
            <w:hideMark/>
          </w:tcPr>
          <w:p w14:paraId="728A0EE3"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Special Protection Scheme</w:t>
            </w:r>
          </w:p>
        </w:tc>
      </w:tr>
      <w:tr w:rsidR="00FC122F" w:rsidRPr="00D44CF2" w14:paraId="03E45AE7"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274051B"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SSC</w:t>
            </w:r>
          </w:p>
        </w:tc>
        <w:tc>
          <w:tcPr>
            <w:tcW w:w="5942" w:type="dxa"/>
            <w:noWrap/>
            <w:hideMark/>
          </w:tcPr>
          <w:p w14:paraId="77F4C2DC"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System Strength Charge</w:t>
            </w:r>
          </w:p>
        </w:tc>
      </w:tr>
      <w:tr w:rsidR="00FC122F" w:rsidRPr="00D44CF2" w14:paraId="6309C142"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A7FEF76"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SSIAG</w:t>
            </w:r>
          </w:p>
        </w:tc>
        <w:tc>
          <w:tcPr>
            <w:tcW w:w="5942" w:type="dxa"/>
            <w:noWrap/>
            <w:hideMark/>
          </w:tcPr>
          <w:p w14:paraId="49126DC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System Strength Impact Assessment Guidelines</w:t>
            </w:r>
          </w:p>
        </w:tc>
      </w:tr>
      <w:tr w:rsidR="00FC122F" w:rsidRPr="00D44CF2" w14:paraId="31C1C06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847DEA4"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SSLF</w:t>
            </w:r>
          </w:p>
        </w:tc>
        <w:tc>
          <w:tcPr>
            <w:tcW w:w="5942" w:type="dxa"/>
            <w:noWrap/>
            <w:hideMark/>
          </w:tcPr>
          <w:p w14:paraId="4834EF00"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System Strength Locational Factor</w:t>
            </w:r>
          </w:p>
        </w:tc>
      </w:tr>
      <w:tr w:rsidR="00FC122F" w:rsidRPr="00D44CF2" w14:paraId="040058E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0FEC40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SSN</w:t>
            </w:r>
          </w:p>
        </w:tc>
        <w:tc>
          <w:tcPr>
            <w:tcW w:w="5942" w:type="dxa"/>
            <w:noWrap/>
            <w:hideMark/>
          </w:tcPr>
          <w:p w14:paraId="78B2F22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system strength node</w:t>
            </w:r>
          </w:p>
        </w:tc>
      </w:tr>
      <w:tr w:rsidR="00FC122F" w:rsidRPr="00D44CF2" w14:paraId="74E58BD9"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C5E3E5A"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SSSP</w:t>
            </w:r>
          </w:p>
        </w:tc>
        <w:tc>
          <w:tcPr>
            <w:tcW w:w="5942" w:type="dxa"/>
            <w:noWrap/>
            <w:hideMark/>
          </w:tcPr>
          <w:p w14:paraId="668AC647"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System Strength Service Provider</w:t>
            </w:r>
          </w:p>
        </w:tc>
      </w:tr>
      <w:tr w:rsidR="00FC122F" w:rsidRPr="00D44CF2" w14:paraId="33739CF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532FFEA"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SSUP</w:t>
            </w:r>
          </w:p>
        </w:tc>
        <w:tc>
          <w:tcPr>
            <w:tcW w:w="5942" w:type="dxa"/>
            <w:noWrap/>
            <w:hideMark/>
          </w:tcPr>
          <w:p w14:paraId="3090860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System Strength Unit Price</w:t>
            </w:r>
          </w:p>
        </w:tc>
      </w:tr>
      <w:tr w:rsidR="00C90B52" w:rsidRPr="00D44CF2" w14:paraId="1B844BE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747BA56B" w14:textId="58461914" w:rsidR="00C90B52" w:rsidRPr="00D44CF2" w:rsidRDefault="00C90B52" w:rsidP="0084366A">
            <w:pPr>
              <w:pStyle w:val="TableText"/>
              <w:rPr>
                <w:rFonts w:eastAsia="Times New Roman" w:cs="Times New Roman"/>
                <w:color w:val="000000"/>
                <w:szCs w:val="20"/>
                <w:lang w:eastAsia="en-AU"/>
              </w:rPr>
            </w:pPr>
            <w:r>
              <w:rPr>
                <w:rFonts w:eastAsia="Times New Roman" w:cs="Times New Roman"/>
                <w:color w:val="000000"/>
                <w:szCs w:val="20"/>
                <w:lang w:eastAsia="en-AU"/>
              </w:rPr>
              <w:t>STATCOM</w:t>
            </w:r>
          </w:p>
        </w:tc>
        <w:tc>
          <w:tcPr>
            <w:tcW w:w="5942" w:type="dxa"/>
            <w:noWrap/>
          </w:tcPr>
          <w:p w14:paraId="4685F13B" w14:textId="15BEE3F0" w:rsidR="00C90B52" w:rsidRPr="00D44CF2" w:rsidRDefault="004E19BB"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4E19BB">
              <w:rPr>
                <w:rFonts w:eastAsia="Times New Roman" w:cs="Times New Roman"/>
                <w:color w:val="000000"/>
                <w:szCs w:val="20"/>
                <w:lang w:eastAsia="en-AU"/>
              </w:rPr>
              <w:t>Static Compensator</w:t>
            </w:r>
          </w:p>
        </w:tc>
      </w:tr>
      <w:tr w:rsidR="00FC122F" w:rsidRPr="00D44CF2" w14:paraId="3DB2ED7C"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5591C9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SVC</w:t>
            </w:r>
          </w:p>
        </w:tc>
        <w:tc>
          <w:tcPr>
            <w:tcW w:w="5942" w:type="dxa"/>
            <w:noWrap/>
            <w:hideMark/>
          </w:tcPr>
          <w:p w14:paraId="76ABF3BF"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Static Var Compensator</w:t>
            </w:r>
          </w:p>
        </w:tc>
      </w:tr>
      <w:tr w:rsidR="00FC122F" w:rsidRPr="00D44CF2" w14:paraId="0EF9F119"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44D74B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Syncon</w:t>
            </w:r>
          </w:p>
        </w:tc>
        <w:tc>
          <w:tcPr>
            <w:tcW w:w="5942" w:type="dxa"/>
            <w:noWrap/>
            <w:hideMark/>
          </w:tcPr>
          <w:p w14:paraId="7A83023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Synchronous Condenser</w:t>
            </w:r>
          </w:p>
        </w:tc>
      </w:tr>
      <w:tr w:rsidR="00FC122F" w:rsidRPr="00D44CF2" w14:paraId="203AF800"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5A30734"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SYTS</w:t>
            </w:r>
          </w:p>
        </w:tc>
        <w:tc>
          <w:tcPr>
            <w:tcW w:w="5942" w:type="dxa"/>
            <w:noWrap/>
            <w:hideMark/>
          </w:tcPr>
          <w:p w14:paraId="7A58156D"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Sydenham Terminal Station</w:t>
            </w:r>
          </w:p>
        </w:tc>
      </w:tr>
      <w:tr w:rsidR="00FC122F" w:rsidRPr="00D44CF2" w14:paraId="3226A2BD"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148E62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TAPR</w:t>
            </w:r>
          </w:p>
        </w:tc>
        <w:tc>
          <w:tcPr>
            <w:tcW w:w="5942" w:type="dxa"/>
            <w:noWrap/>
            <w:hideMark/>
          </w:tcPr>
          <w:p w14:paraId="34B22AF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Transmission Annual Planning Report</w:t>
            </w:r>
          </w:p>
        </w:tc>
      </w:tr>
      <w:tr w:rsidR="00FC122F" w:rsidRPr="00D44CF2" w14:paraId="484EF7A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F3E0D2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TBTS</w:t>
            </w:r>
          </w:p>
        </w:tc>
        <w:tc>
          <w:tcPr>
            <w:tcW w:w="5942" w:type="dxa"/>
            <w:noWrap/>
            <w:hideMark/>
          </w:tcPr>
          <w:p w14:paraId="5A8C02A9"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Tyabb Terminal Station</w:t>
            </w:r>
          </w:p>
        </w:tc>
      </w:tr>
      <w:tr w:rsidR="00FC122F" w:rsidRPr="00D44CF2" w14:paraId="1D1B3C2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87F3E26"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TCPR</w:t>
            </w:r>
          </w:p>
        </w:tc>
        <w:tc>
          <w:tcPr>
            <w:tcW w:w="5942" w:type="dxa"/>
            <w:noWrap/>
            <w:hideMark/>
          </w:tcPr>
          <w:p w14:paraId="647FFD09"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Transmission Connection Point Report</w:t>
            </w:r>
          </w:p>
        </w:tc>
      </w:tr>
      <w:tr w:rsidR="00FC122F" w:rsidRPr="00D44CF2" w14:paraId="1454BEE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8E0787E"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TCV</w:t>
            </w:r>
          </w:p>
        </w:tc>
        <w:tc>
          <w:tcPr>
            <w:tcW w:w="5942" w:type="dxa"/>
            <w:noWrap/>
            <w:hideMark/>
          </w:tcPr>
          <w:p w14:paraId="167B5411"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Transmission Company Victoria</w:t>
            </w:r>
          </w:p>
        </w:tc>
      </w:tr>
      <w:tr w:rsidR="00FC122F" w:rsidRPr="00D44CF2" w14:paraId="3B8CC917"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22D977E"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TGTS</w:t>
            </w:r>
          </w:p>
        </w:tc>
        <w:tc>
          <w:tcPr>
            <w:tcW w:w="5942" w:type="dxa"/>
            <w:noWrap/>
            <w:hideMark/>
          </w:tcPr>
          <w:p w14:paraId="7A1966E1"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Terang Terminal Station</w:t>
            </w:r>
          </w:p>
        </w:tc>
      </w:tr>
      <w:tr w:rsidR="00FC122F" w:rsidRPr="00D44CF2" w14:paraId="64FFF3B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30B3ADE"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TNSP</w:t>
            </w:r>
          </w:p>
        </w:tc>
        <w:tc>
          <w:tcPr>
            <w:tcW w:w="5942" w:type="dxa"/>
            <w:noWrap/>
            <w:hideMark/>
          </w:tcPr>
          <w:p w14:paraId="00DE2361" w14:textId="337FF85F" w:rsidR="00FC122F" w:rsidRPr="00D44CF2" w:rsidRDefault="00700C6C"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transmission network service provider</w:t>
            </w:r>
          </w:p>
        </w:tc>
      </w:tr>
      <w:tr w:rsidR="00FC122F" w:rsidRPr="00D44CF2" w14:paraId="3B20C26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A35852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TNTS</w:t>
            </w:r>
          </w:p>
        </w:tc>
        <w:tc>
          <w:tcPr>
            <w:tcW w:w="5942" w:type="dxa"/>
            <w:noWrap/>
            <w:hideMark/>
          </w:tcPr>
          <w:p w14:paraId="02420E07"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Truganina Terminal Station</w:t>
            </w:r>
          </w:p>
        </w:tc>
      </w:tr>
      <w:tr w:rsidR="004E19BB" w:rsidRPr="00D44CF2" w14:paraId="4B60D47E"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05D13076" w14:textId="79140797" w:rsidR="004E19BB" w:rsidRPr="00D44CF2" w:rsidRDefault="004E19BB" w:rsidP="0084366A">
            <w:pPr>
              <w:pStyle w:val="TableText"/>
              <w:rPr>
                <w:rFonts w:eastAsia="Times New Roman" w:cs="Times New Roman"/>
                <w:color w:val="000000"/>
                <w:szCs w:val="20"/>
                <w:lang w:eastAsia="en-AU"/>
              </w:rPr>
            </w:pPr>
            <w:r>
              <w:rPr>
                <w:rFonts w:eastAsia="Times New Roman" w:cs="Times New Roman"/>
                <w:color w:val="000000"/>
                <w:szCs w:val="20"/>
                <w:lang w:eastAsia="en-AU"/>
              </w:rPr>
              <w:t>TOA</w:t>
            </w:r>
          </w:p>
        </w:tc>
        <w:tc>
          <w:tcPr>
            <w:tcW w:w="5942" w:type="dxa"/>
            <w:noWrap/>
          </w:tcPr>
          <w:p w14:paraId="453CDFC1" w14:textId="503EED7D" w:rsidR="004E19BB" w:rsidRPr="00D44CF2" w:rsidRDefault="00056978"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t>Transmission Operations Australia</w:t>
            </w:r>
          </w:p>
        </w:tc>
      </w:tr>
      <w:tr w:rsidR="00FC122F" w:rsidRPr="00D44CF2" w14:paraId="6A7CB50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2CE315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TTS</w:t>
            </w:r>
          </w:p>
        </w:tc>
        <w:tc>
          <w:tcPr>
            <w:tcW w:w="5942" w:type="dxa"/>
            <w:noWrap/>
            <w:hideMark/>
          </w:tcPr>
          <w:p w14:paraId="6B48FF72"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Thomastown Terminal Station</w:t>
            </w:r>
          </w:p>
        </w:tc>
      </w:tr>
      <w:tr w:rsidR="00FC122F" w:rsidRPr="00D44CF2" w14:paraId="3D09A6D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D395D5A"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TWh</w:t>
            </w:r>
          </w:p>
        </w:tc>
        <w:tc>
          <w:tcPr>
            <w:tcW w:w="5942" w:type="dxa"/>
            <w:noWrap/>
            <w:hideMark/>
          </w:tcPr>
          <w:p w14:paraId="2CBF2C0D" w14:textId="4F6814CD"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terawatt hour</w:t>
            </w:r>
            <w:r w:rsidR="00700C6C" w:rsidRPr="00D44CF2">
              <w:rPr>
                <w:rFonts w:eastAsia="Times New Roman" w:cs="Times New Roman"/>
                <w:color w:val="000000"/>
                <w:szCs w:val="20"/>
                <w:lang w:eastAsia="en-AU"/>
              </w:rPr>
              <w:t>/</w:t>
            </w:r>
            <w:r w:rsidRPr="00D44CF2">
              <w:rPr>
                <w:rFonts w:eastAsia="Times New Roman" w:cs="Times New Roman"/>
                <w:color w:val="000000"/>
                <w:szCs w:val="20"/>
                <w:lang w:eastAsia="en-AU"/>
              </w:rPr>
              <w:t>s</w:t>
            </w:r>
          </w:p>
        </w:tc>
      </w:tr>
      <w:tr w:rsidR="00FC122F" w:rsidRPr="00D44CF2" w14:paraId="6E99AB2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652882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UoSA</w:t>
            </w:r>
          </w:p>
        </w:tc>
        <w:tc>
          <w:tcPr>
            <w:tcW w:w="5942" w:type="dxa"/>
            <w:noWrap/>
            <w:hideMark/>
          </w:tcPr>
          <w:p w14:paraId="173F332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Use of System Agreement</w:t>
            </w:r>
          </w:p>
        </w:tc>
      </w:tr>
      <w:tr w:rsidR="00FC122F" w:rsidRPr="00D44CF2" w14:paraId="2D15B8AD"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848683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VAPR</w:t>
            </w:r>
          </w:p>
        </w:tc>
        <w:tc>
          <w:tcPr>
            <w:tcW w:w="5942" w:type="dxa"/>
            <w:noWrap/>
            <w:hideMark/>
          </w:tcPr>
          <w:p w14:paraId="2CD2C67F"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Victorian Annual Planning Report</w:t>
            </w:r>
          </w:p>
        </w:tc>
      </w:tr>
      <w:tr w:rsidR="00FC122F" w:rsidRPr="00D44CF2" w14:paraId="636E2C6C"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55A83B7"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VEU</w:t>
            </w:r>
          </w:p>
        </w:tc>
        <w:tc>
          <w:tcPr>
            <w:tcW w:w="5942" w:type="dxa"/>
            <w:noWrap/>
            <w:hideMark/>
          </w:tcPr>
          <w:p w14:paraId="6C7BC62A"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Victorian Energy Upgrades</w:t>
            </w:r>
          </w:p>
        </w:tc>
      </w:tr>
      <w:tr w:rsidR="004114F1" w:rsidRPr="00D44CF2" w14:paraId="3431370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4F002A3D" w14:textId="28AE0BBC" w:rsidR="004114F1" w:rsidRPr="00D44CF2" w:rsidRDefault="004114F1" w:rsidP="0084366A">
            <w:pPr>
              <w:pStyle w:val="TableText"/>
              <w:rPr>
                <w:rFonts w:eastAsia="Times New Roman" w:cs="Times New Roman"/>
                <w:color w:val="000000"/>
                <w:szCs w:val="20"/>
                <w:lang w:eastAsia="en-AU"/>
              </w:rPr>
            </w:pPr>
            <w:r>
              <w:rPr>
                <w:rFonts w:eastAsia="Times New Roman" w:cs="Times New Roman"/>
                <w:color w:val="000000"/>
                <w:szCs w:val="20"/>
                <w:lang w:eastAsia="en-AU"/>
              </w:rPr>
              <w:t>YFRB</w:t>
            </w:r>
          </w:p>
        </w:tc>
        <w:tc>
          <w:tcPr>
            <w:tcW w:w="5942" w:type="dxa"/>
            <w:noWrap/>
          </w:tcPr>
          <w:p w14:paraId="54614F6F" w14:textId="6DBDC20D" w:rsidR="004114F1" w:rsidRPr="00D44CF2" w:rsidRDefault="00056978"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Pr>
                <w:rFonts w:eastAsia="Times New Roman" w:cs="Times New Roman"/>
                <w:color w:val="000000"/>
                <w:szCs w:val="20"/>
                <w:lang w:eastAsia="en-AU"/>
              </w:rPr>
              <w:t>Very Fast Runback</w:t>
            </w:r>
          </w:p>
        </w:tc>
      </w:tr>
      <w:tr w:rsidR="0016084B" w:rsidRPr="00D44CF2" w14:paraId="6651A8D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315E574E" w14:textId="57CCA5C9" w:rsidR="0016084B" w:rsidRDefault="0016084B" w:rsidP="0084366A">
            <w:pPr>
              <w:pStyle w:val="TableText"/>
              <w:rPr>
                <w:rFonts w:eastAsia="Times New Roman" w:cs="Times New Roman"/>
                <w:color w:val="000000"/>
                <w:szCs w:val="20"/>
                <w:lang w:eastAsia="en-AU"/>
              </w:rPr>
            </w:pPr>
            <w:r>
              <w:rPr>
                <w:rFonts w:eastAsia="Times New Roman" w:cs="Times New Roman"/>
                <w:color w:val="000000"/>
                <w:szCs w:val="20"/>
                <w:lang w:eastAsia="en-AU"/>
              </w:rPr>
              <w:t>VNI</w:t>
            </w:r>
          </w:p>
        </w:tc>
        <w:tc>
          <w:tcPr>
            <w:tcW w:w="5942" w:type="dxa"/>
            <w:noWrap/>
          </w:tcPr>
          <w:p w14:paraId="0B480E1A" w14:textId="3074044D" w:rsidR="0016084B" w:rsidRPr="00D44CF2" w:rsidRDefault="00056978"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Victoria – New South Wales Interconnector</w:t>
            </w:r>
          </w:p>
        </w:tc>
      </w:tr>
      <w:tr w:rsidR="00FC122F" w:rsidRPr="00D44CF2" w14:paraId="78E2718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4AB0C1F"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VNI West</w:t>
            </w:r>
          </w:p>
        </w:tc>
        <w:tc>
          <w:tcPr>
            <w:tcW w:w="5942" w:type="dxa"/>
            <w:noWrap/>
            <w:hideMark/>
          </w:tcPr>
          <w:p w14:paraId="00FCAF6C" w14:textId="10CD4B72"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 xml:space="preserve">Victoria </w:t>
            </w:r>
            <w:r w:rsidR="003D5608" w:rsidRPr="00D44CF2">
              <w:rPr>
                <w:rFonts w:eastAsia="Times New Roman" w:cs="Times New Roman"/>
                <w:color w:val="000000"/>
                <w:szCs w:val="20"/>
                <w:lang w:eastAsia="en-AU"/>
              </w:rPr>
              <w:t xml:space="preserve">– </w:t>
            </w:r>
            <w:r w:rsidRPr="00D44CF2">
              <w:rPr>
                <w:rFonts w:eastAsia="Times New Roman" w:cs="Times New Roman"/>
                <w:color w:val="000000"/>
                <w:szCs w:val="20"/>
                <w:lang w:eastAsia="en-AU"/>
              </w:rPr>
              <w:t>New South Wales Interconnector West</w:t>
            </w:r>
          </w:p>
        </w:tc>
      </w:tr>
      <w:tr w:rsidR="00FC122F" w:rsidRPr="00D44CF2" w14:paraId="749AD8E1"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229A009"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VNPIR</w:t>
            </w:r>
          </w:p>
        </w:tc>
        <w:tc>
          <w:tcPr>
            <w:tcW w:w="5942" w:type="dxa"/>
            <w:noWrap/>
            <w:hideMark/>
          </w:tcPr>
          <w:p w14:paraId="31ED386F"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Cs w:val="20"/>
                <w:lang w:eastAsia="en-AU"/>
              </w:rPr>
            </w:pPr>
            <w:r w:rsidRPr="00D44CF2">
              <w:rPr>
                <w:rFonts w:eastAsia="Times New Roman" w:cs="Times New Roman"/>
                <w:i/>
                <w:iCs/>
                <w:color w:val="000000"/>
                <w:szCs w:val="20"/>
                <w:lang w:eastAsia="en-AU"/>
              </w:rPr>
              <w:t>Victorian Network Performance and Insights Report</w:t>
            </w:r>
          </w:p>
        </w:tc>
      </w:tr>
      <w:tr w:rsidR="00FC122F" w:rsidRPr="00D44CF2" w14:paraId="395CCD2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37F38C8"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VPP</w:t>
            </w:r>
          </w:p>
        </w:tc>
        <w:tc>
          <w:tcPr>
            <w:tcW w:w="5942" w:type="dxa"/>
            <w:noWrap/>
            <w:hideMark/>
          </w:tcPr>
          <w:p w14:paraId="72B23309"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virtual power plant</w:t>
            </w:r>
          </w:p>
        </w:tc>
      </w:tr>
      <w:tr w:rsidR="00FC122F" w:rsidRPr="00D44CF2" w14:paraId="4F74BB8A"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3836B512"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lastRenderedPageBreak/>
              <w:t>VRE</w:t>
            </w:r>
          </w:p>
        </w:tc>
        <w:tc>
          <w:tcPr>
            <w:tcW w:w="5942" w:type="dxa"/>
            <w:noWrap/>
            <w:hideMark/>
          </w:tcPr>
          <w:p w14:paraId="25CD48F6"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variable renewable energy</w:t>
            </w:r>
          </w:p>
        </w:tc>
      </w:tr>
      <w:tr w:rsidR="00FC122F" w:rsidRPr="00D44CF2" w14:paraId="04A0DF1F"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4C4B837C"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VRET</w:t>
            </w:r>
          </w:p>
        </w:tc>
        <w:tc>
          <w:tcPr>
            <w:tcW w:w="5942" w:type="dxa"/>
            <w:noWrap/>
            <w:hideMark/>
          </w:tcPr>
          <w:p w14:paraId="08000A89"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Victorian Renewable Energy Target</w:t>
            </w:r>
          </w:p>
        </w:tc>
      </w:tr>
      <w:tr w:rsidR="00FC122F" w:rsidRPr="00D44CF2" w14:paraId="3B8B9AE6"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2A9C6854"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VTIF</w:t>
            </w:r>
          </w:p>
        </w:tc>
        <w:tc>
          <w:tcPr>
            <w:tcW w:w="5942" w:type="dxa"/>
            <w:noWrap/>
            <w:hideMark/>
          </w:tcPr>
          <w:p w14:paraId="4D5B1D9B"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Victorian Transmission Investment Framework</w:t>
            </w:r>
          </w:p>
        </w:tc>
      </w:tr>
      <w:tr w:rsidR="00FC122F" w:rsidRPr="00D44CF2" w14:paraId="7E0D975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75C2505A"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VTP</w:t>
            </w:r>
          </w:p>
        </w:tc>
        <w:tc>
          <w:tcPr>
            <w:tcW w:w="5942" w:type="dxa"/>
            <w:noWrap/>
            <w:hideMark/>
          </w:tcPr>
          <w:p w14:paraId="3A9194FE"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Victorian Transmission Plan</w:t>
            </w:r>
          </w:p>
        </w:tc>
      </w:tr>
      <w:tr w:rsidR="00FC122F" w:rsidRPr="00D44CF2" w14:paraId="6FC5CC44"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6A738785"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WETS</w:t>
            </w:r>
          </w:p>
        </w:tc>
        <w:tc>
          <w:tcPr>
            <w:tcW w:w="5942" w:type="dxa"/>
            <w:noWrap/>
            <w:hideMark/>
          </w:tcPr>
          <w:p w14:paraId="6D22EC07"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Wemen Terminal Station</w:t>
            </w:r>
          </w:p>
        </w:tc>
      </w:tr>
      <w:tr w:rsidR="00FC122F" w:rsidRPr="00D44CF2" w14:paraId="6ADECC83"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123A3322"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WRL</w:t>
            </w:r>
          </w:p>
        </w:tc>
        <w:tc>
          <w:tcPr>
            <w:tcW w:w="5942" w:type="dxa"/>
            <w:noWrap/>
            <w:hideMark/>
          </w:tcPr>
          <w:p w14:paraId="5DC85E84" w14:textId="77777777" w:rsidR="00FC122F" w:rsidRPr="00D44CF2"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Western Renewables Link</w:t>
            </w:r>
          </w:p>
        </w:tc>
      </w:tr>
      <w:tr w:rsidR="007D1632" w:rsidRPr="00D44CF2" w14:paraId="691F216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0A732A2E" w14:textId="41FE7C71" w:rsidR="007D1632" w:rsidRPr="00D44CF2" w:rsidRDefault="007D1632"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YPS</w:t>
            </w:r>
          </w:p>
        </w:tc>
        <w:tc>
          <w:tcPr>
            <w:tcW w:w="5942" w:type="dxa"/>
            <w:noWrap/>
          </w:tcPr>
          <w:p w14:paraId="7F25D311" w14:textId="20871DCF" w:rsidR="007D1632" w:rsidRPr="00D44CF2" w:rsidRDefault="007D1632"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 xml:space="preserve">Yallourn Power Station </w:t>
            </w:r>
            <w:r w:rsidR="00DA28FD" w:rsidRPr="00D44CF2">
              <w:rPr>
                <w:rFonts w:eastAsia="Times New Roman" w:cs="Times New Roman"/>
                <w:color w:val="000000"/>
                <w:szCs w:val="20"/>
                <w:lang w:eastAsia="en-AU"/>
              </w:rPr>
              <w:t>switchyard</w:t>
            </w:r>
          </w:p>
        </w:tc>
      </w:tr>
      <w:tr w:rsidR="00FC122F" w:rsidRPr="00FC122F" w14:paraId="78B95735"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hideMark/>
          </w:tcPr>
          <w:p w14:paraId="0058A046" w14:textId="77777777" w:rsidR="00FC122F" w:rsidRPr="00D44CF2" w:rsidRDefault="00FC122F" w:rsidP="0084366A">
            <w:pPr>
              <w:pStyle w:val="TableText"/>
              <w:rPr>
                <w:rFonts w:eastAsia="Times New Roman" w:cs="Times New Roman"/>
                <w:color w:val="000000"/>
                <w:szCs w:val="20"/>
                <w:lang w:eastAsia="en-AU"/>
              </w:rPr>
            </w:pPr>
            <w:r w:rsidRPr="00D44CF2">
              <w:rPr>
                <w:rFonts w:eastAsia="Times New Roman" w:cs="Times New Roman"/>
                <w:color w:val="000000"/>
                <w:szCs w:val="20"/>
                <w:lang w:eastAsia="en-AU"/>
              </w:rPr>
              <w:t>YWPS</w:t>
            </w:r>
          </w:p>
        </w:tc>
        <w:tc>
          <w:tcPr>
            <w:tcW w:w="5942" w:type="dxa"/>
            <w:noWrap/>
            <w:hideMark/>
          </w:tcPr>
          <w:p w14:paraId="63095972" w14:textId="77777777" w:rsidR="00FC122F" w:rsidRPr="00FC122F" w:rsidRDefault="00FC122F"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sidRPr="00D44CF2">
              <w:rPr>
                <w:rFonts w:eastAsia="Times New Roman" w:cs="Times New Roman"/>
                <w:color w:val="000000"/>
                <w:szCs w:val="20"/>
                <w:lang w:eastAsia="en-AU"/>
              </w:rPr>
              <w:t>Yallourn West Power Station</w:t>
            </w:r>
          </w:p>
        </w:tc>
      </w:tr>
      <w:tr w:rsidR="00056978" w:rsidRPr="00FC122F" w14:paraId="600EF1B8" w14:textId="77777777" w:rsidTr="00FC122F">
        <w:trPr>
          <w:trHeight w:val="290"/>
        </w:trPr>
        <w:tc>
          <w:tcPr>
            <w:cnfStyle w:val="001000000000" w:firstRow="0" w:lastRow="0" w:firstColumn="1" w:lastColumn="0" w:oddVBand="0" w:evenVBand="0" w:oddHBand="0" w:evenHBand="0" w:firstRowFirstColumn="0" w:firstRowLastColumn="0" w:lastRowFirstColumn="0" w:lastRowLastColumn="0"/>
            <w:tcW w:w="2552" w:type="dxa"/>
            <w:noWrap/>
          </w:tcPr>
          <w:p w14:paraId="10E30F15" w14:textId="4EF69BA9" w:rsidR="00056978" w:rsidRPr="00D44CF2" w:rsidRDefault="00056978" w:rsidP="0084366A">
            <w:pPr>
              <w:pStyle w:val="TableText"/>
              <w:rPr>
                <w:rFonts w:eastAsia="Times New Roman" w:cs="Times New Roman"/>
                <w:color w:val="000000"/>
                <w:szCs w:val="20"/>
                <w:lang w:eastAsia="en-AU"/>
              </w:rPr>
            </w:pPr>
            <w:r>
              <w:rPr>
                <w:rFonts w:eastAsia="Times New Roman" w:cs="Times New Roman"/>
                <w:color w:val="000000"/>
                <w:szCs w:val="20"/>
                <w:lang w:eastAsia="en-AU"/>
              </w:rPr>
              <w:t>ZEV</w:t>
            </w:r>
          </w:p>
        </w:tc>
        <w:tc>
          <w:tcPr>
            <w:tcW w:w="5942" w:type="dxa"/>
            <w:noWrap/>
          </w:tcPr>
          <w:p w14:paraId="71C65099" w14:textId="219ED6DF" w:rsidR="00056978" w:rsidRPr="00D44CF2" w:rsidRDefault="00056978" w:rsidP="0084366A">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n-AU"/>
              </w:rPr>
            </w:pPr>
            <w:r>
              <w:rPr>
                <w:rFonts w:eastAsia="Times New Roman" w:cs="Times New Roman"/>
                <w:color w:val="000000"/>
                <w:szCs w:val="20"/>
                <w:lang w:eastAsia="en-AU"/>
              </w:rPr>
              <w:t>Zero Emissions Vehicle</w:t>
            </w:r>
          </w:p>
        </w:tc>
      </w:tr>
    </w:tbl>
    <w:p w14:paraId="3F33ABE9" w14:textId="77777777" w:rsidR="006D7DCA" w:rsidRDefault="006D7DCA" w:rsidP="00C70B3F">
      <w:pPr>
        <w:pStyle w:val="BodyText"/>
      </w:pPr>
    </w:p>
    <w:sectPr w:rsidR="006D7DCA" w:rsidSect="00034A47">
      <w:headerReference w:type="default" r:id="rId113"/>
      <w:footerReference w:type="default" r:id="rId114"/>
      <w:pgSz w:w="11907" w:h="16840" w:code="9"/>
      <w:pgMar w:top="1985" w:right="907" w:bottom="1418" w:left="907" w:header="788"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89709" w14:textId="77777777" w:rsidR="003A1357" w:rsidRDefault="003A1357" w:rsidP="008E620E">
      <w:pPr>
        <w:spacing w:before="0" w:after="0" w:line="240" w:lineRule="auto"/>
      </w:pPr>
      <w:r>
        <w:separator/>
      </w:r>
    </w:p>
  </w:endnote>
  <w:endnote w:type="continuationSeparator" w:id="0">
    <w:p w14:paraId="6F23CA10" w14:textId="77777777" w:rsidR="003A1357" w:rsidRDefault="003A1357" w:rsidP="008E620E">
      <w:pPr>
        <w:spacing w:before="0" w:after="0" w:line="240" w:lineRule="auto"/>
      </w:pPr>
      <w:r>
        <w:continuationSeparator/>
      </w:r>
    </w:p>
  </w:endnote>
  <w:endnote w:type="continuationNotice" w:id="1">
    <w:p w14:paraId="1D589AF6" w14:textId="77777777" w:rsidR="003A1357" w:rsidRDefault="003A13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entury Gothic">
    <w:altName w:val="Cambria"/>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Nova-Bold">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11CC3" w14:textId="77777777" w:rsidR="00C303E0" w:rsidRPr="00A1084A" w:rsidRDefault="00C303E0" w:rsidP="00A1084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7C0B5" w14:textId="77777777" w:rsidR="005577C0" w:rsidRDefault="005577C0">
    <w:pPr>
      <w:pStyle w:val="Footer"/>
    </w:pPr>
  </w:p>
  <w:p w14:paraId="57E9ECAD" w14:textId="77777777" w:rsidR="005577C0" w:rsidRDefault="005577C0">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5577C0" w14:paraId="1DCE8728" w14:textId="77777777">
      <w:trPr>
        <w:trHeight w:val="340"/>
      </w:trPr>
      <w:tc>
        <w:tcPr>
          <w:tcW w:w="8470" w:type="dxa"/>
          <w:tcBorders>
            <w:top w:val="single" w:sz="4" w:space="0" w:color="6B3077" w:themeColor="accent1"/>
          </w:tcBorders>
          <w:vAlign w:val="bottom"/>
        </w:tcPr>
        <w:p w14:paraId="4D6B27A8" w14:textId="5FBFAC22" w:rsidR="005577C0" w:rsidRPr="00354B8C" w:rsidRDefault="005577C0">
          <w:pPr>
            <w:pStyle w:val="Footer"/>
          </w:pPr>
          <w:r w:rsidRPr="00354B8C">
            <w:t>© AEMO 202</w:t>
          </w:r>
          <w:r>
            <w:t>2</w:t>
          </w:r>
          <w:r w:rsidRPr="00354B8C">
            <w:t xml:space="preserve"> | </w:t>
          </w:r>
          <w:fldSimple w:instr="STYLEREF  &quot;Cover - Title&quot;  \* MERGEFORMAT">
            <w:r w:rsidR="00764F2A">
              <w:rPr>
                <w:noProof/>
              </w:rPr>
              <w:t>Victorian Annual Planning Report</w:t>
            </w:r>
          </w:fldSimple>
        </w:p>
      </w:tc>
      <w:tc>
        <w:tcPr>
          <w:tcW w:w="1623" w:type="dxa"/>
          <w:tcBorders>
            <w:top w:val="single" w:sz="4" w:space="0" w:color="6B3077" w:themeColor="accent1"/>
          </w:tcBorders>
          <w:vAlign w:val="bottom"/>
        </w:tcPr>
        <w:p w14:paraId="22DD45E1" w14:textId="77777777" w:rsidR="005577C0" w:rsidRDefault="005577C0">
          <w:pPr>
            <w:pStyle w:val="Footer"/>
            <w:jc w:val="right"/>
          </w:pPr>
          <w:r>
            <w:fldChar w:fldCharType="begin"/>
          </w:r>
          <w:r>
            <w:instrText xml:space="preserve"> PAGE  \* Arabic  \* MERGEFORMAT </w:instrText>
          </w:r>
          <w:r>
            <w:fldChar w:fldCharType="separate"/>
          </w:r>
          <w:r>
            <w:t>3</w:t>
          </w:r>
          <w:r>
            <w:fldChar w:fldCharType="end"/>
          </w:r>
        </w:p>
      </w:tc>
    </w:tr>
  </w:tbl>
  <w:p w14:paraId="1723C8C6" w14:textId="77777777" w:rsidR="005577C0" w:rsidRDefault="005577C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8043" w14:textId="77777777" w:rsidR="005577C0" w:rsidRDefault="005577C0">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5577C0" w14:paraId="22CF5980" w14:textId="77777777">
      <w:trPr>
        <w:trHeight w:val="340"/>
      </w:trPr>
      <w:tc>
        <w:tcPr>
          <w:tcW w:w="8470" w:type="dxa"/>
          <w:tcBorders>
            <w:top w:val="single" w:sz="4" w:space="0" w:color="6B3077" w:themeColor="accent1"/>
          </w:tcBorders>
          <w:vAlign w:val="bottom"/>
        </w:tcPr>
        <w:p w14:paraId="6852702A" w14:textId="4D4A1CDC" w:rsidR="005577C0" w:rsidRPr="00354B8C" w:rsidRDefault="005577C0">
          <w:pPr>
            <w:pStyle w:val="Footer"/>
          </w:pPr>
          <w:r w:rsidRPr="00354B8C">
            <w:t>© AEMO 202</w:t>
          </w:r>
          <w:r>
            <w:t>2</w:t>
          </w:r>
          <w:r w:rsidRPr="00354B8C">
            <w:t xml:space="preserve"> | </w:t>
          </w:r>
          <w:fldSimple w:instr="STYLEREF  &quot;Cover - Title&quot;  \* MERGEFORMAT">
            <w:r w:rsidR="00764F2A">
              <w:rPr>
                <w:noProof/>
              </w:rPr>
              <w:t>Victorian Annual Planning Report</w:t>
            </w:r>
          </w:fldSimple>
        </w:p>
      </w:tc>
      <w:tc>
        <w:tcPr>
          <w:tcW w:w="1623" w:type="dxa"/>
          <w:tcBorders>
            <w:top w:val="single" w:sz="4" w:space="0" w:color="6B3077" w:themeColor="accent1"/>
          </w:tcBorders>
          <w:vAlign w:val="bottom"/>
        </w:tcPr>
        <w:p w14:paraId="3DA5F5B1" w14:textId="77777777" w:rsidR="005577C0" w:rsidRDefault="005577C0">
          <w:pPr>
            <w:pStyle w:val="Footer"/>
            <w:jc w:val="right"/>
          </w:pPr>
          <w:r>
            <w:fldChar w:fldCharType="begin"/>
          </w:r>
          <w:r>
            <w:instrText xml:space="preserve"> PAGE  \* Arabic  \* MERGEFORMAT </w:instrText>
          </w:r>
          <w:r>
            <w:fldChar w:fldCharType="separate"/>
          </w:r>
          <w:r>
            <w:t>3</w:t>
          </w:r>
          <w:r>
            <w:fldChar w:fldCharType="end"/>
          </w:r>
        </w:p>
      </w:tc>
    </w:tr>
  </w:tbl>
  <w:p w14:paraId="07A940F2" w14:textId="77777777" w:rsidR="005577C0" w:rsidRDefault="005577C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F1C4D" w14:textId="77777777" w:rsidR="0087182A" w:rsidRDefault="0087182A">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87182A" w:rsidRPr="0083289B" w14:paraId="1E444BC8" w14:textId="77777777">
      <w:trPr>
        <w:trHeight w:val="340"/>
      </w:trPr>
      <w:tc>
        <w:tcPr>
          <w:tcW w:w="8470" w:type="dxa"/>
          <w:tcBorders>
            <w:top w:val="single" w:sz="4" w:space="0" w:color="6B3077" w:themeColor="accent1"/>
          </w:tcBorders>
          <w:vAlign w:val="bottom"/>
        </w:tcPr>
        <w:p w14:paraId="02FDA3F9" w14:textId="77777777" w:rsidR="0087182A" w:rsidRPr="0083289B" w:rsidRDefault="0087182A">
          <w:pPr>
            <w:pStyle w:val="Footer"/>
          </w:pPr>
          <w:r w:rsidRPr="0083289B">
            <w:t>© AEMO</w:t>
          </w:r>
          <w:r w:rsidRPr="0083289B" w:rsidDel="0083289B">
            <w:t xml:space="preserve"> </w:t>
          </w:r>
          <w:r w:rsidRPr="0083289B">
            <w:t>202</w:t>
          </w:r>
          <w:r>
            <w:t>5</w:t>
          </w:r>
          <w:r w:rsidRPr="0083289B">
            <w:t xml:space="preserve"> | </w:t>
          </w:r>
          <w:r>
            <w:t>Victorian Annual Planning Report</w:t>
          </w:r>
        </w:p>
      </w:tc>
      <w:tc>
        <w:tcPr>
          <w:tcW w:w="1623" w:type="dxa"/>
          <w:tcBorders>
            <w:top w:val="single" w:sz="4" w:space="0" w:color="6B3077" w:themeColor="accent1"/>
          </w:tcBorders>
          <w:vAlign w:val="bottom"/>
        </w:tcPr>
        <w:p w14:paraId="57882D72" w14:textId="77777777" w:rsidR="0087182A" w:rsidRPr="0083289B" w:rsidRDefault="0087182A">
          <w:pPr>
            <w:pStyle w:val="Footer"/>
            <w:jc w:val="right"/>
          </w:pPr>
          <w:r w:rsidRPr="0083289B">
            <w:fldChar w:fldCharType="begin"/>
          </w:r>
          <w:r w:rsidRPr="0083289B">
            <w:instrText xml:space="preserve"> PAGE  \* Arabic  \* MERGEFORMAT </w:instrText>
          </w:r>
          <w:r w:rsidRPr="0083289B">
            <w:fldChar w:fldCharType="separate"/>
          </w:r>
          <w:r w:rsidRPr="0083289B">
            <w:t>3</w:t>
          </w:r>
          <w:r w:rsidRPr="0083289B">
            <w:fldChar w:fldCharType="end"/>
          </w:r>
        </w:p>
      </w:tc>
    </w:tr>
  </w:tbl>
  <w:p w14:paraId="3D1BE836" w14:textId="77777777" w:rsidR="0087182A" w:rsidRDefault="008718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63DE9" w14:textId="77777777" w:rsidR="0087182A" w:rsidRDefault="0087182A">
    <w:pPr>
      <w:pStyle w:val="Footer"/>
    </w:pPr>
  </w:p>
  <w:p w14:paraId="59B1F8F2" w14:textId="77777777" w:rsidR="0087182A" w:rsidRDefault="0087182A">
    <w:pPr>
      <w:pStyle w:val="Footer"/>
    </w:pPr>
  </w:p>
  <w:tbl>
    <w:tblPr>
      <w:tblStyle w:val="TableGrid"/>
      <w:tblW w:w="0" w:type="auto"/>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71"/>
      <w:gridCol w:w="6576"/>
    </w:tblGrid>
    <w:tr w:rsidR="0087182A" w:rsidRPr="0083289B" w14:paraId="1DFFAE0C" w14:textId="77777777" w:rsidTr="001A3F5B">
      <w:trPr>
        <w:trHeight w:val="340"/>
      </w:trPr>
      <w:tc>
        <w:tcPr>
          <w:tcW w:w="8471" w:type="dxa"/>
          <w:tcBorders>
            <w:top w:val="single" w:sz="4" w:space="0" w:color="6B3077" w:themeColor="accent1"/>
          </w:tcBorders>
          <w:vAlign w:val="bottom"/>
        </w:tcPr>
        <w:p w14:paraId="1BA84BEF" w14:textId="77777777" w:rsidR="0087182A" w:rsidRPr="0083289B" w:rsidRDefault="0087182A">
          <w:pPr>
            <w:pStyle w:val="Footer"/>
          </w:pPr>
          <w:r w:rsidRPr="0083289B">
            <w:t>© AEMO</w:t>
          </w:r>
          <w:r w:rsidRPr="0083289B" w:rsidDel="0083289B">
            <w:t xml:space="preserve"> </w:t>
          </w:r>
          <w:r w:rsidRPr="0083289B">
            <w:t>202</w:t>
          </w:r>
          <w:r>
            <w:t>5</w:t>
          </w:r>
          <w:r w:rsidRPr="0083289B">
            <w:t xml:space="preserve"> | </w:t>
          </w:r>
          <w:r>
            <w:t>Victorian Annual Planning Report</w:t>
          </w:r>
        </w:p>
      </w:tc>
      <w:tc>
        <w:tcPr>
          <w:tcW w:w="6576" w:type="dxa"/>
          <w:tcBorders>
            <w:top w:val="single" w:sz="4" w:space="0" w:color="6B3077" w:themeColor="accent1"/>
          </w:tcBorders>
          <w:vAlign w:val="bottom"/>
        </w:tcPr>
        <w:p w14:paraId="2275D882" w14:textId="77777777" w:rsidR="0087182A" w:rsidRPr="0083289B" w:rsidRDefault="0087182A">
          <w:pPr>
            <w:pStyle w:val="Footer"/>
            <w:jc w:val="right"/>
          </w:pPr>
          <w:r w:rsidRPr="0083289B">
            <w:fldChar w:fldCharType="begin"/>
          </w:r>
          <w:r w:rsidRPr="0083289B">
            <w:instrText xml:space="preserve"> PAGE  \* Arabic  \* MERGEFORMAT </w:instrText>
          </w:r>
          <w:r w:rsidRPr="0083289B">
            <w:fldChar w:fldCharType="separate"/>
          </w:r>
          <w:r w:rsidRPr="0083289B">
            <w:t>3</w:t>
          </w:r>
          <w:r w:rsidRPr="0083289B">
            <w:fldChar w:fldCharType="end"/>
          </w:r>
        </w:p>
      </w:tc>
    </w:tr>
  </w:tbl>
  <w:p w14:paraId="74C4CC63" w14:textId="77777777" w:rsidR="0087182A" w:rsidRDefault="0087182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CC25" w14:textId="77777777" w:rsidR="00206DD3" w:rsidRDefault="00206DD3">
    <w:pPr>
      <w:pStyle w:val="Footer"/>
    </w:pPr>
  </w:p>
  <w:p w14:paraId="69838ACB" w14:textId="77777777" w:rsidR="00206DD3" w:rsidRDefault="00206DD3">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2"/>
      <w:gridCol w:w="4411"/>
    </w:tblGrid>
    <w:tr w:rsidR="00206DD3" w:rsidRPr="0083289B" w14:paraId="33F2CBC2" w14:textId="77777777" w:rsidTr="00206DD3">
      <w:trPr>
        <w:trHeight w:val="340"/>
      </w:trPr>
      <w:tc>
        <w:tcPr>
          <w:tcW w:w="2815" w:type="pct"/>
          <w:tcBorders>
            <w:top w:val="single" w:sz="4" w:space="0" w:color="6B3077" w:themeColor="accent1"/>
          </w:tcBorders>
          <w:vAlign w:val="bottom"/>
        </w:tcPr>
        <w:p w14:paraId="76708867" w14:textId="77777777" w:rsidR="00206DD3" w:rsidRPr="0083289B" w:rsidRDefault="00206DD3">
          <w:pPr>
            <w:pStyle w:val="Footer"/>
          </w:pPr>
          <w:r w:rsidRPr="0083289B">
            <w:t>© AEMO</w:t>
          </w:r>
          <w:r w:rsidRPr="0083289B" w:rsidDel="0083289B">
            <w:t xml:space="preserve"> </w:t>
          </w:r>
          <w:r w:rsidRPr="0083289B">
            <w:t>202</w:t>
          </w:r>
          <w:r>
            <w:t>5</w:t>
          </w:r>
          <w:r w:rsidRPr="0083289B">
            <w:t xml:space="preserve"> | </w:t>
          </w:r>
          <w:r>
            <w:t>Victorian Annual Planning Report</w:t>
          </w:r>
        </w:p>
      </w:tc>
      <w:tc>
        <w:tcPr>
          <w:tcW w:w="2185" w:type="pct"/>
          <w:tcBorders>
            <w:top w:val="single" w:sz="4" w:space="0" w:color="6B3077" w:themeColor="accent1"/>
          </w:tcBorders>
          <w:vAlign w:val="bottom"/>
        </w:tcPr>
        <w:p w14:paraId="562DBE85" w14:textId="77777777" w:rsidR="00206DD3" w:rsidRPr="0083289B" w:rsidRDefault="00206DD3">
          <w:pPr>
            <w:pStyle w:val="Footer"/>
            <w:jc w:val="right"/>
          </w:pPr>
          <w:r w:rsidRPr="0083289B">
            <w:fldChar w:fldCharType="begin"/>
          </w:r>
          <w:r w:rsidRPr="0083289B">
            <w:instrText xml:space="preserve"> PAGE  \* Arabic  \* MERGEFORMAT </w:instrText>
          </w:r>
          <w:r w:rsidRPr="0083289B">
            <w:fldChar w:fldCharType="separate"/>
          </w:r>
          <w:r w:rsidRPr="0083289B">
            <w:t>3</w:t>
          </w:r>
          <w:r w:rsidRPr="0083289B">
            <w:fldChar w:fldCharType="end"/>
          </w:r>
        </w:p>
      </w:tc>
    </w:tr>
  </w:tbl>
  <w:p w14:paraId="047FAA58" w14:textId="77777777" w:rsidR="00206DD3" w:rsidRDefault="00206D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248F" w14:textId="77777777" w:rsidR="00E77B70" w:rsidRDefault="00E77B7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DD86" w14:textId="77777777" w:rsidR="00E77B70" w:rsidRDefault="00E77B70" w:rsidP="001A3F5B">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E77B70" w14:paraId="0EAA274B" w14:textId="77777777">
      <w:trPr>
        <w:trHeight w:val="340"/>
      </w:trPr>
      <w:tc>
        <w:tcPr>
          <w:tcW w:w="8470" w:type="dxa"/>
          <w:tcBorders>
            <w:top w:val="single" w:sz="4" w:space="0" w:color="6B3077" w:themeColor="accent1"/>
          </w:tcBorders>
          <w:vAlign w:val="bottom"/>
        </w:tcPr>
        <w:p w14:paraId="25990D43" w14:textId="77777777" w:rsidR="00E77B70" w:rsidRPr="00354B8C" w:rsidRDefault="00E77B70" w:rsidP="001A3F5B">
          <w:pPr>
            <w:pStyle w:val="Footer"/>
          </w:pPr>
          <w:r w:rsidRPr="00354B8C">
            <w:t xml:space="preserve">© AEMO </w:t>
          </w:r>
          <w:r w:rsidRPr="008D1261">
            <w:t>202</w:t>
          </w:r>
          <w:r>
            <w:t>5</w:t>
          </w:r>
          <w:r w:rsidRPr="00354B8C">
            <w:t xml:space="preserve"> | </w:t>
          </w:r>
          <w:r>
            <w:t>Victorian Annual Planning Report</w:t>
          </w:r>
        </w:p>
      </w:tc>
      <w:tc>
        <w:tcPr>
          <w:tcW w:w="1623" w:type="dxa"/>
          <w:tcBorders>
            <w:top w:val="single" w:sz="4" w:space="0" w:color="6B3077" w:themeColor="accent1"/>
          </w:tcBorders>
          <w:vAlign w:val="bottom"/>
        </w:tcPr>
        <w:p w14:paraId="7B9E9AEB" w14:textId="77777777" w:rsidR="00E77B70" w:rsidRDefault="00E77B70" w:rsidP="001A3F5B">
          <w:pPr>
            <w:pStyle w:val="Footer"/>
            <w:jc w:val="right"/>
          </w:pPr>
          <w:r>
            <w:fldChar w:fldCharType="begin"/>
          </w:r>
          <w:r>
            <w:instrText xml:space="preserve"> PAGE  \* Arabic  \* MERGEFORMAT </w:instrText>
          </w:r>
          <w:r>
            <w:fldChar w:fldCharType="separate"/>
          </w:r>
          <w:r>
            <w:t>3</w:t>
          </w:r>
          <w:r>
            <w:fldChar w:fldCharType="end"/>
          </w:r>
        </w:p>
      </w:tc>
    </w:tr>
  </w:tbl>
  <w:p w14:paraId="30B21222" w14:textId="77777777" w:rsidR="00E77B70" w:rsidRDefault="00E77B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B080" w14:textId="77777777" w:rsidR="00E77B70" w:rsidRDefault="00E77B7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9C3D" w14:textId="77777777" w:rsidR="00AD7BC2" w:rsidRDefault="00AD7BC2" w:rsidP="001A3F5B">
    <w:pPr>
      <w:pStyle w:val="Footer"/>
    </w:pPr>
  </w:p>
  <w:tbl>
    <w:tblPr>
      <w:tblStyle w:val="TableGrid"/>
      <w:tblW w:w="0" w:type="auto"/>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97"/>
      <w:gridCol w:w="6520"/>
    </w:tblGrid>
    <w:tr w:rsidR="00872ADD" w14:paraId="77ECD1AB" w14:textId="77777777" w:rsidTr="00872ADD">
      <w:trPr>
        <w:trHeight w:val="340"/>
      </w:trPr>
      <w:tc>
        <w:tcPr>
          <w:tcW w:w="8497" w:type="dxa"/>
          <w:tcBorders>
            <w:top w:val="single" w:sz="4" w:space="0" w:color="6B3077" w:themeColor="accent1"/>
          </w:tcBorders>
          <w:vAlign w:val="bottom"/>
        </w:tcPr>
        <w:p w14:paraId="13AAD11D" w14:textId="77777777" w:rsidR="00AD7BC2" w:rsidRPr="00354B8C" w:rsidRDefault="00AD7BC2" w:rsidP="001A3F5B">
          <w:pPr>
            <w:pStyle w:val="Footer"/>
          </w:pPr>
          <w:r w:rsidRPr="00354B8C">
            <w:t xml:space="preserve">© AEMO </w:t>
          </w:r>
          <w:r w:rsidRPr="008D1261">
            <w:t>202</w:t>
          </w:r>
          <w:r>
            <w:t>5</w:t>
          </w:r>
          <w:r w:rsidRPr="00354B8C">
            <w:t xml:space="preserve"> | </w:t>
          </w:r>
          <w:r>
            <w:t>Victorian Annual Planning Report</w:t>
          </w:r>
        </w:p>
      </w:tc>
      <w:tc>
        <w:tcPr>
          <w:tcW w:w="6520" w:type="dxa"/>
          <w:tcBorders>
            <w:top w:val="single" w:sz="4" w:space="0" w:color="6B3077" w:themeColor="accent1"/>
          </w:tcBorders>
          <w:vAlign w:val="bottom"/>
        </w:tcPr>
        <w:p w14:paraId="1B25103E" w14:textId="77777777" w:rsidR="00AD7BC2" w:rsidRDefault="00AD7BC2" w:rsidP="001A3F5B">
          <w:pPr>
            <w:pStyle w:val="Footer"/>
            <w:jc w:val="right"/>
          </w:pPr>
          <w:r>
            <w:fldChar w:fldCharType="begin"/>
          </w:r>
          <w:r>
            <w:instrText xml:space="preserve"> PAGE  \* Arabic  \* MERGEFORMAT </w:instrText>
          </w:r>
          <w:r>
            <w:fldChar w:fldCharType="separate"/>
          </w:r>
          <w:r>
            <w:t>3</w:t>
          </w:r>
          <w:r>
            <w:fldChar w:fldCharType="end"/>
          </w:r>
        </w:p>
      </w:tc>
    </w:tr>
  </w:tbl>
  <w:p w14:paraId="53348156" w14:textId="77777777" w:rsidR="00AD7BC2" w:rsidRDefault="00AD7BC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5FFC" w14:textId="77777777" w:rsidR="00872ADD" w:rsidRDefault="00872ADD" w:rsidP="001A3F5B">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872ADD" w14:paraId="6A8C3F1A" w14:textId="77777777">
      <w:trPr>
        <w:trHeight w:val="340"/>
      </w:trPr>
      <w:tc>
        <w:tcPr>
          <w:tcW w:w="8470" w:type="dxa"/>
          <w:tcBorders>
            <w:top w:val="single" w:sz="4" w:space="0" w:color="6B3077" w:themeColor="accent1"/>
          </w:tcBorders>
          <w:vAlign w:val="bottom"/>
        </w:tcPr>
        <w:p w14:paraId="5ABCFD18" w14:textId="77777777" w:rsidR="00872ADD" w:rsidRPr="00354B8C" w:rsidRDefault="00872ADD" w:rsidP="001A3F5B">
          <w:pPr>
            <w:pStyle w:val="Footer"/>
          </w:pPr>
          <w:r w:rsidRPr="00354B8C">
            <w:t xml:space="preserve">© AEMO </w:t>
          </w:r>
          <w:r w:rsidRPr="008D1261">
            <w:t>202</w:t>
          </w:r>
          <w:r>
            <w:t>5</w:t>
          </w:r>
          <w:r w:rsidRPr="00354B8C">
            <w:t xml:space="preserve"> | </w:t>
          </w:r>
          <w:r>
            <w:t>Victorian Annual Planning Report</w:t>
          </w:r>
        </w:p>
      </w:tc>
      <w:tc>
        <w:tcPr>
          <w:tcW w:w="1623" w:type="dxa"/>
          <w:tcBorders>
            <w:top w:val="single" w:sz="4" w:space="0" w:color="6B3077" w:themeColor="accent1"/>
          </w:tcBorders>
          <w:vAlign w:val="bottom"/>
        </w:tcPr>
        <w:p w14:paraId="1F46648D" w14:textId="77777777" w:rsidR="00872ADD" w:rsidRDefault="00872ADD" w:rsidP="001A3F5B">
          <w:pPr>
            <w:pStyle w:val="Footer"/>
            <w:jc w:val="right"/>
          </w:pPr>
          <w:r>
            <w:fldChar w:fldCharType="begin"/>
          </w:r>
          <w:r>
            <w:instrText xml:space="preserve"> PAGE  \* Arabic  \* MERGEFORMAT </w:instrText>
          </w:r>
          <w:r>
            <w:fldChar w:fldCharType="separate"/>
          </w:r>
          <w:r>
            <w:t>3</w:t>
          </w:r>
          <w:r>
            <w:fldChar w:fldCharType="end"/>
          </w:r>
        </w:p>
      </w:tc>
    </w:tr>
  </w:tbl>
  <w:p w14:paraId="215DA608" w14:textId="77777777" w:rsidR="00872ADD" w:rsidRDefault="00872A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08BB5" w14:textId="77777777" w:rsidR="00C303E0" w:rsidRDefault="00C303E0" w:rsidP="009C3524">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C303E0" w:rsidRPr="0081383B" w14:paraId="6D561277" w14:textId="77777777" w:rsidTr="009C3524">
      <w:trPr>
        <w:trHeight w:val="340"/>
      </w:trPr>
      <w:tc>
        <w:tcPr>
          <w:tcW w:w="8470" w:type="dxa"/>
          <w:tcBorders>
            <w:top w:val="single" w:sz="4" w:space="0" w:color="6B3077" w:themeColor="accent1"/>
          </w:tcBorders>
          <w:vAlign w:val="bottom"/>
        </w:tcPr>
        <w:p w14:paraId="5BEC79CA" w14:textId="31E9FD67" w:rsidR="00C303E0" w:rsidRPr="0081383B" w:rsidRDefault="00C303E0">
          <w:pPr>
            <w:pStyle w:val="Footer"/>
          </w:pPr>
          <w:r w:rsidRPr="0081383B">
            <w:t>© AEMO 202</w:t>
          </w:r>
          <w:r w:rsidR="002F4578">
            <w:t>5</w:t>
          </w:r>
          <w:r w:rsidRPr="0081383B">
            <w:t xml:space="preserve"> | </w:t>
          </w:r>
          <w:fldSimple w:instr="STYLEREF  &quot;Cover - Title&quot;  \* MERGEFORMAT">
            <w:r w:rsidR="00764F2A" w:rsidRPr="00764F2A">
              <w:rPr>
                <w:noProof/>
                <w:lang w:val="en-US"/>
              </w:rPr>
              <w:t>Victorian Annual Planning</w:t>
            </w:r>
            <w:r w:rsidR="00764F2A">
              <w:rPr>
                <w:noProof/>
              </w:rPr>
              <w:t xml:space="preserve"> Report</w:t>
            </w:r>
          </w:fldSimple>
        </w:p>
      </w:tc>
      <w:tc>
        <w:tcPr>
          <w:tcW w:w="1623" w:type="dxa"/>
          <w:tcBorders>
            <w:top w:val="single" w:sz="4" w:space="0" w:color="6B3077" w:themeColor="accent1"/>
          </w:tcBorders>
          <w:vAlign w:val="bottom"/>
        </w:tcPr>
        <w:p w14:paraId="1A092ED3" w14:textId="77777777" w:rsidR="00C303E0" w:rsidRPr="0081383B" w:rsidRDefault="00C303E0" w:rsidP="00354B8C">
          <w:pPr>
            <w:pStyle w:val="Footer"/>
            <w:jc w:val="right"/>
          </w:pPr>
          <w:r w:rsidRPr="0081383B">
            <w:fldChar w:fldCharType="begin"/>
          </w:r>
          <w:r w:rsidRPr="0081383B">
            <w:instrText xml:space="preserve"> PAGE  \* Arabic  \* MERGEFORMAT </w:instrText>
          </w:r>
          <w:r w:rsidRPr="0081383B">
            <w:fldChar w:fldCharType="separate"/>
          </w:r>
          <w:r w:rsidRPr="0081383B">
            <w:t>3</w:t>
          </w:r>
          <w:r w:rsidRPr="0081383B">
            <w:fldChar w:fldCharType="end"/>
          </w:r>
        </w:p>
      </w:tc>
    </w:tr>
  </w:tbl>
  <w:p w14:paraId="1A0F59D1" w14:textId="77777777" w:rsidR="00C303E0" w:rsidRDefault="00C303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DDC8F" w14:textId="77777777" w:rsidR="0066118A" w:rsidRDefault="0066118A" w:rsidP="001A3F5B">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66118A" w14:paraId="62083355" w14:textId="77777777" w:rsidTr="001A3F5B">
      <w:trPr>
        <w:trHeight w:val="340"/>
      </w:trPr>
      <w:tc>
        <w:tcPr>
          <w:tcW w:w="8470" w:type="dxa"/>
          <w:tcBorders>
            <w:top w:val="single" w:sz="4" w:space="0" w:color="6B3077" w:themeColor="accent1"/>
          </w:tcBorders>
          <w:vAlign w:val="bottom"/>
        </w:tcPr>
        <w:p w14:paraId="6613166A" w14:textId="77777777" w:rsidR="0066118A" w:rsidRPr="00354B8C" w:rsidRDefault="0066118A" w:rsidP="001A3F5B">
          <w:pPr>
            <w:pStyle w:val="Footer"/>
          </w:pPr>
          <w:r w:rsidRPr="00354B8C">
            <w:t xml:space="preserve">© AEMO </w:t>
          </w:r>
          <w:r w:rsidRPr="008D1261">
            <w:t>202</w:t>
          </w:r>
          <w:r>
            <w:t>5</w:t>
          </w:r>
          <w:r w:rsidRPr="00354B8C">
            <w:t xml:space="preserve"> | </w:t>
          </w:r>
          <w:r>
            <w:t>Victorian Annual Planning Report</w:t>
          </w:r>
        </w:p>
      </w:tc>
      <w:tc>
        <w:tcPr>
          <w:tcW w:w="1623" w:type="dxa"/>
          <w:tcBorders>
            <w:top w:val="single" w:sz="4" w:space="0" w:color="6B3077" w:themeColor="accent1"/>
          </w:tcBorders>
          <w:vAlign w:val="bottom"/>
        </w:tcPr>
        <w:p w14:paraId="054FD0C1" w14:textId="77777777" w:rsidR="0066118A" w:rsidRDefault="0066118A" w:rsidP="001A3F5B">
          <w:pPr>
            <w:pStyle w:val="Footer"/>
            <w:jc w:val="right"/>
          </w:pPr>
          <w:r>
            <w:fldChar w:fldCharType="begin"/>
          </w:r>
          <w:r>
            <w:instrText xml:space="preserve"> PAGE  \* Arabic  \* MERGEFORMAT </w:instrText>
          </w:r>
          <w:r>
            <w:fldChar w:fldCharType="separate"/>
          </w:r>
          <w:r>
            <w:t>3</w:t>
          </w:r>
          <w:r>
            <w:fldChar w:fldCharType="end"/>
          </w:r>
        </w:p>
      </w:tc>
    </w:tr>
  </w:tbl>
  <w:p w14:paraId="6FA63F0F" w14:textId="77777777" w:rsidR="0066118A" w:rsidRDefault="006611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0CBC4" w14:textId="77777777" w:rsidR="0066118A" w:rsidRDefault="0066118A" w:rsidP="001A3F5B">
    <w:pPr>
      <w:pStyle w:val="Footer"/>
    </w:pPr>
  </w:p>
  <w:tbl>
    <w:tblPr>
      <w:tblStyle w:val="TableGrid"/>
      <w:tblW w:w="0" w:type="auto"/>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96"/>
      <w:gridCol w:w="6350"/>
    </w:tblGrid>
    <w:tr w:rsidR="004703E7" w14:paraId="001735EC" w14:textId="77777777" w:rsidTr="004703E7">
      <w:trPr>
        <w:trHeight w:val="340"/>
      </w:trPr>
      <w:tc>
        <w:tcPr>
          <w:tcW w:w="8496" w:type="dxa"/>
          <w:tcBorders>
            <w:top w:val="single" w:sz="4" w:space="0" w:color="6B3077" w:themeColor="accent1"/>
          </w:tcBorders>
          <w:vAlign w:val="bottom"/>
        </w:tcPr>
        <w:p w14:paraId="25F5DA4C" w14:textId="77777777" w:rsidR="0066118A" w:rsidRPr="00354B8C" w:rsidRDefault="0066118A" w:rsidP="001A3F5B">
          <w:pPr>
            <w:pStyle w:val="Footer"/>
          </w:pPr>
          <w:r w:rsidRPr="00354B8C">
            <w:t xml:space="preserve">© AEMO </w:t>
          </w:r>
          <w:r w:rsidRPr="008D1261">
            <w:t>202</w:t>
          </w:r>
          <w:r>
            <w:t>5</w:t>
          </w:r>
          <w:r w:rsidRPr="00354B8C">
            <w:t xml:space="preserve"> | </w:t>
          </w:r>
          <w:r>
            <w:t>Victorian Annual Planning Report</w:t>
          </w:r>
        </w:p>
      </w:tc>
      <w:tc>
        <w:tcPr>
          <w:tcW w:w="6350" w:type="dxa"/>
          <w:tcBorders>
            <w:top w:val="single" w:sz="4" w:space="0" w:color="6B3077" w:themeColor="accent1"/>
          </w:tcBorders>
          <w:vAlign w:val="bottom"/>
        </w:tcPr>
        <w:p w14:paraId="63C46302" w14:textId="77777777" w:rsidR="0066118A" w:rsidRDefault="0066118A" w:rsidP="001A3F5B">
          <w:pPr>
            <w:pStyle w:val="Footer"/>
            <w:jc w:val="right"/>
          </w:pPr>
          <w:r>
            <w:fldChar w:fldCharType="begin"/>
          </w:r>
          <w:r>
            <w:instrText xml:space="preserve"> PAGE  \* Arabic  \* MERGEFORMAT </w:instrText>
          </w:r>
          <w:r>
            <w:fldChar w:fldCharType="separate"/>
          </w:r>
          <w:r>
            <w:t>3</w:t>
          </w:r>
          <w:r>
            <w:fldChar w:fldCharType="end"/>
          </w:r>
        </w:p>
      </w:tc>
    </w:tr>
  </w:tbl>
  <w:p w14:paraId="157C4B52" w14:textId="77777777" w:rsidR="0066118A" w:rsidRDefault="006611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23FB" w14:textId="77777777" w:rsidR="004703E7" w:rsidRDefault="004703E7" w:rsidP="001A3F5B">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4703E7" w14:paraId="3F8506CA" w14:textId="77777777" w:rsidTr="001A3F5B">
      <w:trPr>
        <w:trHeight w:val="340"/>
      </w:trPr>
      <w:tc>
        <w:tcPr>
          <w:tcW w:w="8470" w:type="dxa"/>
          <w:tcBorders>
            <w:top w:val="single" w:sz="4" w:space="0" w:color="6B3077" w:themeColor="accent1"/>
          </w:tcBorders>
          <w:vAlign w:val="bottom"/>
        </w:tcPr>
        <w:p w14:paraId="6E673D9B" w14:textId="77777777" w:rsidR="004703E7" w:rsidRPr="00354B8C" w:rsidRDefault="004703E7" w:rsidP="001A3F5B">
          <w:pPr>
            <w:pStyle w:val="Footer"/>
          </w:pPr>
          <w:r w:rsidRPr="00354B8C">
            <w:t xml:space="preserve">© AEMO </w:t>
          </w:r>
          <w:r w:rsidRPr="008D1261">
            <w:t>202</w:t>
          </w:r>
          <w:r>
            <w:t>5</w:t>
          </w:r>
          <w:r w:rsidRPr="00354B8C">
            <w:t xml:space="preserve"> | </w:t>
          </w:r>
          <w:r>
            <w:t>Victorian Annual Planning Report</w:t>
          </w:r>
        </w:p>
      </w:tc>
      <w:tc>
        <w:tcPr>
          <w:tcW w:w="1623" w:type="dxa"/>
          <w:tcBorders>
            <w:top w:val="single" w:sz="4" w:space="0" w:color="6B3077" w:themeColor="accent1"/>
          </w:tcBorders>
          <w:vAlign w:val="bottom"/>
        </w:tcPr>
        <w:p w14:paraId="09B35308" w14:textId="77777777" w:rsidR="004703E7" w:rsidRDefault="004703E7" w:rsidP="001A3F5B">
          <w:pPr>
            <w:pStyle w:val="Footer"/>
            <w:jc w:val="right"/>
          </w:pPr>
          <w:r>
            <w:fldChar w:fldCharType="begin"/>
          </w:r>
          <w:r>
            <w:instrText xml:space="preserve"> PAGE  \* Arabic  \* MERGEFORMAT </w:instrText>
          </w:r>
          <w:r>
            <w:fldChar w:fldCharType="separate"/>
          </w:r>
          <w:r>
            <w:t>3</w:t>
          </w:r>
          <w:r>
            <w:fldChar w:fldCharType="end"/>
          </w:r>
        </w:p>
      </w:tc>
    </w:tr>
  </w:tbl>
  <w:p w14:paraId="6D6245A7" w14:textId="77777777" w:rsidR="004703E7" w:rsidRDefault="004703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1A912" w14:textId="77777777" w:rsidR="00A9731B" w:rsidRDefault="00A9731B" w:rsidP="009F5BA9">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A9731B" w:rsidRPr="005B5526" w14:paraId="1A398C2F" w14:textId="77777777" w:rsidTr="001A3F5B">
      <w:trPr>
        <w:trHeight w:val="340"/>
      </w:trPr>
      <w:tc>
        <w:tcPr>
          <w:tcW w:w="8470" w:type="dxa"/>
          <w:tcBorders>
            <w:top w:val="single" w:sz="4" w:space="0" w:color="6B3077" w:themeColor="accent1"/>
          </w:tcBorders>
          <w:vAlign w:val="bottom"/>
        </w:tcPr>
        <w:p w14:paraId="451FE025" w14:textId="66D010A2" w:rsidR="00A9731B" w:rsidRPr="005B5526" w:rsidRDefault="00A9731B">
          <w:pPr>
            <w:pStyle w:val="Footer"/>
          </w:pPr>
          <w:r w:rsidRPr="005B5526">
            <w:t>© AEMO</w:t>
          </w:r>
          <w:r w:rsidR="00890919" w:rsidRPr="005B5526">
            <w:t xml:space="preserve"> </w:t>
          </w:r>
          <w:r w:rsidRPr="005B5526">
            <w:t xml:space="preserve">2025 | </w:t>
          </w:r>
          <w:fldSimple w:instr="STYLEREF  &quot;Cover - Title&quot;  \* MERGEFORMAT">
            <w:r w:rsidR="00764F2A" w:rsidRPr="00764F2A">
              <w:rPr>
                <w:noProof/>
                <w:lang w:val="en-US"/>
              </w:rPr>
              <w:t xml:space="preserve">Victorian Annual Planning </w:t>
            </w:r>
            <w:r w:rsidR="00764F2A">
              <w:rPr>
                <w:noProof/>
              </w:rPr>
              <w:t>Report</w:t>
            </w:r>
          </w:fldSimple>
        </w:p>
      </w:tc>
      <w:tc>
        <w:tcPr>
          <w:tcW w:w="1623" w:type="dxa"/>
          <w:tcBorders>
            <w:top w:val="single" w:sz="4" w:space="0" w:color="6B3077" w:themeColor="accent1"/>
          </w:tcBorders>
          <w:vAlign w:val="bottom"/>
        </w:tcPr>
        <w:p w14:paraId="72E6C5A7" w14:textId="77777777" w:rsidR="00A9731B" w:rsidRPr="005B5526" w:rsidRDefault="00A9731B" w:rsidP="009F5BA9">
          <w:pPr>
            <w:pStyle w:val="Footer"/>
            <w:jc w:val="right"/>
          </w:pPr>
          <w:r w:rsidRPr="005B5526">
            <w:fldChar w:fldCharType="begin"/>
          </w:r>
          <w:r w:rsidRPr="005B5526">
            <w:instrText xml:space="preserve"> PAGE  \* Arabic  \* MERGEFORMAT </w:instrText>
          </w:r>
          <w:r w:rsidRPr="005B5526">
            <w:fldChar w:fldCharType="separate"/>
          </w:r>
          <w:r w:rsidRPr="005B5526">
            <w:t>3</w:t>
          </w:r>
          <w:r w:rsidRPr="005B5526">
            <w:fldChar w:fldCharType="end"/>
          </w:r>
        </w:p>
      </w:tc>
    </w:tr>
  </w:tbl>
  <w:p w14:paraId="2CC3ABEF" w14:textId="77777777" w:rsidR="00A9731B" w:rsidRDefault="00A973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7646B" w14:textId="77777777" w:rsidR="00A9731B" w:rsidRDefault="00A9731B" w:rsidP="009F5BA9">
    <w:pPr>
      <w:pStyle w:val="Footer"/>
    </w:pPr>
  </w:p>
  <w:tbl>
    <w:tblPr>
      <w:tblStyle w:val="TableGrid"/>
      <w:tblW w:w="5000" w:type="pct"/>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70"/>
      <w:gridCol w:w="1623"/>
    </w:tblGrid>
    <w:tr w:rsidR="00A9731B" w:rsidRPr="0083289B" w14:paraId="47D48C6E" w14:textId="77777777" w:rsidTr="001A3F5B">
      <w:trPr>
        <w:trHeight w:val="340"/>
      </w:trPr>
      <w:tc>
        <w:tcPr>
          <w:tcW w:w="8470" w:type="dxa"/>
          <w:tcBorders>
            <w:top w:val="single" w:sz="4" w:space="0" w:color="6B3077" w:themeColor="accent1"/>
          </w:tcBorders>
          <w:vAlign w:val="bottom"/>
        </w:tcPr>
        <w:p w14:paraId="697437D6" w14:textId="77777777" w:rsidR="00A9731B" w:rsidRPr="0083289B" w:rsidRDefault="00A9731B">
          <w:pPr>
            <w:pStyle w:val="Footer"/>
          </w:pPr>
          <w:r w:rsidRPr="0083289B">
            <w:t>© AEMO</w:t>
          </w:r>
          <w:r>
            <w:t xml:space="preserve"> </w:t>
          </w:r>
          <w:r w:rsidRPr="0083289B">
            <w:t>202</w:t>
          </w:r>
          <w:r>
            <w:t>5</w:t>
          </w:r>
          <w:r w:rsidRPr="0083289B">
            <w:t xml:space="preserve"> | </w:t>
          </w:r>
          <w:r>
            <w:t>Victorian Annual Planning Report</w:t>
          </w:r>
        </w:p>
      </w:tc>
      <w:tc>
        <w:tcPr>
          <w:tcW w:w="1623" w:type="dxa"/>
          <w:tcBorders>
            <w:top w:val="single" w:sz="4" w:space="0" w:color="6B3077" w:themeColor="accent1"/>
          </w:tcBorders>
          <w:vAlign w:val="bottom"/>
        </w:tcPr>
        <w:p w14:paraId="2A8EEADB" w14:textId="77777777" w:rsidR="00A9731B" w:rsidRPr="0083289B" w:rsidRDefault="00A9731B" w:rsidP="009F5BA9">
          <w:pPr>
            <w:pStyle w:val="Footer"/>
            <w:jc w:val="right"/>
          </w:pPr>
          <w:r w:rsidRPr="0083289B">
            <w:fldChar w:fldCharType="begin"/>
          </w:r>
          <w:r w:rsidRPr="0083289B">
            <w:instrText xml:space="preserve"> PAGE  \* Arabic  \* MERGEFORMAT </w:instrText>
          </w:r>
          <w:r w:rsidRPr="0083289B">
            <w:fldChar w:fldCharType="separate"/>
          </w:r>
          <w:r w:rsidRPr="0083289B">
            <w:t>3</w:t>
          </w:r>
          <w:r w:rsidRPr="0083289B">
            <w:fldChar w:fldCharType="end"/>
          </w:r>
        </w:p>
      </w:tc>
    </w:tr>
  </w:tbl>
  <w:p w14:paraId="401C2CA1" w14:textId="77777777" w:rsidR="00A9731B" w:rsidRDefault="00A973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865AC" w14:textId="77777777" w:rsidR="00A9731B" w:rsidRDefault="00A9731B" w:rsidP="009F5BA9">
    <w:pPr>
      <w:pStyle w:val="Footer"/>
    </w:pPr>
  </w:p>
  <w:tbl>
    <w:tblPr>
      <w:tblStyle w:val="TableGrid"/>
      <w:tblW w:w="0" w:type="auto"/>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514"/>
      <w:gridCol w:w="2551"/>
    </w:tblGrid>
    <w:tr w:rsidR="00A9731B" w:rsidRPr="0083289B" w14:paraId="53313ABB" w14:textId="77777777" w:rsidTr="001A3F5B">
      <w:trPr>
        <w:trHeight w:val="340"/>
      </w:trPr>
      <w:tc>
        <w:tcPr>
          <w:tcW w:w="12514" w:type="dxa"/>
          <w:tcBorders>
            <w:top w:val="single" w:sz="4" w:space="0" w:color="6B3077" w:themeColor="accent1"/>
          </w:tcBorders>
          <w:vAlign w:val="bottom"/>
        </w:tcPr>
        <w:p w14:paraId="4ED1731E" w14:textId="77777777" w:rsidR="00A9731B" w:rsidRPr="0083289B" w:rsidRDefault="00A9731B">
          <w:pPr>
            <w:pStyle w:val="Footer"/>
          </w:pPr>
          <w:r w:rsidRPr="0083289B">
            <w:t>© AEMO</w:t>
          </w:r>
          <w:r>
            <w:t xml:space="preserve"> </w:t>
          </w:r>
          <w:r w:rsidRPr="0083289B">
            <w:t>202</w:t>
          </w:r>
          <w:r>
            <w:t>5</w:t>
          </w:r>
          <w:r w:rsidRPr="0083289B">
            <w:t xml:space="preserve"> | </w:t>
          </w:r>
          <w:r>
            <w:t>Victorian Annual Planning Report</w:t>
          </w:r>
        </w:p>
      </w:tc>
      <w:tc>
        <w:tcPr>
          <w:tcW w:w="2551" w:type="dxa"/>
          <w:tcBorders>
            <w:top w:val="single" w:sz="4" w:space="0" w:color="6B3077" w:themeColor="accent1"/>
          </w:tcBorders>
          <w:vAlign w:val="bottom"/>
        </w:tcPr>
        <w:p w14:paraId="543A147F" w14:textId="77777777" w:rsidR="00A9731B" w:rsidRPr="0083289B" w:rsidRDefault="00A9731B" w:rsidP="009F5BA9">
          <w:pPr>
            <w:pStyle w:val="Footer"/>
            <w:jc w:val="right"/>
          </w:pPr>
          <w:r w:rsidRPr="0083289B">
            <w:fldChar w:fldCharType="begin"/>
          </w:r>
          <w:r w:rsidRPr="0083289B">
            <w:instrText xml:space="preserve"> PAGE  \* Arabic  \* MERGEFORMAT </w:instrText>
          </w:r>
          <w:r w:rsidRPr="0083289B">
            <w:fldChar w:fldCharType="separate"/>
          </w:r>
          <w:r w:rsidRPr="0083289B">
            <w:t>3</w:t>
          </w:r>
          <w:r w:rsidRPr="0083289B">
            <w:fldChar w:fldCharType="end"/>
          </w:r>
        </w:p>
      </w:tc>
    </w:tr>
  </w:tbl>
  <w:p w14:paraId="22A6F5AC" w14:textId="77777777" w:rsidR="00A9731B" w:rsidRDefault="00A9731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85E7C" w14:textId="77777777" w:rsidR="007F5265" w:rsidRDefault="007F5265" w:rsidP="009F5BA9">
    <w:pPr>
      <w:pStyle w:val="Footer"/>
    </w:pPr>
  </w:p>
  <w:tbl>
    <w:tblPr>
      <w:tblStyle w:val="TableGrid"/>
      <w:tblW w:w="0" w:type="auto"/>
      <w:tblBorders>
        <w:top w:val="single" w:sz="4" w:space="0" w:color="6B3077" w:themeColor="accent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2551"/>
    </w:tblGrid>
    <w:tr w:rsidR="007A1F92" w:rsidRPr="0083289B" w14:paraId="1A813C04" w14:textId="77777777" w:rsidTr="007A1F92">
      <w:trPr>
        <w:trHeight w:val="340"/>
      </w:trPr>
      <w:tc>
        <w:tcPr>
          <w:tcW w:w="7427" w:type="dxa"/>
          <w:tcBorders>
            <w:top w:val="single" w:sz="4" w:space="0" w:color="6B3077" w:themeColor="accent1"/>
          </w:tcBorders>
          <w:vAlign w:val="bottom"/>
        </w:tcPr>
        <w:p w14:paraId="66ADBB52" w14:textId="77777777" w:rsidR="007F5265" w:rsidRPr="0083289B" w:rsidRDefault="007F5265">
          <w:pPr>
            <w:pStyle w:val="Footer"/>
          </w:pPr>
          <w:r w:rsidRPr="0083289B">
            <w:t>© AEMO</w:t>
          </w:r>
          <w:r>
            <w:t xml:space="preserve"> </w:t>
          </w:r>
          <w:r w:rsidRPr="0083289B">
            <w:t>202</w:t>
          </w:r>
          <w:r>
            <w:t>5</w:t>
          </w:r>
          <w:r w:rsidRPr="0083289B">
            <w:t xml:space="preserve"> | </w:t>
          </w:r>
          <w:r>
            <w:t>Victorian Annual Planning Report</w:t>
          </w:r>
        </w:p>
      </w:tc>
      <w:tc>
        <w:tcPr>
          <w:tcW w:w="2551" w:type="dxa"/>
          <w:tcBorders>
            <w:top w:val="single" w:sz="4" w:space="0" w:color="6B3077" w:themeColor="accent1"/>
          </w:tcBorders>
          <w:vAlign w:val="bottom"/>
        </w:tcPr>
        <w:p w14:paraId="31F837CB" w14:textId="77777777" w:rsidR="007F5265" w:rsidRPr="0083289B" w:rsidRDefault="007F5265" w:rsidP="009F5BA9">
          <w:pPr>
            <w:pStyle w:val="Footer"/>
            <w:jc w:val="right"/>
          </w:pPr>
          <w:r w:rsidRPr="0083289B">
            <w:fldChar w:fldCharType="begin"/>
          </w:r>
          <w:r w:rsidRPr="0083289B">
            <w:instrText xml:space="preserve"> PAGE  \* Arabic  \* MERGEFORMAT </w:instrText>
          </w:r>
          <w:r w:rsidRPr="0083289B">
            <w:fldChar w:fldCharType="separate"/>
          </w:r>
          <w:r w:rsidRPr="0083289B">
            <w:t>3</w:t>
          </w:r>
          <w:r w:rsidRPr="0083289B">
            <w:fldChar w:fldCharType="end"/>
          </w:r>
        </w:p>
      </w:tc>
    </w:tr>
  </w:tbl>
  <w:p w14:paraId="6AE8340D" w14:textId="77777777" w:rsidR="007F5265" w:rsidRDefault="007F5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AF9C2" w14:textId="77777777" w:rsidR="003A1357" w:rsidRDefault="003A1357" w:rsidP="008E620E">
      <w:pPr>
        <w:spacing w:before="0" w:after="0" w:line="240" w:lineRule="auto"/>
      </w:pPr>
      <w:r>
        <w:separator/>
      </w:r>
    </w:p>
  </w:footnote>
  <w:footnote w:type="continuationSeparator" w:id="0">
    <w:p w14:paraId="7C8B1C50" w14:textId="77777777" w:rsidR="003A1357" w:rsidRDefault="003A1357" w:rsidP="008E620E">
      <w:pPr>
        <w:spacing w:before="0" w:after="0" w:line="240" w:lineRule="auto"/>
      </w:pPr>
      <w:r>
        <w:continuationSeparator/>
      </w:r>
    </w:p>
  </w:footnote>
  <w:footnote w:type="continuationNotice" w:id="1">
    <w:p w14:paraId="0698AA51" w14:textId="77777777" w:rsidR="003A1357" w:rsidRDefault="003A1357">
      <w:pPr>
        <w:spacing w:before="0" w:after="0" w:line="240" w:lineRule="auto"/>
      </w:pPr>
    </w:p>
  </w:footnote>
  <w:footnote w:id="2">
    <w:p w14:paraId="600443EA" w14:textId="314C54E9" w:rsidR="00857E47" w:rsidRDefault="00857E47" w:rsidP="009677F7">
      <w:pPr>
        <w:pStyle w:val="FootnoteText"/>
      </w:pPr>
      <w:r w:rsidRPr="00CC2AF5">
        <w:rPr>
          <w:rStyle w:val="FootnoteReference"/>
        </w:rPr>
        <w:footnoteRef/>
      </w:r>
      <w:r w:rsidRPr="00CC2AF5">
        <w:t xml:space="preserve"> </w:t>
      </w:r>
      <w:r w:rsidR="00061035" w:rsidRPr="00ED7A32">
        <w:t xml:space="preserve">See </w:t>
      </w:r>
      <w:hyperlink r:id="rId1" w:history="1">
        <w:r w:rsidR="00664719" w:rsidRPr="009677F7">
          <w:rPr>
            <w:rStyle w:val="Hyperlink"/>
          </w:rPr>
          <w:t>https://www.vicgrid.com.au/__data/assets/pdf_file/0029/764840/register_of_large_generator_connections-vic.pdf</w:t>
        </w:r>
      </w:hyperlink>
      <w:r w:rsidR="00DC7CE4" w:rsidRPr="00DC7CE4" w:rsidDel="00DC7CE4">
        <w:t xml:space="preserve"> </w:t>
      </w:r>
    </w:p>
  </w:footnote>
  <w:footnote w:id="3">
    <w:p w14:paraId="47A71595" w14:textId="2A1127DD" w:rsidR="00C67C76" w:rsidRDefault="00C67C76">
      <w:pPr>
        <w:pStyle w:val="FootnoteText"/>
      </w:pPr>
      <w:r>
        <w:rPr>
          <w:rStyle w:val="FootnoteReference"/>
        </w:rPr>
        <w:footnoteRef/>
      </w:r>
      <w:r>
        <w:t xml:space="preserve"> </w:t>
      </w:r>
      <w:r w:rsidR="00481442">
        <w:t>‘</w:t>
      </w:r>
      <w:r>
        <w:t>Committed</w:t>
      </w:r>
      <w:r w:rsidR="00481442">
        <w:t>’</w:t>
      </w:r>
      <w:r>
        <w:t xml:space="preserve"> </w:t>
      </w:r>
      <w:r w:rsidR="002276F8">
        <w:t xml:space="preserve">projects meet </w:t>
      </w:r>
      <w:r w:rsidR="00675E74">
        <w:t>criteria</w:t>
      </w:r>
      <w:r w:rsidR="002276F8">
        <w:t xml:space="preserve"> relating to </w:t>
      </w:r>
      <w:r w:rsidR="002D0259">
        <w:t xml:space="preserve">land, contracts, </w:t>
      </w:r>
      <w:r w:rsidR="00161C7F">
        <w:t>planning approvals</w:t>
      </w:r>
      <w:r w:rsidR="00AC4A69">
        <w:t>, financing</w:t>
      </w:r>
      <w:r w:rsidR="0045174F">
        <w:t xml:space="preserve"> and construction.</w:t>
      </w:r>
    </w:p>
  </w:footnote>
  <w:footnote w:id="4">
    <w:p w14:paraId="0A062D87" w14:textId="0A9657BA" w:rsidR="00790066" w:rsidRDefault="00790066">
      <w:pPr>
        <w:pStyle w:val="FootnoteText"/>
      </w:pPr>
      <w:r>
        <w:rPr>
          <w:rStyle w:val="FootnoteReference"/>
        </w:rPr>
        <w:footnoteRef/>
      </w:r>
      <w:r>
        <w:t xml:space="preserve"> See </w:t>
      </w:r>
      <w:hyperlink r:id="rId2" w:history="1">
        <w:r w:rsidRPr="00790066">
          <w:rPr>
            <w:rStyle w:val="Hyperlink"/>
          </w:rPr>
          <w:t>https://www.aemo.com.au/-/media/Files/Electricity/NEM/Planning_and_Forecasting/Demand-Forecasts/Operational-Consumption-definition.pdf</w:t>
        </w:r>
      </w:hyperlink>
    </w:p>
  </w:footnote>
  <w:footnote w:id="5">
    <w:p w14:paraId="383A575F" w14:textId="49090F03" w:rsidR="003C1E6C" w:rsidRDefault="003C1E6C">
      <w:pPr>
        <w:pStyle w:val="FootnoteText"/>
      </w:pPr>
      <w:r>
        <w:rPr>
          <w:rStyle w:val="FootnoteReference"/>
        </w:rPr>
        <w:footnoteRef/>
      </w:r>
      <w:r>
        <w:t xml:space="preserve"> POE is the </w:t>
      </w:r>
      <w:r w:rsidR="00754611">
        <w:t>stati</w:t>
      </w:r>
      <w:r w:rsidR="00E83A53">
        <w:t xml:space="preserve">stical </w:t>
      </w:r>
      <w:r>
        <w:t xml:space="preserve">likelihood a forecast will be met or exceeded. </w:t>
      </w:r>
      <w:r w:rsidR="00057153">
        <w:t xml:space="preserve">A 10% POE forecast </w:t>
      </w:r>
      <w:r w:rsidR="00FD0122">
        <w:t xml:space="preserve">is </w:t>
      </w:r>
      <w:r w:rsidR="007D2ABA" w:rsidRPr="007D2ABA">
        <w:t xml:space="preserve">expected on average to be exceeded only one year in </w:t>
      </w:r>
      <w:r w:rsidR="00AE0B7C" w:rsidRPr="007D2ABA">
        <w:t>10 and</w:t>
      </w:r>
      <w:r w:rsidR="007D2ABA">
        <w:t xml:space="preserve"> is based on more extreme weather conditions than a </w:t>
      </w:r>
      <w:r w:rsidR="007D2ABA" w:rsidRPr="007D2ABA">
        <w:t>50% forecast</w:t>
      </w:r>
      <w:r w:rsidR="007D2ABA">
        <w:t>, which is</w:t>
      </w:r>
      <w:r w:rsidR="007D2ABA" w:rsidRPr="007D2ABA">
        <w:t xml:space="preserve"> expected to be exceeded one year in two</w:t>
      </w:r>
      <w:r w:rsidR="007D2ABA">
        <w:t>.</w:t>
      </w:r>
      <w:r w:rsidR="0095368D">
        <w:t xml:space="preserve"> </w:t>
      </w:r>
    </w:p>
  </w:footnote>
  <w:footnote w:id="6">
    <w:p w14:paraId="2A668DEC" w14:textId="3F1385BF" w:rsidR="00A069CC" w:rsidRDefault="00A069CC">
      <w:pPr>
        <w:pStyle w:val="FootnoteText"/>
      </w:pPr>
      <w:r>
        <w:rPr>
          <w:rStyle w:val="FootnoteReference"/>
        </w:rPr>
        <w:footnoteRef/>
      </w:r>
      <w:r>
        <w:t xml:space="preserve"> During 2025 the OWEV</w:t>
      </w:r>
      <w:r w:rsidR="0024026B">
        <w:t xml:space="preserve"> capacity auction was delayed</w:t>
      </w:r>
      <w:r w:rsidR="00362548">
        <w:t>,</w:t>
      </w:r>
      <w:r w:rsidR="0024026B">
        <w:t xml:space="preserve"> however </w:t>
      </w:r>
      <w:r w:rsidR="007D51F6">
        <w:t>OWEV ha</w:t>
      </w:r>
      <w:r w:rsidR="00362548">
        <w:t>s</w:t>
      </w:r>
      <w:r w:rsidR="007D51F6">
        <w:t xml:space="preserve"> advised </w:t>
      </w:r>
      <w:r w:rsidR="0040705D">
        <w:t>this delay</w:t>
      </w:r>
      <w:r w:rsidR="0024026B">
        <w:t xml:space="preserve"> is not </w:t>
      </w:r>
      <w:r w:rsidR="00362548">
        <w:t>expected</w:t>
      </w:r>
      <w:r w:rsidR="0024026B">
        <w:t xml:space="preserve"> to impact the overall delivery timeline for the program</w:t>
      </w:r>
      <w:r w:rsidR="00362548">
        <w:t>.</w:t>
      </w:r>
    </w:p>
  </w:footnote>
  <w:footnote w:id="7">
    <w:p w14:paraId="1AF675B5" w14:textId="0D82F647" w:rsidR="007749C1" w:rsidRDefault="007749C1">
      <w:pPr>
        <w:pStyle w:val="FootnoteText"/>
      </w:pPr>
      <w:r>
        <w:rPr>
          <w:rStyle w:val="FootnoteReference"/>
        </w:rPr>
        <w:footnoteRef/>
      </w:r>
      <w:r>
        <w:t xml:space="preserve"> </w:t>
      </w:r>
      <w:r w:rsidR="00400967">
        <w:t xml:space="preserve">See </w:t>
      </w:r>
      <w:hyperlink r:id="rId3" w:history="1">
        <w:r w:rsidR="00400967" w:rsidRPr="00192550">
          <w:rPr>
            <w:rStyle w:val="Hyperlink"/>
          </w:rPr>
          <w:t>https://www.aemo.com.au/consultations/current-and-closed-consultations/ausnet-services-padr-maintain-reliable-transmission-network-services-at-keilor-terminal-station</w:t>
        </w:r>
      </w:hyperlink>
    </w:p>
  </w:footnote>
  <w:footnote w:id="8">
    <w:p w14:paraId="7FA34DA1" w14:textId="73EF5B00" w:rsidR="007749C1" w:rsidRDefault="007749C1">
      <w:pPr>
        <w:pStyle w:val="FootnoteText"/>
      </w:pPr>
      <w:r>
        <w:rPr>
          <w:rStyle w:val="FootnoteReference"/>
        </w:rPr>
        <w:footnoteRef/>
      </w:r>
      <w:r>
        <w:t xml:space="preserve"> </w:t>
      </w:r>
      <w:r w:rsidR="00400967">
        <w:t xml:space="preserve">See </w:t>
      </w:r>
      <w:hyperlink r:id="rId4" w:history="1">
        <w:r w:rsidR="00400967" w:rsidRPr="00192550">
          <w:rPr>
            <w:rStyle w:val="Hyperlink"/>
          </w:rPr>
          <w:t>https://www.aemo.com.au/initiatives/major-programs/western-metropolitan-melbourne-reinforcement</w:t>
        </w:r>
      </w:hyperlink>
    </w:p>
  </w:footnote>
  <w:footnote w:id="9">
    <w:p w14:paraId="34D57BCB" w14:textId="338C2ED3" w:rsidR="0003054F" w:rsidRDefault="0003054F" w:rsidP="0003054F">
      <w:pPr>
        <w:pStyle w:val="FootnoteText"/>
      </w:pPr>
      <w:r>
        <w:rPr>
          <w:rStyle w:val="FootnoteReference"/>
        </w:rPr>
        <w:footnoteRef/>
      </w:r>
      <w:r>
        <w:t xml:space="preserve"> At</w:t>
      </w:r>
      <w:r w:rsidRPr="00B31841">
        <w:t xml:space="preserve"> </w:t>
      </w:r>
      <w:hyperlink r:id="rId5" w:history="1">
        <w:r w:rsidRPr="001253F8">
          <w:rPr>
            <w:rStyle w:val="Hyperlink"/>
          </w:rPr>
          <w:t>https://aemo.com.au/energy-systems/electricity/national-electricity-market-nem/nem-forecasting-and-planning/forecasting-and-planning-data/electricity-forecasting-data-portal</w:t>
        </w:r>
      </w:hyperlink>
    </w:p>
  </w:footnote>
  <w:footnote w:id="10">
    <w:p w14:paraId="7CFAEC7D" w14:textId="74564BC7" w:rsidR="0003054F" w:rsidRDefault="0003054F" w:rsidP="0003054F">
      <w:pPr>
        <w:pStyle w:val="FootnoteText"/>
      </w:pPr>
      <w:r>
        <w:rPr>
          <w:rStyle w:val="FootnoteReference"/>
        </w:rPr>
        <w:footnoteRef/>
      </w:r>
      <w:r>
        <w:t xml:space="preserve"> At </w:t>
      </w:r>
      <w:hyperlink r:id="rId6" w:history="1">
        <w:r w:rsidRPr="00CE613A">
          <w:rPr>
            <w:rStyle w:val="Hyperlink"/>
          </w:rPr>
          <w:t>https://aemo.com.au/en/energy-systems/electricity/national-electricity-market-nem/nem-forecasting-and-planning/forecasting-and-planning-data/generation-information</w:t>
        </w:r>
      </w:hyperlink>
    </w:p>
  </w:footnote>
  <w:footnote w:id="11">
    <w:p w14:paraId="414F7E22" w14:textId="3281EA02" w:rsidR="0003054F" w:rsidRDefault="0003054F" w:rsidP="0003054F">
      <w:pPr>
        <w:pStyle w:val="FootnoteText"/>
      </w:pPr>
      <w:r>
        <w:rPr>
          <w:rStyle w:val="FootnoteReference"/>
        </w:rPr>
        <w:footnoteRef/>
      </w:r>
      <w:r>
        <w:t xml:space="preserve"> At </w:t>
      </w:r>
      <w:hyperlink r:id="rId7" w:history="1">
        <w:r w:rsidR="00AF1A74" w:rsidRPr="009677F7">
          <w:rPr>
            <w:rStyle w:val="Hyperlink"/>
          </w:rPr>
          <w:t>https://www.vicgrid.com.au/__data/assets/pdf_file/0029/764840/register_of_large_generator_connections-vic.pdf</w:t>
        </w:r>
      </w:hyperlink>
    </w:p>
  </w:footnote>
  <w:footnote w:id="12">
    <w:p w14:paraId="21A6A89C" w14:textId="588B42BC" w:rsidR="0003054F" w:rsidRDefault="0003054F" w:rsidP="0003054F">
      <w:pPr>
        <w:pStyle w:val="FootnoteText"/>
      </w:pPr>
      <w:r>
        <w:rPr>
          <w:rStyle w:val="FootnoteReference"/>
        </w:rPr>
        <w:footnoteRef/>
      </w:r>
      <w:r>
        <w:t xml:space="preserve"> At </w:t>
      </w:r>
      <w:hyperlink r:id="rId8" w:history="1">
        <w:r w:rsidRPr="00AF5886">
          <w:rPr>
            <w:rStyle w:val="Hyperlink"/>
          </w:rPr>
          <w:t>https://aemo.com.au/en/energy-systems/electricity/national-electricity-market-nem/nem-forecasting-and-planning/forecasting-and-planning-data/transmission-augmentation-information</w:t>
        </w:r>
      </w:hyperlink>
    </w:p>
  </w:footnote>
  <w:footnote w:id="13">
    <w:p w14:paraId="011F6102" w14:textId="533AA672" w:rsidR="0087228F" w:rsidRDefault="0087228F">
      <w:pPr>
        <w:pStyle w:val="FootnoteText"/>
      </w:pPr>
      <w:r>
        <w:rPr>
          <w:rStyle w:val="FootnoteReference"/>
        </w:rPr>
        <w:footnoteRef/>
      </w:r>
      <w:r>
        <w:t xml:space="preserve"> See </w:t>
      </w:r>
      <w:hyperlink r:id="rId9" w:history="1">
        <w:r w:rsidR="008F49AD" w:rsidRPr="008F49AD">
          <w:rPr>
            <w:rStyle w:val="Hyperlink"/>
          </w:rPr>
          <w:t>https://www.vicgrid.com.au/transmission-planning/victorian-transmission-plan</w:t>
        </w:r>
      </w:hyperlink>
    </w:p>
  </w:footnote>
  <w:footnote w:id="14">
    <w:p w14:paraId="119F1C60" w14:textId="77777777" w:rsidR="0003054F" w:rsidRDefault="0003054F" w:rsidP="0003054F">
      <w:pPr>
        <w:pStyle w:val="FootnoteText"/>
      </w:pPr>
      <w:r>
        <w:rPr>
          <w:rStyle w:val="FootnoteReference"/>
        </w:rPr>
        <w:footnoteRef/>
      </w:r>
      <w:r>
        <w:t xml:space="preserve"> The 2025 VTP took inputs from the 2024 ISP and 2024 ESOO, whereas the 2025 VAPR took inputs from the 2024 ISP and 2025 ESOO, which may lead to some differences.</w:t>
      </w:r>
    </w:p>
  </w:footnote>
  <w:footnote w:id="15">
    <w:p w14:paraId="20104F17" w14:textId="352C2D0B" w:rsidR="0003054F" w:rsidRDefault="0003054F" w:rsidP="0003054F">
      <w:pPr>
        <w:pStyle w:val="FootnoteText"/>
      </w:pPr>
      <w:r>
        <w:rPr>
          <w:rStyle w:val="FootnoteReference"/>
        </w:rPr>
        <w:footnoteRef/>
      </w:r>
      <w:r>
        <w:t xml:space="preserve"> At </w:t>
      </w:r>
      <w:hyperlink r:id="rId10" w:history="1">
        <w:r w:rsidRPr="000266DE">
          <w:rPr>
            <w:rStyle w:val="Hyperlink"/>
          </w:rPr>
          <w:t>https://dapr.ausnetservices.com.au/ausnet_data/2023%20TCPR.pdf</w:t>
        </w:r>
      </w:hyperlink>
    </w:p>
  </w:footnote>
  <w:footnote w:id="16">
    <w:p w14:paraId="2CB6F262" w14:textId="321BCCDC" w:rsidR="0003054F" w:rsidRDefault="0003054F" w:rsidP="0003054F">
      <w:pPr>
        <w:pStyle w:val="FootnoteText"/>
      </w:pPr>
      <w:r>
        <w:rPr>
          <w:rStyle w:val="FootnoteReference"/>
        </w:rPr>
        <w:footnoteRef/>
      </w:r>
      <w:r>
        <w:t xml:space="preserve"> See </w:t>
      </w:r>
      <w:hyperlink r:id="rId11" w:history="1">
        <w:r w:rsidRPr="00310F78">
          <w:rPr>
            <w:rStyle w:val="Hyperlink"/>
          </w:rPr>
          <w:t>https://aemo.com.au/energy-systems/electricity/national-electricity-market-nem/nem-forecasting-and-planning/victorian-planning/victorian-transmission-network-service-provider-role</w:t>
        </w:r>
      </w:hyperlink>
    </w:p>
  </w:footnote>
  <w:footnote w:id="17">
    <w:p w14:paraId="017D68F4" w14:textId="2E6F8653" w:rsidR="0003054F" w:rsidRDefault="0003054F" w:rsidP="0003054F">
      <w:pPr>
        <w:pStyle w:val="FootnoteText"/>
      </w:pPr>
      <w:r>
        <w:rPr>
          <w:rStyle w:val="FootnoteReference"/>
        </w:rPr>
        <w:footnoteRef/>
      </w:r>
      <w:r>
        <w:t xml:space="preserve"> See </w:t>
      </w:r>
      <w:hyperlink r:id="rId12" w:history="1">
        <w:r w:rsidR="001F0432">
          <w:rPr>
            <w:rStyle w:val="Hyperlink"/>
          </w:rPr>
          <w:t>https://www.vicgrid.com.au/about/about-vicgrid</w:t>
        </w:r>
      </w:hyperlink>
    </w:p>
  </w:footnote>
  <w:footnote w:id="18">
    <w:p w14:paraId="433019D4" w14:textId="51E23354" w:rsidR="0003054F" w:rsidRDefault="0003054F" w:rsidP="0003054F">
      <w:pPr>
        <w:pStyle w:val="FootnoteText"/>
      </w:pPr>
      <w:r>
        <w:rPr>
          <w:rStyle w:val="FootnoteReference"/>
        </w:rPr>
        <w:footnoteRef/>
      </w:r>
      <w:r>
        <w:t xml:space="preserve"> See </w:t>
      </w:r>
      <w:hyperlink r:id="rId13" w:history="1">
        <w:r w:rsidRPr="00CF1507">
          <w:rPr>
            <w:rStyle w:val="Hyperlink"/>
          </w:rPr>
          <w:t>https://engage.vic.gov.au/download/document/31853</w:t>
        </w:r>
      </w:hyperlink>
    </w:p>
  </w:footnote>
  <w:footnote w:id="19">
    <w:p w14:paraId="275BB4E8" w14:textId="59E1794C" w:rsidR="0003054F" w:rsidRDefault="0003054F" w:rsidP="0003054F">
      <w:pPr>
        <w:pStyle w:val="FootnoteText"/>
      </w:pPr>
      <w:r>
        <w:rPr>
          <w:rStyle w:val="FootnoteReference"/>
        </w:rPr>
        <w:footnoteRef/>
      </w:r>
      <w:r>
        <w:t xml:space="preserve"> See </w:t>
      </w:r>
      <w:hyperlink r:id="rId14" w:history="1">
        <w:r w:rsidR="00E2588C">
          <w:rPr>
            <w:rStyle w:val="Hyperlink"/>
          </w:rPr>
          <w:t>https://www.vicgrid.com.au/transmission-planning/victorian-transmission-plan</w:t>
        </w:r>
      </w:hyperlink>
    </w:p>
  </w:footnote>
  <w:footnote w:id="20">
    <w:p w14:paraId="0437F3E3" w14:textId="1FF38558" w:rsidR="0003054F" w:rsidRDefault="0003054F" w:rsidP="0003054F">
      <w:pPr>
        <w:pStyle w:val="FootnoteText"/>
      </w:pPr>
      <w:r>
        <w:rPr>
          <w:rStyle w:val="FootnoteReference"/>
        </w:rPr>
        <w:footnoteRef/>
      </w:r>
      <w:r>
        <w:t xml:space="preserve"> At </w:t>
      </w:r>
      <w:hyperlink r:id="rId15" w:history="1">
        <w:r w:rsidR="00051D2F">
          <w:rPr>
            <w:rStyle w:val="Hyperlink"/>
          </w:rPr>
          <w:t>https://www.vicgrid.com.au/transmission-planning/planning-the-energy-grid</w:t>
        </w:r>
      </w:hyperlink>
      <w:r w:rsidR="00051D2F" w:rsidRPr="00051D2F" w:rsidDel="00131BF3">
        <w:t xml:space="preserve"> </w:t>
      </w:r>
    </w:p>
  </w:footnote>
  <w:footnote w:id="21">
    <w:p w14:paraId="73B4529E" w14:textId="6432041A" w:rsidR="0066118A" w:rsidRDefault="0066118A" w:rsidP="0066118A">
      <w:pPr>
        <w:pStyle w:val="FootnoteText"/>
      </w:pPr>
      <w:r>
        <w:rPr>
          <w:rStyle w:val="FootnoteReference"/>
        </w:rPr>
        <w:footnoteRef/>
      </w:r>
      <w:r>
        <w:t xml:space="preserve"> </w:t>
      </w:r>
      <w:r w:rsidR="000B0F81">
        <w:t>See</w:t>
      </w:r>
      <w:r w:rsidR="005C154F">
        <w:t xml:space="preserve"> 2024 </w:t>
      </w:r>
      <w:r w:rsidR="00B07AAD" w:rsidRPr="00B07AAD">
        <w:t>VAPR</w:t>
      </w:r>
      <w:r w:rsidR="005C154F">
        <w:t xml:space="preserve"> at</w:t>
      </w:r>
      <w:r w:rsidR="000B0F81">
        <w:t xml:space="preserve"> </w:t>
      </w:r>
      <w:hyperlink r:id="rId16" w:history="1">
        <w:r w:rsidR="003D7331" w:rsidRPr="009677F7">
          <w:rPr>
            <w:rStyle w:val="Hyperlink"/>
          </w:rPr>
          <w:t>https://www.vicgrid.com.au/__data/assets/pdf_file/0027/763119/2024-victorian-annual-planning-report.pdf</w:t>
        </w:r>
      </w:hyperlink>
    </w:p>
  </w:footnote>
  <w:footnote w:id="22">
    <w:p w14:paraId="67D26DC8" w14:textId="13F80A8F" w:rsidR="0066118A" w:rsidRDefault="0066118A" w:rsidP="0066118A">
      <w:pPr>
        <w:pStyle w:val="FootnoteText"/>
      </w:pPr>
      <w:r>
        <w:rPr>
          <w:rStyle w:val="FootnoteReference"/>
        </w:rPr>
        <w:footnoteRef/>
      </w:r>
      <w:r>
        <w:t xml:space="preserve"> See </w:t>
      </w:r>
      <w:hyperlink r:id="rId17" w:history="1">
        <w:r>
          <w:rPr>
            <w:rStyle w:val="Hyperlink"/>
          </w:rPr>
          <w:t>https://www.aemo.com.au/energy-systems/electricity/national-electricity-market-nem/nem-forecasting-and-planning/forecasting-and-reliability/nem-electricity-statement-of-opportunities-esoo</w:t>
        </w:r>
      </w:hyperlink>
    </w:p>
  </w:footnote>
  <w:footnote w:id="23">
    <w:p w14:paraId="0ECA9190" w14:textId="2E1948C0" w:rsidR="0066118A" w:rsidRDefault="0066118A" w:rsidP="0066118A">
      <w:pPr>
        <w:pStyle w:val="FootnoteText"/>
      </w:pPr>
      <w:r>
        <w:rPr>
          <w:rStyle w:val="FootnoteReference"/>
        </w:rPr>
        <w:footnoteRef/>
      </w:r>
      <w:r>
        <w:t xml:space="preserve"> See </w:t>
      </w:r>
      <w:hyperlink r:id="rId18" w:history="1">
        <w:r w:rsidRPr="00B37812">
          <w:rPr>
            <w:rStyle w:val="Hyperlink"/>
          </w:rPr>
          <w:t>https://aemo.com.au/en/energy-systems/major-publications/integrated-system-plan-isp/2024-integrated-system-plan-isp</w:t>
        </w:r>
      </w:hyperlink>
    </w:p>
  </w:footnote>
  <w:footnote w:id="24">
    <w:p w14:paraId="0C3EF71D" w14:textId="7FFE22E5" w:rsidR="0066118A" w:rsidRDefault="0066118A" w:rsidP="0066118A">
      <w:pPr>
        <w:pStyle w:val="FootnoteText"/>
      </w:pPr>
      <w:r>
        <w:rPr>
          <w:rStyle w:val="FootnoteReference"/>
        </w:rPr>
        <w:footnoteRef/>
      </w:r>
      <w:r>
        <w:t xml:space="preserve"> </w:t>
      </w:r>
      <w:r w:rsidRPr="00DE4BA4">
        <w:t xml:space="preserve">For more information on reverse power flows, see the 2025 </w:t>
      </w:r>
      <w:r w:rsidRPr="00DE4BA4">
        <w:rPr>
          <w:i/>
        </w:rPr>
        <w:t>Victorian Network Performance and Insights Report</w:t>
      </w:r>
      <w:r w:rsidR="004A06B2">
        <w:t xml:space="preserve"> (VNPIR)</w:t>
      </w:r>
      <w:r w:rsidRPr="00DE4BA4">
        <w:t xml:space="preserve"> at </w:t>
      </w:r>
      <w:hyperlink r:id="rId19" w:history="1">
        <w:r w:rsidR="0034673B" w:rsidRPr="00976A3E">
          <w:rPr>
            <w:rStyle w:val="Hyperlink"/>
          </w:rPr>
          <w:t>https://www.vicgrid.com.au/__data/assets/pdf_file/0023/769100/2025-Victorian-Network-Performance-and-Insights-Report.pdf</w:t>
        </w:r>
      </w:hyperlink>
    </w:p>
  </w:footnote>
  <w:footnote w:id="25">
    <w:p w14:paraId="51DCDBDB" w14:textId="77777777" w:rsidR="00673A2E" w:rsidRDefault="00DF23C1" w:rsidP="00673A2E">
      <w:pPr>
        <w:pStyle w:val="FootnoteText"/>
      </w:pPr>
      <w:r>
        <w:rPr>
          <w:rStyle w:val="FootnoteReference"/>
        </w:rPr>
        <w:footnoteRef/>
      </w:r>
      <w:r>
        <w:t xml:space="preserve"> </w:t>
      </w:r>
      <w:r w:rsidR="00673A2E">
        <w:t xml:space="preserve">For more information on MSL see: </w:t>
      </w:r>
      <w:hyperlink r:id="rId20" w:history="1">
        <w:r w:rsidR="00673A2E" w:rsidRPr="003C268B">
          <w:rPr>
            <w:rStyle w:val="Hyperlink"/>
          </w:rPr>
          <w:t>https://www.aemo.com.au/-/media/files/initiatives/der/managing-minimum-system-load/supporting-secure-operation-with-high-levels-of-distributed-resources-q4-2024.pdf?la=en</w:t>
        </w:r>
      </w:hyperlink>
    </w:p>
    <w:p w14:paraId="00F42038" w14:textId="20EB4AA9" w:rsidR="00DF23C1" w:rsidRDefault="00673A2E" w:rsidP="00673A2E">
      <w:pPr>
        <w:pStyle w:val="FootnoteText"/>
      </w:pPr>
      <w:r>
        <w:t xml:space="preserve">And </w:t>
      </w:r>
      <w:hyperlink r:id="rId21" w:history="1">
        <w:r w:rsidRPr="003C268B">
          <w:rPr>
            <w:rStyle w:val="Hyperlink"/>
          </w:rPr>
          <w:t>https://www.aemo.com.au/initiatives/major-programs/nem-distributed-energy-resources-der-program/managing-distributed-energy-resources-in-operations/managing-minimum-system-load</w:t>
        </w:r>
      </w:hyperlink>
    </w:p>
  </w:footnote>
  <w:footnote w:id="26">
    <w:p w14:paraId="669AD70B" w14:textId="383DC0E2" w:rsidR="0066118A" w:rsidRDefault="0066118A" w:rsidP="0066118A">
      <w:pPr>
        <w:pStyle w:val="FootnoteText"/>
      </w:pPr>
      <w:r>
        <w:rPr>
          <w:rStyle w:val="FootnoteReference"/>
        </w:rPr>
        <w:footnoteRef/>
      </w:r>
      <w:r>
        <w:t xml:space="preserve"> See </w:t>
      </w:r>
      <w:hyperlink r:id="rId22" w:history="1">
        <w:r w:rsidR="00E2588C">
          <w:rPr>
            <w:rStyle w:val="Hyperlink"/>
          </w:rPr>
          <w:t>https://www.vicgrid.com.au/transmission-planning/victorian-transmission-plan</w:t>
        </w:r>
      </w:hyperlink>
    </w:p>
  </w:footnote>
  <w:footnote w:id="27">
    <w:p w14:paraId="5D38B416" w14:textId="4C979034" w:rsidR="0066118A" w:rsidRDefault="0066118A" w:rsidP="0066118A">
      <w:pPr>
        <w:pStyle w:val="FootnoteText"/>
      </w:pPr>
      <w:r>
        <w:rPr>
          <w:rStyle w:val="FootnoteReference"/>
        </w:rPr>
        <w:footnoteRef/>
      </w:r>
      <w:r>
        <w:t xml:space="preserve"> </w:t>
      </w:r>
      <w:r w:rsidRPr="008300BF">
        <w:t xml:space="preserve">See </w:t>
      </w:r>
      <w:hyperlink r:id="rId23" w:history="1">
        <w:r>
          <w:rPr>
            <w:rStyle w:val="Hyperlink"/>
          </w:rPr>
          <w:t>https://aemo.com.au/-/media/files/electricity/nem/security_and_reliability/system_security_planning/2024-inertia-report.pdf</w:t>
        </w:r>
      </w:hyperlink>
    </w:p>
  </w:footnote>
  <w:footnote w:id="28">
    <w:p w14:paraId="636189D4" w14:textId="0E31C904" w:rsidR="0066118A" w:rsidRDefault="0066118A" w:rsidP="0066118A">
      <w:pPr>
        <w:pStyle w:val="FootnoteText"/>
      </w:pPr>
      <w:r w:rsidRPr="00C57D9A">
        <w:rPr>
          <w:rStyle w:val="FootnoteReference"/>
        </w:rPr>
        <w:footnoteRef/>
      </w:r>
      <w:r w:rsidRPr="00C57D9A">
        <w:t xml:space="preserve"> See </w:t>
      </w:r>
      <w:hyperlink r:id="rId24" w:history="1">
        <w:r w:rsidRPr="00C57D9A">
          <w:rPr>
            <w:rStyle w:val="Hyperlink"/>
          </w:rPr>
          <w:t>https://engage.vic.gov.au/download/document/31853</w:t>
        </w:r>
      </w:hyperlink>
    </w:p>
  </w:footnote>
  <w:footnote w:id="29">
    <w:p w14:paraId="2FF1820D" w14:textId="319DAB2A" w:rsidR="0066118A" w:rsidRDefault="0066118A" w:rsidP="0066118A">
      <w:pPr>
        <w:pStyle w:val="FootnoteText"/>
      </w:pPr>
      <w:r>
        <w:rPr>
          <w:rStyle w:val="FootnoteReference"/>
        </w:rPr>
        <w:footnoteRef/>
      </w:r>
      <w:r>
        <w:t xml:space="preserve"> See </w:t>
      </w:r>
      <w:hyperlink r:id="rId25" w:history="1">
        <w:r w:rsidR="005B2BFC" w:rsidRPr="005B2BFC">
          <w:rPr>
            <w:rStyle w:val="Hyperlink"/>
          </w:rPr>
          <w:t>https://www.vicgrid.com.au/__data/assets/pdf_file/0032/761396/2025-victorian-transmission-plan.pdf</w:t>
        </w:r>
      </w:hyperlink>
    </w:p>
  </w:footnote>
  <w:footnote w:id="30">
    <w:p w14:paraId="58B6CAE0" w14:textId="781EF39E" w:rsidR="00DA385C" w:rsidRDefault="0066118A" w:rsidP="002A130B">
      <w:pPr>
        <w:pStyle w:val="FootnoteText"/>
      </w:pPr>
      <w:r>
        <w:rPr>
          <w:rStyle w:val="FootnoteReference"/>
        </w:rPr>
        <w:footnoteRef/>
      </w:r>
      <w:r>
        <w:t xml:space="preserve"> See </w:t>
      </w:r>
      <w:hyperlink r:id="rId26" w:history="1">
        <w:r w:rsidR="00DA385C" w:rsidRPr="00DA385C">
          <w:rPr>
            <w:rStyle w:val="Hyperlink"/>
          </w:rPr>
          <w:t>https://www.vicgrid.com.au/__data/assets/pdf_file/0036/762993/victorian-renewable-energy-zones-development-plan-directions-paper.pdf</w:t>
        </w:r>
      </w:hyperlink>
    </w:p>
  </w:footnote>
  <w:footnote w:id="31">
    <w:p w14:paraId="186A4373" w14:textId="206CBF47" w:rsidR="003558A1" w:rsidRDefault="003558A1">
      <w:pPr>
        <w:pStyle w:val="FootnoteText"/>
      </w:pPr>
      <w:r>
        <w:rPr>
          <w:rStyle w:val="FootnoteReference"/>
        </w:rPr>
        <w:footnoteRef/>
      </w:r>
      <w:r>
        <w:t xml:space="preserve"> During 2025 the OWEV capacity auction was delayed</w:t>
      </w:r>
      <w:r w:rsidR="00485FAB">
        <w:t>,</w:t>
      </w:r>
      <w:r>
        <w:t xml:space="preserve"> however </w:t>
      </w:r>
      <w:r w:rsidR="00E70F47">
        <w:t>OWEV has advised this delay</w:t>
      </w:r>
      <w:r>
        <w:t xml:space="preserve"> is not </w:t>
      </w:r>
      <w:r w:rsidR="00485FAB">
        <w:t>expected</w:t>
      </w:r>
      <w:r>
        <w:t xml:space="preserve"> to impact the overall delivery timeline for the program</w:t>
      </w:r>
      <w:r w:rsidR="00485FAB">
        <w:t>.</w:t>
      </w:r>
    </w:p>
  </w:footnote>
  <w:footnote w:id="32">
    <w:p w14:paraId="115254C3" w14:textId="110A2C1C" w:rsidR="0066118A" w:rsidRDefault="0066118A" w:rsidP="0066118A">
      <w:pPr>
        <w:pStyle w:val="FootnoteText"/>
      </w:pPr>
      <w:r>
        <w:rPr>
          <w:rStyle w:val="FootnoteReference"/>
        </w:rPr>
        <w:footnoteRef/>
      </w:r>
      <w:r>
        <w:t xml:space="preserve"> See </w:t>
      </w:r>
      <w:hyperlink r:id="rId27" w:history="1">
        <w:r w:rsidRPr="005E5253">
          <w:rPr>
            <w:rStyle w:val="Hyperlink"/>
          </w:rPr>
          <w:t>https://www.energy.vic.gov.au/renewable-energy/vicgrid/offshore-wind-transmission</w:t>
        </w:r>
      </w:hyperlink>
    </w:p>
  </w:footnote>
  <w:footnote w:id="33">
    <w:p w14:paraId="1E8A8898" w14:textId="0F813B18" w:rsidR="0066118A" w:rsidRDefault="0066118A" w:rsidP="0066118A">
      <w:pPr>
        <w:pStyle w:val="FootnoteText"/>
      </w:pPr>
      <w:r>
        <w:rPr>
          <w:rStyle w:val="FootnoteReference"/>
        </w:rPr>
        <w:footnoteRef/>
      </w:r>
      <w:r>
        <w:t xml:space="preserve"> See </w:t>
      </w:r>
      <w:hyperlink r:id="rId28" w:history="1">
        <w:r w:rsidRPr="00323725">
          <w:rPr>
            <w:rStyle w:val="Hyperlink"/>
          </w:rPr>
          <w:t>https://www.energy.vic.gov.au/renewable-energy/victorian-renewable-energy-and-storage-targets/victorian-renewable-energy-target-auction-vret2</w:t>
        </w:r>
      </w:hyperlink>
    </w:p>
  </w:footnote>
  <w:footnote w:id="34">
    <w:p w14:paraId="43A6FB32" w14:textId="77777777" w:rsidR="0066118A" w:rsidRPr="00580340" w:rsidRDefault="0066118A" w:rsidP="0066118A">
      <w:pPr>
        <w:pStyle w:val="FootnoteText"/>
        <w:rPr>
          <w:color w:val="auto"/>
        </w:rPr>
      </w:pPr>
      <w:r w:rsidRPr="00364FDF">
        <w:rPr>
          <w:rStyle w:val="FootnoteReference"/>
          <w:szCs w:val="18"/>
        </w:rPr>
        <w:footnoteRef/>
      </w:r>
      <w:r>
        <w:t xml:space="preserve"> </w:t>
      </w:r>
      <w:r w:rsidRPr="00DA4E98">
        <w:t>Projects are considered unconditional when all the condition precedents have been met.</w:t>
      </w:r>
    </w:p>
  </w:footnote>
  <w:footnote w:id="35">
    <w:p w14:paraId="77FF8E0B" w14:textId="77777777" w:rsidR="0066118A" w:rsidRDefault="0066118A" w:rsidP="0066118A">
      <w:pPr>
        <w:pStyle w:val="FootnoteText"/>
      </w:pPr>
      <w:r>
        <w:rPr>
          <w:rStyle w:val="FootnoteReference"/>
        </w:rPr>
        <w:footnoteRef/>
      </w:r>
      <w:r>
        <w:t xml:space="preserve"> When commissioning new or upgraded </w:t>
      </w:r>
      <w:r>
        <w:rPr>
          <w:i/>
        </w:rPr>
        <w:t>plant</w:t>
      </w:r>
      <w:r>
        <w:t xml:space="preserve"> for the first time or making a change to </w:t>
      </w:r>
      <w:r>
        <w:rPr>
          <w:i/>
        </w:rPr>
        <w:t>control system</w:t>
      </w:r>
      <w:r>
        <w:t xml:space="preserve"> settings or mode of operation Hold Points are generally required, whereby the </w:t>
      </w:r>
      <w:r>
        <w:rPr>
          <w:i/>
        </w:rPr>
        <w:t>generating system’s</w:t>
      </w:r>
      <w:r>
        <w:t xml:space="preserve"> overall output is constrained to a pre-defined megawatt level, which increases following successful completion of each level.  </w:t>
      </w:r>
    </w:p>
  </w:footnote>
  <w:footnote w:id="36">
    <w:p w14:paraId="5BBBF8F9" w14:textId="77777777" w:rsidR="00AE6E51" w:rsidRDefault="00AE6E51" w:rsidP="00AE6E51">
      <w:pPr>
        <w:pStyle w:val="FootnoteText"/>
      </w:pPr>
      <w:r>
        <w:rPr>
          <w:rStyle w:val="FootnoteReference"/>
        </w:rPr>
        <w:footnoteRef/>
      </w:r>
      <w:r>
        <w:t xml:space="preserve"> The 2025 VAPR included both large-scale and distributed generation connections in its assessment criteria (NER 5.18A). </w:t>
      </w:r>
    </w:p>
  </w:footnote>
  <w:footnote w:id="37">
    <w:p w14:paraId="554B5A32" w14:textId="3FC001FF" w:rsidR="00AE6E51" w:rsidRDefault="00AE6E51" w:rsidP="00AE6E51">
      <w:pPr>
        <w:pStyle w:val="FootnoteText"/>
      </w:pPr>
      <w:r>
        <w:rPr>
          <w:rStyle w:val="FootnoteReference"/>
        </w:rPr>
        <w:footnoteRef/>
      </w:r>
      <w:r>
        <w:t xml:space="preserve"> See </w:t>
      </w:r>
      <w:hyperlink r:id="rId29" w:history="1">
        <w:r w:rsidR="008E06B0" w:rsidRPr="00976A3E">
          <w:rPr>
            <w:rStyle w:val="Hyperlink"/>
          </w:rPr>
          <w:t>https://www.vicgrid.com.au/__data/assets/pdf_file/0029/764840/register_of_large_generator_connections-vic.pdf</w:t>
        </w:r>
      </w:hyperlink>
    </w:p>
  </w:footnote>
  <w:footnote w:id="38">
    <w:p w14:paraId="577C19AE" w14:textId="45560DC5" w:rsidR="0066118A" w:rsidRDefault="0066118A" w:rsidP="0066118A">
      <w:pPr>
        <w:pStyle w:val="FootnoteText"/>
      </w:pPr>
      <w:r>
        <w:rPr>
          <w:rStyle w:val="FootnoteReference"/>
        </w:rPr>
        <w:footnoteRef/>
      </w:r>
      <w:r>
        <w:t xml:space="preserve"> At </w:t>
      </w:r>
      <w:hyperlink r:id="rId30" w:history="1">
        <w:r w:rsidR="004360A6" w:rsidRPr="00976A3E">
          <w:rPr>
            <w:rStyle w:val="Hyperlink"/>
          </w:rPr>
          <w:t>https://www.vicgrid.com.au/__data/assets/pdf_file/0023/769100/2025-Victorian-Network-Performance-and-Insights-Report.pdf</w:t>
        </w:r>
      </w:hyperlink>
    </w:p>
  </w:footnote>
  <w:footnote w:id="39">
    <w:p w14:paraId="4EF20259" w14:textId="4142480A" w:rsidR="0066118A" w:rsidRDefault="0066118A" w:rsidP="0066118A">
      <w:pPr>
        <w:pStyle w:val="FootnoteText"/>
      </w:pPr>
      <w:r>
        <w:rPr>
          <w:rStyle w:val="FootnoteReference"/>
        </w:rPr>
        <w:footnoteRef/>
      </w:r>
      <w:r>
        <w:t xml:space="preserve"> See </w:t>
      </w:r>
      <w:hyperlink r:id="rId31" w:history="1">
        <w:r w:rsidR="000435BF">
          <w:rPr>
            <w:rStyle w:val="Hyperlink"/>
          </w:rPr>
          <w:t>https://www.aemo.com.au/-/media/files/electricity/nem/planning_and_forecasting/nem_esoo/2025/2025-electricity-statement-of-opportunities.pdf</w:t>
        </w:r>
      </w:hyperlink>
    </w:p>
  </w:footnote>
  <w:footnote w:id="40">
    <w:p w14:paraId="3550FDE1" w14:textId="2B4C30DC" w:rsidR="0066118A" w:rsidRDefault="0066118A" w:rsidP="0066118A">
      <w:pPr>
        <w:pStyle w:val="FootnoteText"/>
      </w:pPr>
      <w:r>
        <w:rPr>
          <w:rStyle w:val="FootnoteReference"/>
        </w:rPr>
        <w:footnoteRef/>
      </w:r>
      <w:r>
        <w:t xml:space="preserve"> For demand definitions, see </w:t>
      </w:r>
      <w:hyperlink r:id="rId32" w:history="1">
        <w:r w:rsidRPr="00C06A8F">
          <w:rPr>
            <w:rStyle w:val="Hyperlink"/>
          </w:rPr>
          <w:t>https://www.aemo.com.au/-/media/Files/Electricity/NEM/Planning_and_Forecasting/Demand-Forecasts/Operational-Consumption-definition.pdf</w:t>
        </w:r>
      </w:hyperlink>
    </w:p>
  </w:footnote>
  <w:footnote w:id="41">
    <w:p w14:paraId="7F2869A4" w14:textId="7950787A" w:rsidR="0066118A" w:rsidRDefault="0066118A" w:rsidP="0066118A">
      <w:pPr>
        <w:pStyle w:val="FootnoteText"/>
      </w:pPr>
      <w:r>
        <w:rPr>
          <w:rStyle w:val="FootnoteReference"/>
        </w:rPr>
        <w:footnoteRef/>
      </w:r>
      <w:r>
        <w:t xml:space="preserve"> </w:t>
      </w:r>
      <w:r w:rsidR="004A2A54">
        <w:t>See</w:t>
      </w:r>
      <w:r w:rsidR="004F73FE" w:rsidRPr="00DE4BA4">
        <w:t xml:space="preserve"> </w:t>
      </w:r>
      <w:hyperlink r:id="rId33" w:history="1">
        <w:r w:rsidR="000C1127" w:rsidRPr="00976A3E">
          <w:rPr>
            <w:rStyle w:val="Hyperlink"/>
          </w:rPr>
          <w:t>https://www.vicgrid.com.au/__data/assets/pdf_file/0023/769100/2025-Victorian-Network-Performance-and-Insights-Report.pdf</w:t>
        </w:r>
      </w:hyperlink>
    </w:p>
  </w:footnote>
  <w:footnote w:id="42">
    <w:p w14:paraId="42A33437" w14:textId="1B786BA2" w:rsidR="00D548D7" w:rsidRDefault="00D548D7" w:rsidP="00D548D7">
      <w:pPr>
        <w:pStyle w:val="FootnoteText"/>
      </w:pPr>
      <w:r>
        <w:rPr>
          <w:rStyle w:val="FootnoteReference"/>
        </w:rPr>
        <w:footnoteRef/>
      </w:r>
      <w:r>
        <w:t xml:space="preserve"> </w:t>
      </w:r>
      <w:r w:rsidR="00E44779">
        <w:t>See</w:t>
      </w:r>
      <w:r w:rsidRPr="00DE4BA4">
        <w:t xml:space="preserve"> </w:t>
      </w:r>
      <w:hyperlink r:id="rId34" w:history="1">
        <w:r w:rsidR="000C1127" w:rsidRPr="00976A3E">
          <w:rPr>
            <w:rStyle w:val="Hyperlink"/>
          </w:rPr>
          <w:t>https://www.vicgrid.com.au/__data/assets/pdf_file/0023/769100/2025-Victorian-Network-Performance-and-Insights-Report.pdf</w:t>
        </w:r>
      </w:hyperlink>
    </w:p>
  </w:footnote>
  <w:footnote w:id="43">
    <w:p w14:paraId="0D5E93CA" w14:textId="77777777" w:rsidR="0066118A" w:rsidRDefault="0066118A" w:rsidP="0066118A">
      <w:pPr>
        <w:pStyle w:val="FootnoteText"/>
      </w:pPr>
      <w:r>
        <w:rPr>
          <w:rStyle w:val="FootnoteReference"/>
        </w:rPr>
        <w:footnoteRef/>
      </w:r>
      <w:r>
        <w:t xml:space="preserve"> Distributed PV, small non-scheduled generation and hydrogen production.</w:t>
      </w:r>
    </w:p>
  </w:footnote>
  <w:footnote w:id="44">
    <w:p w14:paraId="005872AB" w14:textId="3FC427AF" w:rsidR="0066118A" w:rsidRDefault="0066118A" w:rsidP="0066118A">
      <w:pPr>
        <w:pStyle w:val="FootnoteText"/>
      </w:pPr>
      <w:r>
        <w:rPr>
          <w:rStyle w:val="FootnoteReference"/>
        </w:rPr>
        <w:footnoteRef/>
      </w:r>
      <w:r>
        <w:t xml:space="preserve"> See </w:t>
      </w:r>
      <w:hyperlink r:id="rId35" w:history="1">
        <w:r w:rsidRPr="00184540">
          <w:rPr>
            <w:rStyle w:val="Hyperlink"/>
          </w:rPr>
          <w:t>https://www.energy.vic.gov.au/households/electric-and-efficiency-standards-for-buildings</w:t>
        </w:r>
      </w:hyperlink>
    </w:p>
  </w:footnote>
  <w:footnote w:id="45">
    <w:p w14:paraId="5C33CC22" w14:textId="032EC571" w:rsidR="0066118A" w:rsidRDefault="0066118A" w:rsidP="0066118A">
      <w:pPr>
        <w:pStyle w:val="FootnoteText"/>
      </w:pPr>
      <w:r>
        <w:rPr>
          <w:rStyle w:val="FootnoteReference"/>
        </w:rPr>
        <w:footnoteRef/>
      </w:r>
      <w:r>
        <w:t xml:space="preserve"> See </w:t>
      </w:r>
      <w:hyperlink r:id="rId36" w:history="1">
        <w:r w:rsidRPr="006944C7">
          <w:rPr>
            <w:rStyle w:val="Hyperlink"/>
          </w:rPr>
          <w:t>https://www.energy.vic.gov.au/victorian-energy-upgrades/about</w:t>
        </w:r>
      </w:hyperlink>
    </w:p>
  </w:footnote>
  <w:footnote w:id="46">
    <w:p w14:paraId="4A2B0F2A" w14:textId="54D643B7" w:rsidR="0066118A" w:rsidRDefault="0066118A" w:rsidP="0066118A">
      <w:pPr>
        <w:pStyle w:val="FootnoteText"/>
      </w:pPr>
      <w:r>
        <w:rPr>
          <w:rStyle w:val="FootnoteReference"/>
        </w:rPr>
        <w:footnoteRef/>
      </w:r>
      <w:r>
        <w:t xml:space="preserve"> See </w:t>
      </w:r>
      <w:hyperlink r:id="rId37" w:history="1">
        <w:r w:rsidRPr="001105CA">
          <w:rPr>
            <w:rStyle w:val="Hyperlink"/>
          </w:rPr>
          <w:t>https://www.solar.vic.gov.au/solar-homes-program</w:t>
        </w:r>
      </w:hyperlink>
    </w:p>
  </w:footnote>
  <w:footnote w:id="47">
    <w:p w14:paraId="70F1AC2D" w14:textId="24E5EF7A" w:rsidR="0066118A" w:rsidRDefault="0066118A" w:rsidP="0066118A">
      <w:pPr>
        <w:pStyle w:val="FootnoteText"/>
      </w:pPr>
      <w:r>
        <w:rPr>
          <w:rStyle w:val="FootnoteReference"/>
        </w:rPr>
        <w:footnoteRef/>
      </w:r>
      <w:r>
        <w:t xml:space="preserve"> See </w:t>
      </w:r>
      <w:hyperlink r:id="rId38" w:history="1">
        <w:r w:rsidRPr="00C2052F">
          <w:rPr>
            <w:rStyle w:val="Hyperlink"/>
          </w:rPr>
          <w:t>https://www.pm.gov.au/media/meeting-national-cabinet-working-together-deliver-better-housing-outcomes</w:t>
        </w:r>
      </w:hyperlink>
    </w:p>
  </w:footnote>
  <w:footnote w:id="48">
    <w:p w14:paraId="02672619" w14:textId="1567FD83" w:rsidR="0066118A" w:rsidRDefault="0066118A" w:rsidP="0066118A">
      <w:pPr>
        <w:pStyle w:val="FootnoteText"/>
      </w:pPr>
      <w:r>
        <w:rPr>
          <w:rStyle w:val="FootnoteReference"/>
        </w:rPr>
        <w:footnoteRef/>
      </w:r>
      <w:r>
        <w:t xml:space="preserve"> See </w:t>
      </w:r>
      <w:hyperlink r:id="rId39" w:history="1">
        <w:r w:rsidRPr="00C06A8F">
          <w:rPr>
            <w:rStyle w:val="Hyperlink"/>
          </w:rPr>
          <w:t>https://www.legislation.gov.au/C2024A00034/asmade/text</w:t>
        </w:r>
      </w:hyperlink>
    </w:p>
  </w:footnote>
  <w:footnote w:id="49">
    <w:p w14:paraId="4A2D485A" w14:textId="3220CCD5" w:rsidR="0066118A" w:rsidRDefault="0066118A" w:rsidP="0066118A">
      <w:pPr>
        <w:pStyle w:val="FootnoteText"/>
      </w:pPr>
      <w:r>
        <w:rPr>
          <w:rStyle w:val="FootnoteReference"/>
        </w:rPr>
        <w:footnoteRef/>
      </w:r>
      <w:r>
        <w:t xml:space="preserve"> </w:t>
      </w:r>
      <w:r w:rsidR="005143C4">
        <w:t xml:space="preserve">See </w:t>
      </w:r>
      <w:r>
        <w:t xml:space="preserve">2025 ESOO, at </w:t>
      </w:r>
      <w:hyperlink r:id="rId40" w:history="1">
        <w:r w:rsidRPr="00E47ED3">
          <w:rPr>
            <w:rStyle w:val="Hyperlink"/>
          </w:rPr>
          <w:t>https://aemo.com.au/en/energy-systems/electricity/national-electricity-market-nem/nem-forecasting-and-planning/forecasting-and-reliability/nem-electricity-statement-of-opportunities-esoo</w:t>
        </w:r>
      </w:hyperlink>
    </w:p>
  </w:footnote>
  <w:footnote w:id="50">
    <w:p w14:paraId="463D722C" w14:textId="6E30D05B" w:rsidR="0066118A" w:rsidRDefault="0066118A" w:rsidP="0066118A">
      <w:pPr>
        <w:pStyle w:val="FootnoteText"/>
      </w:pPr>
      <w:r>
        <w:rPr>
          <w:rStyle w:val="FootnoteReference"/>
        </w:rPr>
        <w:footnoteRef/>
      </w:r>
      <w:r>
        <w:t xml:space="preserve"> See </w:t>
      </w:r>
      <w:hyperlink r:id="rId41" w:history="1">
        <w:r w:rsidRPr="00C06A8F">
          <w:rPr>
            <w:rStyle w:val="Hyperlink"/>
          </w:rPr>
          <w:t>https://www.dcceew.gov.au/energy/programs/cheaper-home-batteries</w:t>
        </w:r>
      </w:hyperlink>
    </w:p>
  </w:footnote>
  <w:footnote w:id="51">
    <w:p w14:paraId="1B3E34DE" w14:textId="68F8B5C8" w:rsidR="006D0A44" w:rsidRDefault="006D0A44" w:rsidP="006D0A44">
      <w:pPr>
        <w:pStyle w:val="FootnoteText"/>
      </w:pPr>
      <w:r>
        <w:rPr>
          <w:rStyle w:val="FootnoteReference"/>
        </w:rPr>
        <w:footnoteRef/>
      </w:r>
      <w:r w:rsidR="00C336F3">
        <w:t xml:space="preserve"> See </w:t>
      </w:r>
      <w:hyperlink r:id="rId42" w:history="1">
        <w:r w:rsidR="00CA77BD">
          <w:rPr>
            <w:rStyle w:val="Hyperlink"/>
          </w:rPr>
          <w:t>https://www.infrastructure.gov.au/infrastructure-transport-vehicles/vehicles/new-vehicle-efficiency-standard</w:t>
        </w:r>
      </w:hyperlink>
    </w:p>
  </w:footnote>
  <w:footnote w:id="52">
    <w:p w14:paraId="67CF43C7" w14:textId="74FFD3EB" w:rsidR="0066118A" w:rsidRDefault="0066118A" w:rsidP="0066118A">
      <w:pPr>
        <w:pStyle w:val="FootnoteText"/>
      </w:pPr>
      <w:r>
        <w:rPr>
          <w:rStyle w:val="FootnoteReference"/>
        </w:rPr>
        <w:footnoteRef/>
      </w:r>
      <w:r>
        <w:t xml:space="preserve"> See 2025 ESOO, at </w:t>
      </w:r>
      <w:hyperlink r:id="rId43" w:history="1">
        <w:r w:rsidRPr="00E47ED3">
          <w:rPr>
            <w:rStyle w:val="Hyperlink"/>
          </w:rPr>
          <w:t>https://aemo.com.au/en/energy-systems/electricity/national-electricity-market-nem/nem-forecasting-and-planning/forecasting-and-reliability/nem-electricity-statement-of-opportunities-esoo</w:t>
        </w:r>
      </w:hyperlink>
    </w:p>
  </w:footnote>
  <w:footnote w:id="53">
    <w:p w14:paraId="18AE92F0" w14:textId="3FB412C4" w:rsidR="00A9731B" w:rsidRDefault="00A9731B" w:rsidP="00A9731B">
      <w:pPr>
        <w:pStyle w:val="FootnoteText"/>
      </w:pPr>
      <w:r>
        <w:rPr>
          <w:rStyle w:val="FootnoteReference"/>
        </w:rPr>
        <w:footnoteRef/>
      </w:r>
      <w:r>
        <w:t xml:space="preserve"> Planning approvals refers to electrical approvals</w:t>
      </w:r>
      <w:r w:rsidR="00C336F3">
        <w:t>;</w:t>
      </w:r>
      <w:r>
        <w:t xml:space="preserve"> it does not include environmental/town planning or other approvals subject to Victorian Inquiry and Advisory Committee (IAC)</w:t>
      </w:r>
      <w:r w:rsidR="00C336F3">
        <w:t>.</w:t>
      </w:r>
    </w:p>
  </w:footnote>
  <w:footnote w:id="54">
    <w:p w14:paraId="7C47AD8B" w14:textId="52AEC8DA" w:rsidR="00A9731B" w:rsidRPr="00535EF2" w:rsidRDefault="00A9731B" w:rsidP="00A9731B">
      <w:pPr>
        <w:pStyle w:val="FootnoteText"/>
      </w:pPr>
      <w:r w:rsidRPr="00535EF2">
        <w:rPr>
          <w:rStyle w:val="FootnoteReference"/>
        </w:rPr>
        <w:footnoteRef/>
      </w:r>
      <w:r w:rsidRPr="00535EF2">
        <w:rPr>
          <w:rStyle w:val="FootnoteReference"/>
        </w:rPr>
        <w:t xml:space="preserve"> </w:t>
      </w:r>
      <w:r w:rsidRPr="00535EF2">
        <w:t xml:space="preserve">At </w:t>
      </w:r>
      <w:hyperlink r:id="rId44" w:history="1">
        <w:r w:rsidRPr="00535EF2">
          <w:rPr>
            <w:rStyle w:val="Hyperlink"/>
          </w:rPr>
          <w:t>https://aemo.com.au/en/energy-systems/major-publications/integrated-system-plan-isp/2022-integrated-system-plan-isp/isp-methodology</w:t>
        </w:r>
      </w:hyperlink>
    </w:p>
  </w:footnote>
  <w:footnote w:id="55">
    <w:p w14:paraId="64D99BB7" w14:textId="6C460B4C" w:rsidR="00A9731B" w:rsidRDefault="00A9731B" w:rsidP="00A9731B">
      <w:pPr>
        <w:pStyle w:val="FootnoteText"/>
      </w:pPr>
      <w:r>
        <w:rPr>
          <w:rStyle w:val="FootnoteReference"/>
        </w:rPr>
        <w:footnoteRef/>
      </w:r>
      <w:r>
        <w:t xml:space="preserve"> The RDP projects relate to the ISP-developed REZs for Victoria which have now been superseded by the VicGrid VTP-declared REZs. All references in the RDP projects section relate to ISP-developed REZs. The details of the ISP REZs are in </w:t>
      </w:r>
      <w:hyperlink r:id="rId45" w:history="1">
        <w:r w:rsidRPr="00C06A8F">
          <w:rPr>
            <w:rStyle w:val="Hyperlink"/>
          </w:rPr>
          <w:t>https://www.aemo.com.au/-/media/files/major-publications/</w:t>
        </w:r>
        <w:r w:rsidRPr="008322C9">
          <w:rPr>
            <w:rFonts w:ascii="Arial" w:hAnsi="Arial" w:cs="Arial"/>
            <w:sz w:val="14"/>
            <w:szCs w:val="14"/>
          </w:rPr>
          <w:t>‌</w:t>
        </w:r>
        <w:r w:rsidRPr="00C06A8F">
          <w:rPr>
            <w:rStyle w:val="Hyperlink"/>
          </w:rPr>
          <w:t>isp/</w:t>
        </w:r>
        <w:r w:rsidRPr="008322C9">
          <w:rPr>
            <w:rFonts w:ascii="Arial" w:hAnsi="Arial" w:cs="Arial"/>
            <w:sz w:val="14"/>
            <w:szCs w:val="14"/>
          </w:rPr>
          <w:t>‌</w:t>
        </w:r>
        <w:r w:rsidRPr="00C06A8F">
          <w:rPr>
            <w:rStyle w:val="Hyperlink"/>
          </w:rPr>
          <w:t>2022/appendix-3-renewable-energy-zones.pdf?la=en</w:t>
        </w:r>
      </w:hyperlink>
    </w:p>
  </w:footnote>
  <w:footnote w:id="56">
    <w:p w14:paraId="0B379CD1" w14:textId="77777777" w:rsidR="00A9731B" w:rsidRDefault="00A9731B" w:rsidP="00A9731B">
      <w:pPr>
        <w:pStyle w:val="FootnoteText"/>
      </w:pPr>
      <w:r>
        <w:rPr>
          <w:rStyle w:val="FootnoteReference"/>
        </w:rPr>
        <w:footnoteRef/>
      </w:r>
      <w:r>
        <w:t xml:space="preserve"> Up to 1,500 MW in</w:t>
      </w:r>
      <w:r w:rsidRPr="006115F0">
        <w:t xml:space="preserve"> optimal conditions</w:t>
      </w:r>
      <w:r>
        <w:t>,</w:t>
      </w:r>
      <w:r w:rsidRPr="006115F0">
        <w:t xml:space="preserve"> and 1,100 MW </w:t>
      </w:r>
      <w:r>
        <w:t>i</w:t>
      </w:r>
      <w:r w:rsidRPr="006115F0">
        <w:t>n peak summer demand periods</w:t>
      </w:r>
      <w:r>
        <w:t>.</w:t>
      </w:r>
    </w:p>
  </w:footnote>
  <w:footnote w:id="57">
    <w:p w14:paraId="6F87AF87" w14:textId="33809199" w:rsidR="00A9731B" w:rsidRPr="00154648" w:rsidDel="00151129" w:rsidRDefault="00A9731B" w:rsidP="00A9731B">
      <w:pPr>
        <w:pStyle w:val="FootnoteText"/>
        <w:rPr>
          <w:szCs w:val="16"/>
          <w:lang w:val="en-US"/>
        </w:rPr>
      </w:pPr>
      <w:r w:rsidRPr="00154648" w:rsidDel="00151129">
        <w:rPr>
          <w:rStyle w:val="FootnoteReference"/>
          <w:szCs w:val="16"/>
        </w:rPr>
        <w:footnoteRef/>
      </w:r>
      <w:r w:rsidRPr="00154648">
        <w:rPr>
          <w:szCs w:val="16"/>
        </w:rPr>
        <w:t xml:space="preserve"> </w:t>
      </w:r>
      <w:r w:rsidRPr="00154648" w:rsidDel="00151129">
        <w:rPr>
          <w:szCs w:val="16"/>
        </w:rPr>
        <w:t xml:space="preserve">See </w:t>
      </w:r>
      <w:hyperlink r:id="rId46" w:history="1">
        <w:r w:rsidR="00E4296A" w:rsidRPr="00DA385C">
          <w:rPr>
            <w:rStyle w:val="Hyperlink"/>
          </w:rPr>
          <w:t>https://www.vicgrid.com.au/__data/assets/pdf_file/0036/762993/victorian-renewable-energy-zones-development-plan-directions-paper.pdf</w:t>
        </w:r>
      </w:hyperlink>
    </w:p>
  </w:footnote>
  <w:footnote w:id="58">
    <w:p w14:paraId="4365B153" w14:textId="2F09F449" w:rsidR="00A9731B" w:rsidRDefault="00A9731B" w:rsidP="00A9731B">
      <w:pPr>
        <w:pStyle w:val="FootnoteText"/>
      </w:pPr>
      <w:r w:rsidRPr="00154648">
        <w:rPr>
          <w:rStyle w:val="FootnoteReference"/>
        </w:rPr>
        <w:footnoteRef/>
      </w:r>
      <w:r w:rsidRPr="00154648">
        <w:t xml:space="preserve"> Victoria Government Gazette No. S547, 14 October 2022, at </w:t>
      </w:r>
      <w:hyperlink r:id="rId47" w:history="1">
        <w:r w:rsidRPr="00154648">
          <w:rPr>
            <w:rStyle w:val="Hyperlink"/>
          </w:rPr>
          <w:t>http://www.gazette.vic.gov.au/gazette/Gazettes2022/GG2022S547.pdf</w:t>
        </w:r>
      </w:hyperlink>
    </w:p>
  </w:footnote>
  <w:footnote w:id="59">
    <w:p w14:paraId="2F508A8E" w14:textId="53364D53" w:rsidR="00A9731B" w:rsidRPr="005A5244" w:rsidRDefault="00A9731B" w:rsidP="00A9731B">
      <w:pPr>
        <w:pStyle w:val="FootnoteText"/>
        <w:rPr>
          <w:szCs w:val="16"/>
        </w:rPr>
      </w:pPr>
      <w:r w:rsidRPr="002F4882">
        <w:rPr>
          <w:rStyle w:val="FootnoteReference"/>
          <w:szCs w:val="16"/>
        </w:rPr>
        <w:footnoteRef/>
      </w:r>
      <w:r w:rsidRPr="002F4882">
        <w:rPr>
          <w:szCs w:val="16"/>
        </w:rPr>
        <w:t xml:space="preserve"> </w:t>
      </w:r>
      <w:r w:rsidRPr="00CE43C3">
        <w:rPr>
          <w:szCs w:val="16"/>
        </w:rPr>
        <w:t xml:space="preserve">See </w:t>
      </w:r>
      <w:hyperlink r:id="rId48" w:history="1">
        <w:r w:rsidR="00E1583E">
          <w:rPr>
            <w:rStyle w:val="Hyperlink"/>
            <w:szCs w:val="16"/>
          </w:rPr>
          <w:t>https://www.aemo.com.au/initiatives/major-programs/western-victorian-regulatory-investment-test-for-transmission</w:t>
        </w:r>
      </w:hyperlink>
    </w:p>
  </w:footnote>
  <w:footnote w:id="60">
    <w:p w14:paraId="3FE0356A" w14:textId="77777777" w:rsidR="00A9731B" w:rsidRDefault="00A9731B" w:rsidP="00A9731B">
      <w:pPr>
        <w:pStyle w:val="FootnoteText"/>
      </w:pPr>
      <w:r>
        <w:rPr>
          <w:rStyle w:val="FootnoteReference"/>
        </w:rPr>
        <w:footnoteRef/>
      </w:r>
      <w:r>
        <w:t xml:space="preserve"> WRL was originally anticipated to be in service mid-2027, as shown in previous VAPR publications, however the date has now changed to a first energisation of late 2029.</w:t>
      </w:r>
    </w:p>
  </w:footnote>
  <w:footnote w:id="61">
    <w:p w14:paraId="176DF675" w14:textId="3A95150D" w:rsidR="00A9731B" w:rsidRPr="002F4882" w:rsidRDefault="00A9731B" w:rsidP="00A9731B">
      <w:pPr>
        <w:pStyle w:val="FootnoteText"/>
        <w:rPr>
          <w:szCs w:val="16"/>
          <w:lang w:val="en-US"/>
        </w:rPr>
      </w:pPr>
      <w:r w:rsidRPr="002F4882">
        <w:rPr>
          <w:rStyle w:val="FootnoteReference"/>
          <w:szCs w:val="16"/>
        </w:rPr>
        <w:footnoteRef/>
      </w:r>
      <w:r w:rsidRPr="002F4882">
        <w:rPr>
          <w:szCs w:val="16"/>
        </w:rPr>
        <w:t xml:space="preserve"> See</w:t>
      </w:r>
      <w:r>
        <w:rPr>
          <w:rFonts w:cs="Segoe UI Semilight"/>
          <w:color w:val="222324"/>
          <w:szCs w:val="16"/>
        </w:rPr>
        <w:t xml:space="preserve"> </w:t>
      </w:r>
      <w:hyperlink r:id="rId49" w:history="1">
        <w:r w:rsidRPr="000F4411">
          <w:rPr>
            <w:rStyle w:val="Hyperlink"/>
            <w:rFonts w:cs="Segoe UI Semilight"/>
            <w:szCs w:val="16"/>
          </w:rPr>
          <w:t>https://www.westernrenewableslink.com.au</w:t>
        </w:r>
      </w:hyperlink>
    </w:p>
  </w:footnote>
  <w:footnote w:id="62">
    <w:p w14:paraId="70949CE6" w14:textId="77777777" w:rsidR="00A9731B" w:rsidRDefault="00A9731B" w:rsidP="00A9731B">
      <w:pPr>
        <w:pStyle w:val="FootnoteText"/>
      </w:pPr>
      <w:r>
        <w:rPr>
          <w:rStyle w:val="FootnoteReference"/>
        </w:rPr>
        <w:footnoteRef/>
      </w:r>
      <w:r>
        <w:t xml:space="preserve"> Additional capacity figures taken from the VNI West PACR, which may not align with proposed new REZ from the VicGrid VTP.</w:t>
      </w:r>
    </w:p>
  </w:footnote>
  <w:footnote w:id="63">
    <w:p w14:paraId="10541ED1" w14:textId="63A26AA1" w:rsidR="00A9731B" w:rsidRPr="002F76A2" w:rsidRDefault="00A9731B" w:rsidP="00A9731B">
      <w:pPr>
        <w:pStyle w:val="FootnoteText"/>
      </w:pPr>
      <w:r w:rsidRPr="002F76A2">
        <w:rPr>
          <w:rStyle w:val="FootnoteReference"/>
        </w:rPr>
        <w:footnoteRef/>
      </w:r>
      <w:r w:rsidRPr="002F76A2">
        <w:t xml:space="preserve"> See </w:t>
      </w:r>
      <w:hyperlink r:id="rId50" w:history="1">
        <w:r w:rsidRPr="005E5253">
          <w:rPr>
            <w:rStyle w:val="Hyperlink"/>
          </w:rPr>
          <w:t>https://www.aemo.com.au/-/media/files/stakeholder_consultation/consultations/nem-consultations/2025/2025-electricity-network-options-report/draft-2025-electricity-network-options-report.pdf?rev=48fb0dd2d3dd43e59d8fb92862bc27a4&amp;sc_lang=en</w:t>
        </w:r>
      </w:hyperlink>
    </w:p>
  </w:footnote>
  <w:footnote w:id="64">
    <w:p w14:paraId="062EE3C3" w14:textId="0FCF0840" w:rsidR="00A9731B" w:rsidRPr="003C51EC" w:rsidRDefault="00A9731B" w:rsidP="00A9731B">
      <w:pPr>
        <w:pStyle w:val="FootnoteText"/>
      </w:pPr>
      <w:r w:rsidRPr="003C51EC">
        <w:rPr>
          <w:rStyle w:val="FootnoteReference"/>
        </w:rPr>
        <w:footnoteRef/>
      </w:r>
      <w:r w:rsidRPr="003C51EC">
        <w:t xml:space="preserve"> See </w:t>
      </w:r>
      <w:hyperlink r:id="rId51" w:history="1">
        <w:r w:rsidRPr="005E5253">
          <w:rPr>
            <w:rStyle w:val="Hyperlink"/>
          </w:rPr>
          <w:t>https://aemo.com.au/initiatives/major-programs/vni-west/reports-and-project-updates</w:t>
        </w:r>
      </w:hyperlink>
    </w:p>
  </w:footnote>
  <w:footnote w:id="65">
    <w:p w14:paraId="69A961F5" w14:textId="6E59871F" w:rsidR="009F6E5F" w:rsidRDefault="00A9731B" w:rsidP="00A9731B">
      <w:pPr>
        <w:pStyle w:val="FootnoteText"/>
      </w:pPr>
      <w:r w:rsidRPr="003C51EC">
        <w:rPr>
          <w:rStyle w:val="FootnoteReference"/>
        </w:rPr>
        <w:footnoteRef/>
      </w:r>
      <w:r w:rsidRPr="003C51EC">
        <w:t xml:space="preserve"> See </w:t>
      </w:r>
      <w:hyperlink r:id="rId52" w:history="1">
        <w:r w:rsidR="009F6E5F" w:rsidRPr="00237141">
          <w:rPr>
            <w:rStyle w:val="Hyperlink"/>
          </w:rPr>
          <w:t>https://www.transmissionvictoria.com.au/download_file/view/209/494</w:t>
        </w:r>
      </w:hyperlink>
    </w:p>
  </w:footnote>
  <w:footnote w:id="66">
    <w:p w14:paraId="21D5C168" w14:textId="69D23CBB" w:rsidR="004F5F25" w:rsidRDefault="00A9731B" w:rsidP="00A9731B">
      <w:pPr>
        <w:pStyle w:val="FootnoteText"/>
      </w:pPr>
      <w:r>
        <w:rPr>
          <w:rStyle w:val="FootnoteReference"/>
        </w:rPr>
        <w:footnoteRef/>
      </w:r>
      <w:r>
        <w:t xml:space="preserve"> See </w:t>
      </w:r>
      <w:hyperlink r:id="rId53" w:history="1">
        <w:r w:rsidR="004F5F25" w:rsidRPr="00237141">
          <w:rPr>
            <w:rStyle w:val="Hyperlink"/>
          </w:rPr>
          <w:t>https://www.transmissionvictoria.com.au/download_file/view/93/494</w:t>
        </w:r>
      </w:hyperlink>
    </w:p>
  </w:footnote>
  <w:footnote w:id="67">
    <w:p w14:paraId="267D57EE" w14:textId="50E90C2B" w:rsidR="00A9731B" w:rsidRDefault="00A9731B" w:rsidP="00A9731B">
      <w:pPr>
        <w:pStyle w:val="FootnoteText"/>
      </w:pPr>
      <w:r>
        <w:rPr>
          <w:rStyle w:val="FootnoteReference"/>
        </w:rPr>
        <w:footnoteRef/>
      </w:r>
      <w:r>
        <w:t xml:space="preserve"> See </w:t>
      </w:r>
      <w:hyperlink r:id="rId54" w:history="1">
        <w:r w:rsidRPr="00743A67">
          <w:rPr>
            <w:rStyle w:val="Hyperlink"/>
          </w:rPr>
          <w:t>https://www.transmissionvictoria.com.au/landholders-community/vni-west-project-easement</w:t>
        </w:r>
      </w:hyperlink>
    </w:p>
  </w:footnote>
  <w:footnote w:id="68">
    <w:p w14:paraId="31A31F27" w14:textId="10D4F56E" w:rsidR="00A9731B" w:rsidRDefault="00A9731B" w:rsidP="00A9731B">
      <w:pPr>
        <w:pStyle w:val="FootnoteText"/>
      </w:pPr>
      <w:r>
        <w:rPr>
          <w:rStyle w:val="FootnoteReference"/>
        </w:rPr>
        <w:footnoteRef/>
      </w:r>
      <w:r>
        <w:t xml:space="preserve"> </w:t>
      </w:r>
      <w:r w:rsidRPr="00CA57F2">
        <w:t xml:space="preserve">Series compensation capacitors on both of the 500 kV circuits between Tragowel and near Bulgana, to reduce impedance on the new 500 kV network and thereby improve network load sharing with, and manage network loading on, the existing 330 kV </w:t>
      </w:r>
      <w:r w:rsidR="00546FCB">
        <w:t>VNI</w:t>
      </w:r>
      <w:r w:rsidRPr="00CA57F2">
        <w:t xml:space="preserve"> and the existing 220 kV western Victoria network between Bendigo and Kerang.</w:t>
      </w:r>
    </w:p>
  </w:footnote>
  <w:footnote w:id="69">
    <w:p w14:paraId="59EEDEE7" w14:textId="77777777" w:rsidR="00A9731B" w:rsidRDefault="00A9731B" w:rsidP="00A9731B">
      <w:pPr>
        <w:pStyle w:val="FootnoteText"/>
      </w:pPr>
      <w:r>
        <w:rPr>
          <w:rStyle w:val="FootnoteReference"/>
        </w:rPr>
        <w:footnoteRef/>
      </w:r>
      <w:r>
        <w:t xml:space="preserve"> </w:t>
      </w:r>
      <w:r w:rsidRPr="003C2DBC">
        <w:t>This scope may be delivered as part of South West N</w:t>
      </w:r>
      <w:r>
        <w:t>ew South Wales</w:t>
      </w:r>
      <w:r w:rsidRPr="003C2DBC">
        <w:t xml:space="preserve"> REZ development</w:t>
      </w:r>
      <w:r>
        <w:t>.</w:t>
      </w:r>
    </w:p>
  </w:footnote>
  <w:footnote w:id="70">
    <w:p w14:paraId="3BEA258D" w14:textId="41CB30BE" w:rsidR="00A9731B" w:rsidRDefault="00A9731B" w:rsidP="00A9731B">
      <w:pPr>
        <w:pStyle w:val="FootnoteText"/>
      </w:pPr>
      <w:r>
        <w:rPr>
          <w:rStyle w:val="FootnoteReference"/>
        </w:rPr>
        <w:footnoteRef/>
      </w:r>
      <w:r>
        <w:t xml:space="preserve"> AEMO, Metropolitan Melbourne Voltage Management RIT-T, at </w:t>
      </w:r>
      <w:hyperlink r:id="rId55" w:history="1">
        <w:r w:rsidRPr="001401C9">
          <w:rPr>
            <w:rStyle w:val="Hyperlink"/>
          </w:rPr>
          <w:t>https://aemo.com.au/initiatives/major-programs/metropolitan-melbourne-voltage-management-regulatory-investment-test-for-transmission</w:t>
        </w:r>
      </w:hyperlink>
    </w:p>
  </w:footnote>
  <w:footnote w:id="71">
    <w:p w14:paraId="20AF5FB3" w14:textId="1C7CC5CA" w:rsidR="00A9731B" w:rsidRDefault="00A9731B" w:rsidP="00A9731B">
      <w:pPr>
        <w:pStyle w:val="FootnoteText"/>
      </w:pPr>
      <w:r>
        <w:rPr>
          <w:rStyle w:val="FootnoteReference"/>
        </w:rPr>
        <w:footnoteRef/>
      </w:r>
      <w:r>
        <w:t xml:space="preserve"> At </w:t>
      </w:r>
      <w:hyperlink r:id="rId56" w:history="1">
        <w:r w:rsidRPr="00087B5E">
          <w:rPr>
            <w:rStyle w:val="Hyperlink"/>
          </w:rPr>
          <w:t>https://aemo.com.au/energy-systems/electricity/national-electricity-market-nem/nem-forecasting-and-planning/system-security-planning</w:t>
        </w:r>
      </w:hyperlink>
    </w:p>
  </w:footnote>
  <w:footnote w:id="72">
    <w:p w14:paraId="02F728D4" w14:textId="58082560" w:rsidR="00A9731B" w:rsidRDefault="00A9731B" w:rsidP="00A9731B">
      <w:pPr>
        <w:pStyle w:val="FootnoteText"/>
      </w:pPr>
      <w:r>
        <w:rPr>
          <w:rStyle w:val="FootnoteReference"/>
        </w:rPr>
        <w:footnoteRef/>
      </w:r>
      <w:r>
        <w:t xml:space="preserve"> AEMO, Victorian System Strength Requirement RIT-T, at </w:t>
      </w:r>
      <w:hyperlink r:id="rId57" w:history="1">
        <w:r w:rsidRPr="00C06A8F">
          <w:rPr>
            <w:rStyle w:val="Hyperlink"/>
          </w:rPr>
          <w:t>https://aemo.com.au/initiatives/major-programs/victorian-system-strength-requirement-regulatory-investment-test-for-transmission</w:t>
        </w:r>
      </w:hyperlink>
      <w:r>
        <w:t xml:space="preserve"> </w:t>
      </w:r>
    </w:p>
  </w:footnote>
  <w:footnote w:id="73">
    <w:p w14:paraId="5EE5F57A" w14:textId="64ED4937" w:rsidR="00A9731B" w:rsidRDefault="00A9731B" w:rsidP="00A9731B">
      <w:pPr>
        <w:pStyle w:val="FootnoteText"/>
      </w:pPr>
      <w:r>
        <w:rPr>
          <w:rStyle w:val="FootnoteReference"/>
        </w:rPr>
        <w:footnoteRef/>
      </w:r>
      <w:r>
        <w:t xml:space="preserve"> See </w:t>
      </w:r>
      <w:hyperlink r:id="rId58" w:history="1">
        <w:r w:rsidR="000077DD">
          <w:rPr>
            <w:rStyle w:val="Hyperlink"/>
          </w:rPr>
          <w:t>https://www.vicgrid.com.au/transmission-planning/victorian-transmission-plan</w:t>
        </w:r>
      </w:hyperlink>
    </w:p>
  </w:footnote>
  <w:footnote w:id="74">
    <w:p w14:paraId="37072676" w14:textId="1B70B90E" w:rsidR="00A9731B" w:rsidRDefault="00A9731B" w:rsidP="00A9731B">
      <w:pPr>
        <w:pStyle w:val="FootnoteText"/>
      </w:pPr>
      <w:r w:rsidRPr="007E21CB">
        <w:rPr>
          <w:rStyle w:val="FootnoteReference"/>
        </w:rPr>
        <w:footnoteRef/>
      </w:r>
      <w:r w:rsidRPr="007E21CB">
        <w:t xml:space="preserve"> For more information, see </w:t>
      </w:r>
      <w:hyperlink r:id="rId59" w:history="1">
        <w:r w:rsidRPr="007E21CB">
          <w:rPr>
            <w:rStyle w:val="Hyperlink"/>
          </w:rPr>
          <w:t>https://www.energy.vic.gov.au/renewable-energy/vicgrid/for-businesses-and-developers</w:t>
        </w:r>
      </w:hyperlink>
      <w:r w:rsidRPr="007E21CB">
        <w:t xml:space="preserve"> and </w:t>
      </w:r>
      <w:hyperlink r:id="rId60" w:anchor="heading-2" w:history="1">
        <w:r w:rsidRPr="007E21CB">
          <w:rPr>
            <w:rStyle w:val="Hyperlink"/>
          </w:rPr>
          <w:t>https://www.energy.vic.gov.au/renewable-energy/vicgrid/offshore-wind-transmission#heading-2</w:t>
        </w:r>
      </w:hyperlink>
    </w:p>
  </w:footnote>
  <w:footnote w:id="75">
    <w:p w14:paraId="0C800A22" w14:textId="41348588" w:rsidR="00DA3318" w:rsidRDefault="00DA3318">
      <w:pPr>
        <w:pStyle w:val="FootnoteText"/>
      </w:pPr>
      <w:r>
        <w:rPr>
          <w:rStyle w:val="FootnoteReference"/>
        </w:rPr>
        <w:footnoteRef/>
      </w:r>
      <w:r>
        <w:t xml:space="preserve"> During 2025</w:t>
      </w:r>
      <w:r w:rsidR="00DF33B4">
        <w:t>,</w:t>
      </w:r>
      <w:r>
        <w:t xml:space="preserve"> the OWEV capacity auction was delayed</w:t>
      </w:r>
      <w:r w:rsidR="00DF33B4">
        <w:t>,</w:t>
      </w:r>
      <w:r>
        <w:t xml:space="preserve"> however </w:t>
      </w:r>
      <w:r w:rsidR="0040705D">
        <w:t xml:space="preserve">OWEV </w:t>
      </w:r>
      <w:r w:rsidR="00DF33B4">
        <w:t>has</w:t>
      </w:r>
      <w:r w:rsidR="0040705D">
        <w:t xml:space="preserve"> advise</w:t>
      </w:r>
      <w:r w:rsidR="001C50A3">
        <w:t>d</w:t>
      </w:r>
      <w:r w:rsidR="0040705D">
        <w:t xml:space="preserve"> this delay is</w:t>
      </w:r>
      <w:r>
        <w:t xml:space="preserve"> not anticipated to impact the overall delivery timeline for the program</w:t>
      </w:r>
      <w:r w:rsidR="00DF33B4">
        <w:t>.</w:t>
      </w:r>
    </w:p>
  </w:footnote>
  <w:footnote w:id="76">
    <w:p w14:paraId="4F88188D" w14:textId="651A4C33" w:rsidR="00A9731B" w:rsidRDefault="00A9731B" w:rsidP="00DF33B4">
      <w:pPr>
        <w:pStyle w:val="FootnoteText"/>
      </w:pPr>
      <w:r>
        <w:rPr>
          <w:rStyle w:val="FootnoteReference"/>
        </w:rPr>
        <w:footnoteRef/>
      </w:r>
      <w:r>
        <w:t xml:space="preserve"> See </w:t>
      </w:r>
      <w:hyperlink r:id="rId61" w:history="1">
        <w:r w:rsidRPr="002A4D4E">
          <w:rPr>
            <w:rStyle w:val="Hyperlink"/>
          </w:rPr>
          <w:t>https://www.energy.vic.gov.au/renewable-energy/offshore-wind-energy/offshore-wind-energy-victoria</w:t>
        </w:r>
      </w:hyperlink>
    </w:p>
  </w:footnote>
  <w:footnote w:id="77">
    <w:p w14:paraId="3322B8C2" w14:textId="77777777" w:rsidR="00A9731B" w:rsidRDefault="00A9731B" w:rsidP="00A9731B">
      <w:pPr>
        <w:pStyle w:val="FootnoteText"/>
      </w:pPr>
      <w:r>
        <w:rPr>
          <w:rStyle w:val="FootnoteReference"/>
        </w:rPr>
        <w:footnoteRef/>
      </w:r>
      <w:r>
        <w:t xml:space="preserve"> </w:t>
      </w:r>
      <w:r w:rsidRPr="00BA1E6F">
        <w:t>SNI refers to the South Australia</w:t>
      </w:r>
      <w:r>
        <w:t xml:space="preserve"> </w:t>
      </w:r>
      <w:r w:rsidRPr="00BA1E6F">
        <w:t>–</w:t>
      </w:r>
      <w:r>
        <w:t xml:space="preserve"> </w:t>
      </w:r>
      <w:r w:rsidRPr="00BA1E6F">
        <w:t>New South Wales Interconnector, developed</w:t>
      </w:r>
      <w:r>
        <w:t xml:space="preserve"> a</w:t>
      </w:r>
      <w:r w:rsidRPr="00BA1E6F">
        <w:t>s part of the EnergyConnect project.</w:t>
      </w:r>
    </w:p>
  </w:footnote>
  <w:footnote w:id="78">
    <w:p w14:paraId="5616B4A8" w14:textId="1788D497" w:rsidR="00A9731B" w:rsidRPr="00961FF0" w:rsidRDefault="00A9731B" w:rsidP="00A9731B">
      <w:pPr>
        <w:pStyle w:val="FootnoteText"/>
        <w:rPr>
          <w:lang w:val="en-US"/>
        </w:rPr>
      </w:pPr>
      <w:r w:rsidRPr="00967856">
        <w:rPr>
          <w:rStyle w:val="FootnoteReference"/>
          <w:szCs w:val="16"/>
        </w:rPr>
        <w:footnoteRef/>
      </w:r>
      <w:r w:rsidRPr="00967856">
        <w:rPr>
          <w:szCs w:val="16"/>
        </w:rPr>
        <w:t xml:space="preserve"> See </w:t>
      </w:r>
      <w:hyperlink r:id="rId62" w:history="1">
        <w:r w:rsidRPr="00967856">
          <w:rPr>
            <w:rStyle w:val="Hyperlink"/>
            <w:szCs w:val="16"/>
          </w:rPr>
          <w:t>https://aemo.com.au/-/media/files/major-publications/isp/2022/2022-documents/2022-integrated-system-plan-isp.pdf</w:t>
        </w:r>
      </w:hyperlink>
      <w:r w:rsidRPr="006251FB">
        <w:rPr>
          <w:szCs w:val="16"/>
        </w:rPr>
        <w:t xml:space="preserve">    </w:t>
      </w:r>
    </w:p>
  </w:footnote>
  <w:footnote w:id="79">
    <w:p w14:paraId="401D6421" w14:textId="2AE444F3" w:rsidR="00A9731B" w:rsidRDefault="00A9731B" w:rsidP="00A9731B">
      <w:pPr>
        <w:pStyle w:val="FootnoteText"/>
      </w:pPr>
      <w:r>
        <w:rPr>
          <w:rStyle w:val="FootnoteReference"/>
        </w:rPr>
        <w:footnoteRef/>
      </w:r>
      <w:r>
        <w:t xml:space="preserve"> </w:t>
      </w:r>
      <w:r w:rsidR="004973D2">
        <w:t>See</w:t>
      </w:r>
      <w:r w:rsidDel="00263B15">
        <w:t xml:space="preserve"> </w:t>
      </w:r>
      <w:hyperlink r:id="rId63" w:history="1">
        <w:r w:rsidR="009A0AFE" w:rsidRPr="0081769B">
          <w:rPr>
            <w:rStyle w:val="Hyperlink"/>
          </w:rPr>
          <w:t>https://www.vicgrid.com.au/__data/assets/pdf_file/0023/769100/2025-Victorian-Network-Performance-and-Insights-Report.pdf</w:t>
        </w:r>
      </w:hyperlink>
    </w:p>
  </w:footnote>
  <w:footnote w:id="80">
    <w:p w14:paraId="42970A53" w14:textId="45F1564E" w:rsidR="00A9731B" w:rsidRDefault="00A9731B" w:rsidP="00A9731B">
      <w:pPr>
        <w:pStyle w:val="FootnoteText"/>
      </w:pPr>
      <w:r>
        <w:rPr>
          <w:rStyle w:val="FootnoteReference"/>
        </w:rPr>
        <w:footnoteRef/>
      </w:r>
      <w:r>
        <w:t xml:space="preserve">AEMO, Eastern Victoria Grid Reinforcement RIT-T, at </w:t>
      </w:r>
      <w:hyperlink r:id="rId64" w:history="1">
        <w:r w:rsidRPr="0064349A">
          <w:rPr>
            <w:rStyle w:val="Hyperlink"/>
          </w:rPr>
          <w:t>https://aemo.com.au/initiatives/major-programs/eastern-victoria-grid-reinforcement</w:t>
        </w:r>
      </w:hyperlink>
      <w:r>
        <w:t xml:space="preserve"> </w:t>
      </w:r>
    </w:p>
  </w:footnote>
  <w:footnote w:id="81">
    <w:p w14:paraId="3773DECE" w14:textId="098F1077" w:rsidR="00A9731B" w:rsidRDefault="00A9731B" w:rsidP="00A9731B">
      <w:pPr>
        <w:pStyle w:val="FootnoteText"/>
      </w:pPr>
      <w:r>
        <w:rPr>
          <w:rStyle w:val="FootnoteReference"/>
        </w:rPr>
        <w:footnoteRef/>
      </w:r>
      <w:r>
        <w:t xml:space="preserve"> AEMO, Western Metropolitan Melbourne Reinforcement RIT-T, at </w:t>
      </w:r>
      <w:hyperlink r:id="rId65" w:history="1">
        <w:r w:rsidRPr="0064349A">
          <w:rPr>
            <w:rStyle w:val="Hyperlink"/>
          </w:rPr>
          <w:t>https://aemo.com.au/initiatives/major-programs/western-metropolitan-melbourne-reinforcement</w:t>
        </w:r>
      </w:hyperlink>
      <w:r>
        <w:t xml:space="preserve"> </w:t>
      </w:r>
    </w:p>
  </w:footnote>
  <w:footnote w:id="82">
    <w:p w14:paraId="733757B4" w14:textId="0524256D" w:rsidR="00A9731B" w:rsidRDefault="00A9731B" w:rsidP="00A9731B">
      <w:pPr>
        <w:pStyle w:val="FootnoteText"/>
      </w:pPr>
      <w:r>
        <w:rPr>
          <w:rStyle w:val="FootnoteReference"/>
        </w:rPr>
        <w:footnoteRef/>
      </w:r>
      <w:r>
        <w:t xml:space="preserve"> AusNet Services commenced a RIT-T to maintain reliable transmission network services at Keilor terminal station in October 2024, at </w:t>
      </w:r>
      <w:hyperlink r:id="rId66" w:history="1">
        <w:r w:rsidRPr="00033539">
          <w:rPr>
            <w:rStyle w:val="Hyperlink"/>
          </w:rPr>
          <w:t>https://www.ausnetservices.com.au/projects-and-innovation/regulatory-investment-test</w:t>
        </w:r>
      </w:hyperlink>
    </w:p>
  </w:footnote>
  <w:footnote w:id="83">
    <w:p w14:paraId="2D2C908C" w14:textId="798A7A9B" w:rsidR="00A9731B" w:rsidRDefault="00A9731B" w:rsidP="00A9731B">
      <w:pPr>
        <w:pStyle w:val="FootnoteText"/>
      </w:pPr>
      <w:r>
        <w:rPr>
          <w:rStyle w:val="FootnoteReference"/>
        </w:rPr>
        <w:footnoteRef/>
      </w:r>
      <w:r>
        <w:t xml:space="preserve"> Powercor commenced a RIT-T to address load constraints at Deer Park Terminal Station in June 2025, at </w:t>
      </w:r>
      <w:hyperlink r:id="rId67" w:history="1">
        <w:r w:rsidRPr="002221AC">
          <w:rPr>
            <w:rStyle w:val="Hyperlink"/>
          </w:rPr>
          <w:t>https://www.powercor.com.au/network-planning-and-projects/network-data/</w:t>
        </w:r>
      </w:hyperlink>
    </w:p>
  </w:footnote>
  <w:footnote w:id="84">
    <w:p w14:paraId="21B223F4" w14:textId="6316ABE9" w:rsidR="00A9731B" w:rsidRDefault="00A9731B" w:rsidP="00A9731B">
      <w:pPr>
        <w:pStyle w:val="FootnoteText"/>
      </w:pPr>
      <w:r>
        <w:rPr>
          <w:rStyle w:val="FootnoteReference"/>
        </w:rPr>
        <w:footnoteRef/>
      </w:r>
      <w:r>
        <w:t xml:space="preserve"> CDP2 in the VTP is based on a scenario where there is a greater amount of energy intensive industries in Victoria as compared to the ODP. This scenario requires more transmission projects to be completed to enable the generation required to supply the additional energy intensive industries.</w:t>
      </w:r>
    </w:p>
  </w:footnote>
  <w:footnote w:id="85">
    <w:p w14:paraId="6CC1AF85" w14:textId="6B8AD7A3" w:rsidR="0087182A" w:rsidRDefault="0087182A" w:rsidP="0087182A">
      <w:pPr>
        <w:pStyle w:val="FootnoteText"/>
      </w:pPr>
      <w:r>
        <w:rPr>
          <w:rStyle w:val="FootnoteReference"/>
        </w:rPr>
        <w:footnoteRef/>
      </w:r>
      <w:r>
        <w:t xml:space="preserve"> See </w:t>
      </w:r>
      <w:hyperlink r:id="rId68" w:history="1">
        <w:r w:rsidRPr="00A62EB5">
          <w:rPr>
            <w:rStyle w:val="Hyperlink"/>
          </w:rPr>
          <w:t>https://www.aemo.com.au/-/media/files/electricity/nem/security_and_reliability/system_security_planning/2024-system-strength-report.pdf</w:t>
        </w:r>
      </w:hyperlink>
    </w:p>
  </w:footnote>
  <w:footnote w:id="86">
    <w:p w14:paraId="5D777395" w14:textId="415CFCA0" w:rsidR="0087182A" w:rsidRDefault="0087182A" w:rsidP="0087182A">
      <w:pPr>
        <w:pStyle w:val="FootnoteText"/>
      </w:pPr>
      <w:r>
        <w:rPr>
          <w:rStyle w:val="FootnoteReference"/>
        </w:rPr>
        <w:footnoteRef/>
      </w:r>
      <w:r>
        <w:t xml:space="preserve"> See </w:t>
      </w:r>
      <w:hyperlink r:id="rId69" w:history="1">
        <w:r w:rsidRPr="00AD4767">
          <w:rPr>
            <w:rStyle w:val="Hyperlink"/>
          </w:rPr>
          <w:t>https://www.aemo.com.au/energy-systems/electricity/national-electricity-market-nem/nem-forecasting-and-planning/system-security-planning</w:t>
        </w:r>
      </w:hyperlink>
    </w:p>
  </w:footnote>
  <w:footnote w:id="87">
    <w:p w14:paraId="4A99F51E" w14:textId="37CB7EE6" w:rsidR="0087182A" w:rsidRDefault="0087182A" w:rsidP="0087182A">
      <w:pPr>
        <w:pStyle w:val="FootnoteText"/>
      </w:pPr>
      <w:r>
        <w:rPr>
          <w:rStyle w:val="FootnoteReference"/>
        </w:rPr>
        <w:footnoteRef/>
      </w:r>
      <w:r>
        <w:t xml:space="preserve"> See </w:t>
      </w:r>
      <w:hyperlink r:id="rId70" w:history="1">
        <w:r w:rsidRPr="00A62EB5">
          <w:rPr>
            <w:rStyle w:val="Hyperlink"/>
          </w:rPr>
          <w:t>https://www.aemo.com.au/-/media/files/electricity/nem/security_and_reliability/system_security_planning/2024-nscas-report.pdf</w:t>
        </w:r>
      </w:hyperlink>
    </w:p>
  </w:footnote>
  <w:footnote w:id="88">
    <w:p w14:paraId="0F5D5F83" w14:textId="7B545C0E" w:rsidR="0087182A" w:rsidRDefault="0087182A" w:rsidP="0087182A">
      <w:pPr>
        <w:pStyle w:val="FootnoteText"/>
      </w:pPr>
      <w:r>
        <w:rPr>
          <w:rStyle w:val="FootnoteReference"/>
        </w:rPr>
        <w:footnoteRef/>
      </w:r>
      <w:r>
        <w:t xml:space="preserve"> For more information, see </w:t>
      </w:r>
      <w:r w:rsidR="00842C34">
        <w:t xml:space="preserve">the </w:t>
      </w:r>
      <w:r w:rsidR="00842C34" w:rsidRPr="00842C34">
        <w:rPr>
          <w:i/>
          <w:iCs/>
        </w:rPr>
        <w:t>Victorian Electricity Planning Approach</w:t>
      </w:r>
      <w:r w:rsidR="00842C34">
        <w:t xml:space="preserve"> </w:t>
      </w:r>
      <w:hyperlink r:id="rId71" w:history="1">
        <w:r w:rsidR="00842C34" w:rsidRPr="002C1282">
          <w:rPr>
            <w:rStyle w:val="Hyperlink"/>
          </w:rPr>
          <w:t>https://www.aemo.com.au/energy-systems/electricity/national-electricity-market-nem/nem-forecasting-and-planning/victorian-planning/victorian-transmission-network-service-provider-role</w:t>
        </w:r>
      </w:hyperlink>
    </w:p>
  </w:footnote>
  <w:footnote w:id="89">
    <w:p w14:paraId="0C25CF61" w14:textId="5C4200A5" w:rsidR="0087182A" w:rsidRDefault="0087182A" w:rsidP="0087182A">
      <w:pPr>
        <w:pStyle w:val="FootnoteText"/>
      </w:pPr>
      <w:r>
        <w:rPr>
          <w:rStyle w:val="FootnoteReference"/>
        </w:rPr>
        <w:footnoteRef/>
      </w:r>
      <w:r>
        <w:t xml:space="preserve"> All existing developing, emerging and priority limitations from the 2023 </w:t>
      </w:r>
      <w:r w:rsidR="00ED68B5" w:rsidRPr="00ED68B5">
        <w:t xml:space="preserve">Annual Planning Review </w:t>
      </w:r>
      <w:r>
        <w:t xml:space="preserve">have been migrated to priority limitations in the 2024 </w:t>
      </w:r>
      <w:r w:rsidR="00ED68B5" w:rsidRPr="00ED68B5">
        <w:t>Annual Planning Review</w:t>
      </w:r>
      <w:r>
        <w:t>.</w:t>
      </w:r>
    </w:p>
  </w:footnote>
  <w:footnote w:id="90">
    <w:p w14:paraId="219164DA" w14:textId="13915750" w:rsidR="0087182A" w:rsidRDefault="0087182A" w:rsidP="0087182A">
      <w:pPr>
        <w:pStyle w:val="FootnoteText"/>
      </w:pPr>
      <w:r>
        <w:rPr>
          <w:rStyle w:val="FootnoteReference"/>
        </w:rPr>
        <w:footnoteRef/>
      </w:r>
      <w:r>
        <w:t xml:space="preserve"> All existing developing, emerging and priority limitations from the 2023 </w:t>
      </w:r>
      <w:r w:rsidR="00421A2F">
        <w:t>V</w:t>
      </w:r>
      <w:r>
        <w:t xml:space="preserve">APR have been reclassified as priority limitations in the 2024 </w:t>
      </w:r>
      <w:r w:rsidR="00E868D0" w:rsidRPr="00E868D0">
        <w:t>V</w:t>
      </w:r>
      <w:r w:rsidRPr="00E868D0">
        <w:t>APR</w:t>
      </w:r>
      <w:r>
        <w:t>.</w:t>
      </w:r>
    </w:p>
  </w:footnote>
  <w:footnote w:id="91">
    <w:p w14:paraId="61D6C3E7" w14:textId="54306F15" w:rsidR="0087182A" w:rsidRDefault="0087182A" w:rsidP="0087182A">
      <w:pPr>
        <w:pStyle w:val="FootnoteText"/>
      </w:pPr>
      <w:r>
        <w:rPr>
          <w:rStyle w:val="FootnoteReference"/>
        </w:rPr>
        <w:footnoteRef/>
      </w:r>
      <w:r>
        <w:t xml:space="preserve"> See Section 3.1 of the</w:t>
      </w:r>
      <w:r w:rsidR="00257E88">
        <w:t xml:space="preserve"> VNPIR</w:t>
      </w:r>
      <w:r>
        <w:t xml:space="preserve">, at </w:t>
      </w:r>
      <w:hyperlink r:id="rId72" w:history="1">
        <w:r w:rsidR="00BD0D2A" w:rsidRPr="0081769B">
          <w:rPr>
            <w:rStyle w:val="Hyperlink"/>
          </w:rPr>
          <w:t>https://www.vicgrid.com.au/__data/assets/pdf_file/0023/769100/2025-Victorian-Network-Performance-and-Insights-Report.pdf</w:t>
        </w:r>
      </w:hyperlink>
    </w:p>
  </w:footnote>
  <w:footnote w:id="92">
    <w:p w14:paraId="0726646A" w14:textId="3CA1D225" w:rsidR="0087182A" w:rsidRDefault="0087182A" w:rsidP="0087182A">
      <w:pPr>
        <w:pStyle w:val="FootnoteText"/>
      </w:pPr>
      <w:r>
        <w:rPr>
          <w:rStyle w:val="FootnoteReference"/>
        </w:rPr>
        <w:footnoteRef/>
      </w:r>
      <w:r>
        <w:t xml:space="preserve"> </w:t>
      </w:r>
      <w:r w:rsidRPr="00BE53B3">
        <w:t>The projects listed do not include reactive power equipment in their descriptions. It is expected that reactive power augmentations such as capacitor banks will be required in addition to the projects listed and those augmentations would occur at the existing or new terminal stations where projects are proposed.</w:t>
      </w:r>
    </w:p>
  </w:footnote>
  <w:footnote w:id="93">
    <w:p w14:paraId="2FBF1334" w14:textId="78AC0643" w:rsidR="005521C3" w:rsidRDefault="005521C3">
      <w:pPr>
        <w:pStyle w:val="FootnoteText"/>
      </w:pPr>
      <w:r>
        <w:rPr>
          <w:rStyle w:val="FootnoteReference"/>
        </w:rPr>
        <w:footnoteRef/>
      </w:r>
      <w:r>
        <w:t xml:space="preserve"> Supportable demand is determined </w:t>
      </w:r>
      <w:r w:rsidR="00E1596B">
        <w:t xml:space="preserve">as the largest demand able to be supported in Victoria without </w:t>
      </w:r>
      <w:r w:rsidR="006C7811">
        <w:t xml:space="preserve">causing an instability or </w:t>
      </w:r>
      <w:r w:rsidR="00C37C04">
        <w:t xml:space="preserve">breaching the </w:t>
      </w:r>
      <w:r w:rsidR="006816DC">
        <w:t xml:space="preserve">capacitive reactive power requirements </w:t>
      </w:r>
      <w:r w:rsidR="00C74F42">
        <w:t>as defined in S5.1.8 of the NER at any of the Victorian System Strength nodes.</w:t>
      </w:r>
    </w:p>
  </w:footnote>
  <w:footnote w:id="94">
    <w:p w14:paraId="66E6F4C5" w14:textId="57FC2078" w:rsidR="0087182A" w:rsidRDefault="0087182A" w:rsidP="0087182A">
      <w:pPr>
        <w:pStyle w:val="FootnoteText"/>
      </w:pPr>
      <w:r>
        <w:rPr>
          <w:rStyle w:val="FootnoteReference"/>
        </w:rPr>
        <w:footnoteRef/>
      </w:r>
      <w:r>
        <w:t xml:space="preserve"> At </w:t>
      </w:r>
      <w:hyperlink r:id="rId73" w:history="1">
        <w:r w:rsidRPr="00AD4767">
          <w:rPr>
            <w:rStyle w:val="Hyperlink"/>
          </w:rPr>
          <w:t>https://www.aemo.com.au/energy-systems/electricity/national-electricity-market-nem/nem-forecasting-and-planning/system-security-planning</w:t>
        </w:r>
      </w:hyperlink>
    </w:p>
  </w:footnote>
  <w:footnote w:id="95">
    <w:p w14:paraId="45492799" w14:textId="3E588C5C" w:rsidR="0087182A" w:rsidRDefault="0087182A" w:rsidP="0087182A">
      <w:pPr>
        <w:pStyle w:val="FootnoteText"/>
      </w:pPr>
      <w:r>
        <w:rPr>
          <w:rStyle w:val="FootnoteReference"/>
        </w:rPr>
        <w:footnoteRef/>
      </w:r>
      <w:r>
        <w:t xml:space="preserve"> </w:t>
      </w:r>
      <w:r w:rsidRPr="005D453A">
        <w:t>AEMO has historically assessed fault level projections against post-contingent requirements which, following a contingency, ensure the system is in a satisfactory operating state.</w:t>
      </w:r>
      <w:r>
        <w:t xml:space="preserve"> The fault level projections in the 2024 </w:t>
      </w:r>
      <w:r w:rsidRPr="005E500E">
        <w:rPr>
          <w:i/>
        </w:rPr>
        <w:t>System Strength Report</w:t>
      </w:r>
      <w:r>
        <w:t xml:space="preserve"> were calculated based on pre</w:t>
      </w:r>
      <w:r>
        <w:noBreakHyphen/>
        <w:t xml:space="preserve">contingent three-phase fault levels and </w:t>
      </w:r>
      <w:r w:rsidRPr="00FB719F">
        <w:t>equivalent requirements, representing a secure operating state.</w:t>
      </w:r>
      <w:r>
        <w:t xml:space="preserve"> </w:t>
      </w:r>
      <w:r w:rsidRPr="00B50556">
        <w:t xml:space="preserve">This approach aligns more closely with the methodology used to calculate the </w:t>
      </w:r>
      <w:r w:rsidR="00E7748B" w:rsidRPr="00B50556">
        <w:t>requirements and</w:t>
      </w:r>
      <w:r w:rsidRPr="00B50556">
        <w:t xml:space="preserve"> shifts both the availability and requirement by a consistent amount (</w:t>
      </w:r>
      <w:r>
        <w:t>that is,</w:t>
      </w:r>
      <w:r w:rsidRPr="00B50556">
        <w:t xml:space="preserve"> by the impact of the worst contingency event considered).</w:t>
      </w:r>
    </w:p>
  </w:footnote>
  <w:footnote w:id="96">
    <w:p w14:paraId="2280DFFE" w14:textId="40FDBDAF" w:rsidR="0087182A" w:rsidRDefault="0087182A" w:rsidP="0087182A">
      <w:pPr>
        <w:pStyle w:val="FootnoteText"/>
      </w:pPr>
      <w:r>
        <w:rPr>
          <w:rStyle w:val="FootnoteReference"/>
        </w:rPr>
        <w:footnoteRef/>
      </w:r>
      <w:r>
        <w:t xml:space="preserve"> AEMO moved from 99% to a three-sigma (99.87th percentile) approach, based on its regular usage in statistics and simulation for identifying statistical significance, limiting noise in modelled outcomes, and providing a balance between rigour and usability. See </w:t>
      </w:r>
      <w:hyperlink r:id="rId74" w:history="1">
        <w:r w:rsidRPr="00A62EB5">
          <w:rPr>
            <w:rStyle w:val="Hyperlink"/>
          </w:rPr>
          <w:t>https://www.aemo.com.au/-/media/files/</w:t>
        </w:r>
        <w:r w:rsidR="003B3A0F" w:rsidRPr="008322C9">
          <w:rPr>
            <w:rFonts w:ascii="Arial" w:hAnsi="Arial" w:cs="Arial"/>
            <w:sz w:val="14"/>
            <w:szCs w:val="14"/>
          </w:rPr>
          <w:t>‌</w:t>
        </w:r>
        <w:r w:rsidRPr="00A62EB5">
          <w:rPr>
            <w:rStyle w:val="Hyperlink"/>
          </w:rPr>
          <w:t>electricity/nem/security_and_reliability/system_security_planning/final-nscas-description-and-quantity-procedure-determination.pdf</w:t>
        </w:r>
      </w:hyperlink>
    </w:p>
  </w:footnote>
  <w:footnote w:id="97">
    <w:p w14:paraId="451DCAB8" w14:textId="2C45590A" w:rsidR="0087182A" w:rsidRDefault="0087182A" w:rsidP="0087182A">
      <w:pPr>
        <w:pStyle w:val="FootnoteText"/>
      </w:pPr>
      <w:r>
        <w:rPr>
          <w:rStyle w:val="FootnoteReference"/>
        </w:rPr>
        <w:footnoteRef/>
      </w:r>
      <w:r>
        <w:t xml:space="preserve"> AEMO, Victorian Transfer Limit Advice – Outages, July 2025, p.69, at </w:t>
      </w:r>
      <w:hyperlink r:id="rId75" w:history="1">
        <w:r w:rsidRPr="00691380">
          <w:rPr>
            <w:rStyle w:val="Hyperlink"/>
          </w:rPr>
          <w:t>https://www.</w:t>
        </w:r>
        <w:bookmarkStart w:id="264" w:name="_Hlt211429620"/>
        <w:bookmarkStart w:id="265" w:name="_Hlt211429621"/>
        <w:r w:rsidRPr="00691380">
          <w:rPr>
            <w:rStyle w:val="Hyperlink"/>
          </w:rPr>
          <w:t>a</w:t>
        </w:r>
        <w:bookmarkEnd w:id="264"/>
        <w:bookmarkEnd w:id="265"/>
        <w:r w:rsidRPr="00691380">
          <w:rPr>
            <w:rStyle w:val="Hyperlink"/>
          </w:rPr>
          <w:t>emo.com.au/-/media/files/electricity/nem/security_and_</w:t>
        </w:r>
        <w:r w:rsidRPr="00691380">
          <w:rPr>
            <w:rStyle w:val="Hyperlink"/>
            <w:rFonts w:ascii="Arial" w:hAnsi="Arial" w:cs="Arial"/>
          </w:rPr>
          <w:t>‌</w:t>
        </w:r>
        <w:r w:rsidRPr="00691380">
          <w:rPr>
            <w:rStyle w:val="Hyperlink"/>
          </w:rPr>
          <w:t>reliability/</w:t>
        </w:r>
        <w:r w:rsidRPr="00691380">
          <w:rPr>
            <w:rStyle w:val="Hyperlink"/>
            <w:rFonts w:ascii="Arial" w:hAnsi="Arial" w:cs="Arial"/>
          </w:rPr>
          <w:t>‌</w:t>
        </w:r>
        <w:r w:rsidRPr="00691380">
          <w:rPr>
            <w:rStyle w:val="Hyperlink"/>
          </w:rPr>
          <w:t>congestion-information/victorian-transfer-limit-advice-outages.pdf</w:t>
        </w:r>
      </w:hyperlink>
    </w:p>
  </w:footnote>
  <w:footnote w:id="98">
    <w:p w14:paraId="22F6DE92" w14:textId="22663E0E" w:rsidR="0087182A" w:rsidRPr="001D743A" w:rsidRDefault="0087182A" w:rsidP="0087182A">
      <w:pPr>
        <w:pStyle w:val="FootnoteText"/>
      </w:pPr>
      <w:r>
        <w:rPr>
          <w:rStyle w:val="FootnoteReference"/>
        </w:rPr>
        <w:footnoteRef/>
      </w:r>
      <w:r>
        <w:t xml:space="preserve"> At </w:t>
      </w:r>
      <w:hyperlink r:id="rId76" w:history="1">
        <w:r w:rsidRPr="00AD4767">
          <w:rPr>
            <w:rStyle w:val="Hyperlink"/>
          </w:rPr>
          <w:t>https://www.aemo.com.au/-/media/files/stakeholder_consultation/consultations/nem-consultations/2024/ssiag/system-strength-impact-assessment-guidelines-v22.pdf?rev=34a4599d005a4687b078d1b8fe1ce917&amp;sc_lang=en</w:t>
        </w:r>
      </w:hyperlink>
    </w:p>
  </w:footnote>
  <w:footnote w:id="99">
    <w:p w14:paraId="73C545D3" w14:textId="04E3F7DC" w:rsidR="0087182A" w:rsidRDefault="0087182A" w:rsidP="0087182A">
      <w:pPr>
        <w:pStyle w:val="FootnoteText"/>
      </w:pPr>
      <w:r>
        <w:rPr>
          <w:rStyle w:val="FootnoteReference"/>
        </w:rPr>
        <w:footnoteRef/>
      </w:r>
      <w:r>
        <w:t xml:space="preserve"> While AVP acknowledges that the delayed construction of WRL and VNI West may ultimately impact Victoria’s system strength requirements, AVP has not quantified any associated impact in this study and will instead consider these and any other material changes following any revision of the system strength requirements, expected through publication of the 2025 </w:t>
      </w:r>
      <w:r w:rsidRPr="00950A37">
        <w:rPr>
          <w:i/>
          <w:iCs/>
        </w:rPr>
        <w:t>System Strength Report</w:t>
      </w:r>
      <w:r>
        <w:t xml:space="preserve"> or otherwise pursuant with the NER.</w:t>
      </w:r>
    </w:p>
  </w:footnote>
  <w:footnote w:id="100">
    <w:p w14:paraId="7214B818" w14:textId="2D6D7FBF" w:rsidR="0087182A" w:rsidRDefault="0087182A" w:rsidP="0087182A">
      <w:pPr>
        <w:pStyle w:val="FootnoteText"/>
      </w:pPr>
      <w:r>
        <w:rPr>
          <w:rStyle w:val="FootnoteReference"/>
        </w:rPr>
        <w:footnoteRef/>
      </w:r>
      <w:r>
        <w:t xml:space="preserve"> In this year’s report, post-contingent available fault levels have been reported, as they are more onerous than pre-contingent available fault levels.</w:t>
      </w:r>
    </w:p>
  </w:footnote>
  <w:footnote w:id="101">
    <w:p w14:paraId="735F7E07" w14:textId="77777777" w:rsidR="0087182A" w:rsidRDefault="0087182A" w:rsidP="0087182A">
      <w:pPr>
        <w:pStyle w:val="FootnoteText"/>
      </w:pPr>
      <w:r>
        <w:rPr>
          <w:rStyle w:val="FootnoteReference"/>
        </w:rPr>
        <w:footnoteRef/>
      </w:r>
      <w:r>
        <w:t xml:space="preserve"> </w:t>
      </w:r>
      <w:r w:rsidRPr="00C7198A">
        <w:t>The 2023 GPSRR identified that there was a potential for Moorabool contingency events to result in separation of the mainland NEM into four islanded areas – Queensland, South Australia, the network between Heywood and Moorabool, and the rest of New South Wales and Victoria.</w:t>
      </w:r>
    </w:p>
  </w:footnote>
  <w:footnote w:id="102">
    <w:p w14:paraId="1C9E800D" w14:textId="77777777" w:rsidR="0087182A" w:rsidRDefault="0087182A" w:rsidP="0087182A">
      <w:pPr>
        <w:pStyle w:val="FootnoteText"/>
      </w:pPr>
      <w:r>
        <w:rPr>
          <w:rStyle w:val="FootnoteReference"/>
        </w:rPr>
        <w:footnoteRef/>
      </w:r>
      <w:r>
        <w:t xml:space="preserve"> </w:t>
      </w:r>
      <w:r w:rsidRPr="004925B8">
        <w:t>AVP is still evaluating the benefits of a control scheme to address this contingency.</w:t>
      </w:r>
    </w:p>
  </w:footnote>
  <w:footnote w:id="103">
    <w:p w14:paraId="07A32FDE" w14:textId="635BB47B" w:rsidR="0087182A" w:rsidRDefault="0087182A" w:rsidP="0087182A">
      <w:pPr>
        <w:pStyle w:val="FootnoteText"/>
      </w:pPr>
      <w:r>
        <w:rPr>
          <w:rStyle w:val="FootnoteReference"/>
        </w:rPr>
        <w:footnoteRef/>
      </w:r>
      <w:r>
        <w:t xml:space="preserve"> At </w:t>
      </w:r>
      <w:hyperlink r:id="rId77" w:history="1">
        <w:r w:rsidRPr="00087B5E">
          <w:rPr>
            <w:rStyle w:val="Hyperlink"/>
          </w:rPr>
          <w:t>https://aemo.com.au/en/energy-systems/electricity/national-electricity-market-nem/system-operations/general-power-system-risk-review</w:t>
        </w:r>
      </w:hyperlink>
    </w:p>
  </w:footnote>
  <w:footnote w:id="104">
    <w:p w14:paraId="1A701385" w14:textId="77777777" w:rsidR="0087182A" w:rsidRDefault="0087182A" w:rsidP="0087182A">
      <w:pPr>
        <w:pStyle w:val="FootnoteText"/>
      </w:pPr>
      <w:r>
        <w:rPr>
          <w:rStyle w:val="FootnoteReference"/>
        </w:rPr>
        <w:footnoteRef/>
      </w:r>
      <w:r>
        <w:t xml:space="preserve"> PSS®E load flow studies identified approximately 390 MW of load shedding and over 660 MW of generation shedding as necessary to return the network to secure operating state.</w:t>
      </w:r>
    </w:p>
  </w:footnote>
  <w:footnote w:id="105">
    <w:p w14:paraId="58A98DD0" w14:textId="7AD33978" w:rsidR="0087182A" w:rsidRDefault="0087182A" w:rsidP="004925B8">
      <w:pPr>
        <w:pStyle w:val="FootnoteText"/>
      </w:pPr>
      <w:r w:rsidRPr="001F5390">
        <w:rPr>
          <w:vertAlign w:val="superscript"/>
        </w:rPr>
        <w:footnoteRef/>
      </w:r>
      <w:r>
        <w:t xml:space="preserve"> Transmission Operations Australia (TOA) provided advice that it has no planned replacements or refurbishments within the planning horizon.</w:t>
      </w:r>
    </w:p>
  </w:footnote>
  <w:footnote w:id="106">
    <w:p w14:paraId="7BB23CC0" w14:textId="6329A9DB" w:rsidR="0087182A" w:rsidRDefault="0087182A" w:rsidP="0087182A">
      <w:pPr>
        <w:pStyle w:val="FootnoteText"/>
      </w:pPr>
      <w:r>
        <w:rPr>
          <w:rStyle w:val="FootnoteReference"/>
        </w:rPr>
        <w:footnoteRef/>
      </w:r>
      <w:r>
        <w:t xml:space="preserve"> At </w:t>
      </w:r>
      <w:hyperlink r:id="rId78" w:history="1">
        <w:r w:rsidR="009A6194" w:rsidRPr="00445C6F">
          <w:rPr>
            <w:rStyle w:val="Hyperlink"/>
          </w:rPr>
          <w:t>https://www.vicgrid.com.au/__data/assets/pdf_file/0040/768487/ausnet-services-asset-renewal-plan.pdf.pdf</w:t>
        </w:r>
      </w:hyperlink>
    </w:p>
  </w:footnote>
  <w:footnote w:id="107">
    <w:p w14:paraId="7FD189EE" w14:textId="1F0B326A" w:rsidR="0087182A" w:rsidRDefault="0087182A" w:rsidP="0087182A">
      <w:pPr>
        <w:pStyle w:val="FootnoteText"/>
        <w:tabs>
          <w:tab w:val="left" w:pos="7262"/>
        </w:tabs>
      </w:pPr>
      <w:r>
        <w:rPr>
          <w:rStyle w:val="FootnoteReference"/>
        </w:rPr>
        <w:footnoteRef/>
      </w:r>
      <w:r>
        <w:t xml:space="preserve"> See </w:t>
      </w:r>
      <w:hyperlink r:id="rId79" w:history="1">
        <w:r>
          <w:rPr>
            <w:rStyle w:val="Hyperlink"/>
          </w:rPr>
          <w:t>https://www.ausnetservices.com.au/projects-and-innovation/regulatory-investment-test</w:t>
        </w:r>
      </w:hyperlink>
      <w:r>
        <w:tab/>
      </w:r>
    </w:p>
  </w:footnote>
  <w:footnote w:id="108">
    <w:p w14:paraId="24A57D27" w14:textId="2947BF04" w:rsidR="0087182A" w:rsidRDefault="0087182A" w:rsidP="0087182A">
      <w:pPr>
        <w:pStyle w:val="FootnoteText"/>
      </w:pPr>
      <w:r>
        <w:rPr>
          <w:rStyle w:val="FootnoteReference"/>
        </w:rPr>
        <w:footnoteRef/>
      </w:r>
      <w:r>
        <w:t xml:space="preserve"> See </w:t>
      </w:r>
      <w:r w:rsidRPr="00F129EE">
        <w:rPr>
          <w:i/>
          <w:iCs/>
        </w:rPr>
        <w:t>Tower replacement on the Heywood to Alcoa Portland 500</w:t>
      </w:r>
      <w:r>
        <w:rPr>
          <w:i/>
          <w:iCs/>
        </w:rPr>
        <w:t xml:space="preserve"> </w:t>
      </w:r>
      <w:r w:rsidRPr="00F129EE">
        <w:rPr>
          <w:i/>
          <w:iCs/>
        </w:rPr>
        <w:t xml:space="preserve">kV </w:t>
      </w:r>
      <w:r>
        <w:t xml:space="preserve">PADR, at </w:t>
      </w:r>
      <w:hyperlink r:id="rId80" w:history="1">
        <w:r>
          <w:rPr>
            <w:rStyle w:val="Hyperlink"/>
          </w:rPr>
          <w:t>https://www.ausnetservices.com.au/-/media/project/ausnet/</w:t>
        </w:r>
        <w:r w:rsidRPr="008322C9">
          <w:rPr>
            <w:rFonts w:ascii="Arial" w:hAnsi="Arial" w:cs="Arial"/>
            <w:sz w:val="14"/>
            <w:szCs w:val="14"/>
          </w:rPr>
          <w:t>‌</w:t>
        </w:r>
        <w:r>
          <w:rPr>
            <w:rStyle w:val="Hyperlink"/>
          </w:rPr>
          <w:t>corporate-website/files/about/regulatory-investment-test/2024/rit-t_padr_tower-replacement-hyts-apd.pdf</w:t>
        </w:r>
      </w:hyperlink>
      <w:r>
        <w:fldChar w:fldCharType="begin"/>
      </w:r>
      <w:r>
        <w:instrText>"h</w:instrText>
      </w:r>
      <w:r w:rsidRPr="009B78E0">
        <w:instrText>ttps://www.ausnetservices.com.au/-/media/project/ausnet/corporate-website/files/about/regulatory-investment-test/regulatory-investment-test-for-transmission-pdfs/rit-t_conductor-and-groundwire-replacement_pscr.pdf</w:instrText>
      </w:r>
      <w:r>
        <w:instrText xml:space="preserve">" </w:instrText>
      </w:r>
      <w:r>
        <w:fldChar w:fldCharType="separate"/>
      </w:r>
      <w:r w:rsidRPr="00912157">
        <w:rPr>
          <w:rStyle w:val="Hyperlink"/>
        </w:rPr>
        <w:t>https://www.ausnetservices.com.au/-/media/project/ausnet/corporate-website/files/about/regulatory-investment-test/regulatory-investment-test-for-transmission-pdfs/rit-t_conductor-and-groundwire-replacement_pscr.pdf</w:t>
      </w:r>
      <w:r>
        <w:rPr>
          <w:rStyle w:val="Hyperlink"/>
        </w:rPr>
        <w:fldChar w:fldCharType="end"/>
      </w:r>
    </w:p>
  </w:footnote>
  <w:footnote w:id="109">
    <w:p w14:paraId="7BBF0739" w14:textId="166BB3CD" w:rsidR="0087182A" w:rsidRDefault="0087182A" w:rsidP="0087182A">
      <w:pPr>
        <w:pStyle w:val="FootnoteText"/>
      </w:pPr>
      <w:r>
        <w:rPr>
          <w:rStyle w:val="FootnoteReference"/>
        </w:rPr>
        <w:footnoteRef/>
      </w:r>
      <w:r>
        <w:t xml:space="preserve"> See </w:t>
      </w:r>
      <w:r w:rsidRPr="00F129EE">
        <w:rPr>
          <w:i/>
          <w:iCs/>
        </w:rPr>
        <w:t xml:space="preserve">Maintaining reliable transmission network services at South Morang Terminal Station </w:t>
      </w:r>
      <w:r>
        <w:t xml:space="preserve">PADR, at </w:t>
      </w:r>
      <w:hyperlink r:id="rId81" w:history="1">
        <w:r>
          <w:rPr>
            <w:rStyle w:val="Hyperlink"/>
          </w:rPr>
          <w:t>https://www.ausnetservices.com.au/-/media/project/ausnet/corporate-website/files/about/regulatory-investment-test/2025/smts-f2-transformer-and-gis-replacement---padr.pdf</w:t>
        </w:r>
      </w:hyperlink>
      <w:r>
        <w:fldChar w:fldCharType="begin"/>
      </w:r>
      <w:r>
        <w:instrText>"h</w:instrText>
      </w:r>
      <w:r w:rsidRPr="009B78E0">
        <w:instrText>ttps://www.ausnetservices.com.au/-/media/project/ausnet/corporate-website/files/about/regulatory-investment-test/regulatory-investment-test-for-transmission-pdfs/rit-t_conductor-and-groundwire-replacement_pscr.pdf</w:instrText>
      </w:r>
      <w:r>
        <w:instrText xml:space="preserve">" </w:instrText>
      </w:r>
      <w:r>
        <w:fldChar w:fldCharType="separate"/>
      </w:r>
      <w:r w:rsidRPr="00912157">
        <w:rPr>
          <w:rStyle w:val="Hyperlink"/>
        </w:rPr>
        <w:t>https://www.ausnetservices.com.au/-/media/project/ausnet/corporate-website/files/about/regulatory-investment-test/regulatory-investment-test-for-transmission-pdfs/rit-t_conductor-and-groundwire-replacement_pscr.pdf</w:t>
      </w:r>
      <w:r>
        <w:rPr>
          <w:rStyle w:val="Hyperlink"/>
        </w:rPr>
        <w:fldChar w:fldCharType="end"/>
      </w:r>
    </w:p>
  </w:footnote>
  <w:footnote w:id="110">
    <w:p w14:paraId="6A850F8A" w14:textId="3A7F0546" w:rsidR="0087182A" w:rsidRDefault="0087182A" w:rsidP="0087182A">
      <w:pPr>
        <w:pStyle w:val="FootnoteText"/>
      </w:pPr>
      <w:r>
        <w:rPr>
          <w:rStyle w:val="FootnoteReference"/>
        </w:rPr>
        <w:footnoteRef/>
      </w:r>
      <w:r>
        <w:t xml:space="preserve"> See </w:t>
      </w:r>
      <w:r w:rsidRPr="00F129EE">
        <w:rPr>
          <w:i/>
          <w:iCs/>
        </w:rPr>
        <w:t xml:space="preserve">Maintaining reliable </w:t>
      </w:r>
      <w:r w:rsidRPr="008F780B">
        <w:rPr>
          <w:i/>
          <w:iCs/>
        </w:rPr>
        <w:t xml:space="preserve">transmission network services at Keilor Terminal Station </w:t>
      </w:r>
      <w:r>
        <w:t xml:space="preserve">PADR, at </w:t>
      </w:r>
      <w:hyperlink r:id="rId82" w:history="1">
        <w:r>
          <w:rPr>
            <w:rStyle w:val="Hyperlink"/>
          </w:rPr>
          <w:t>https://www.ausnetservices.com.au/-/media/</w:t>
        </w:r>
        <w:r w:rsidRPr="008322C9">
          <w:rPr>
            <w:rFonts w:ascii="Arial" w:hAnsi="Arial" w:cs="Arial"/>
            <w:sz w:val="14"/>
            <w:szCs w:val="14"/>
          </w:rPr>
          <w:t>‌</w:t>
        </w:r>
        <w:r>
          <w:rPr>
            <w:rStyle w:val="Hyperlink"/>
          </w:rPr>
          <w:t>project/</w:t>
        </w:r>
        <w:r w:rsidR="000F22B7" w:rsidRPr="008322C9">
          <w:rPr>
            <w:rFonts w:ascii="Arial" w:hAnsi="Arial" w:cs="Arial"/>
            <w:sz w:val="14"/>
            <w:szCs w:val="14"/>
          </w:rPr>
          <w:t>‌</w:t>
        </w:r>
        <w:r>
          <w:rPr>
            <w:rStyle w:val="Hyperlink"/>
          </w:rPr>
          <w:t>ausnet/corporate-website/files/about/regulatory-investment-test/2025/kts-a-transformer-replacement-padr_final.pdf</w:t>
        </w:r>
      </w:hyperlink>
      <w:r>
        <w:fldChar w:fldCharType="begin"/>
      </w:r>
      <w:r>
        <w:instrText>"h</w:instrText>
      </w:r>
      <w:r w:rsidRPr="009B78E0">
        <w:instrText>ttps://www.ausnetservices.com.au/-/media/project/ausnet/corporate-website/files/about/regulatory-investment-test/regulatory-investment-test-for-transmission-pdfs/rit-t_conductor-and-groundwire-replacement_pscr.pdf</w:instrText>
      </w:r>
      <w:r>
        <w:instrText xml:space="preserve">" </w:instrText>
      </w:r>
      <w:r>
        <w:fldChar w:fldCharType="separate"/>
      </w:r>
      <w:r w:rsidRPr="00912157">
        <w:rPr>
          <w:rStyle w:val="Hyperlink"/>
        </w:rPr>
        <w:t>https://www.ausnetservices.com.au/-/media/project/ausnet/corporate-website/files/about/regulatory-investment-test/regulatory-investment-test-for-transmission-pdfs/rit-t_conductor-and-groundwire-replacement_pscr.pdf</w:t>
      </w:r>
      <w:r>
        <w:rPr>
          <w:rStyle w:val="Hyperlink"/>
        </w:rPr>
        <w:fldChar w:fldCharType="end"/>
      </w:r>
      <w:r>
        <w:fldChar w:fldCharType="begin"/>
      </w:r>
      <w:r>
        <w:instrText>"h</w:instrText>
      </w:r>
      <w:r w:rsidRPr="009B78E0">
        <w:instrText>ttps://www.ausnetservices.com.au/-/media/project/ausnet/corporate-website/files/about/regulatory-investment-test/regulatory-investment-test-for-transmission-pdfs/rit-t_conductor-and-groundwire-replacement_pscr.pdf</w:instrText>
      </w:r>
      <w:r>
        <w:instrText xml:space="preserve">" </w:instrText>
      </w:r>
      <w:r>
        <w:fldChar w:fldCharType="separate"/>
      </w:r>
      <w:r w:rsidRPr="00912157">
        <w:rPr>
          <w:rStyle w:val="Hyperlink"/>
        </w:rPr>
        <w:t>https://www.ausnetservices.com.au/-/media/project/ausnet/corporate-website/files/about/regulatory-investment-test/regulatory-investment-test-for-transmission-pdfs/rit-t_conductor-and-groundwire-replacement_pscr.pdf</w:t>
      </w:r>
      <w:r>
        <w:rPr>
          <w:rStyle w:val="Hyperlink"/>
        </w:rPr>
        <w:fldChar w:fldCharType="end"/>
      </w:r>
    </w:p>
  </w:footnote>
  <w:footnote w:id="111">
    <w:p w14:paraId="0DB20876" w14:textId="1FED84A4" w:rsidR="0087182A" w:rsidRDefault="0087182A" w:rsidP="0087182A">
      <w:pPr>
        <w:pStyle w:val="FootnoteText"/>
      </w:pPr>
      <w:r>
        <w:rPr>
          <w:rStyle w:val="FootnoteReference"/>
        </w:rPr>
        <w:footnoteRef/>
      </w:r>
      <w:r>
        <w:t xml:space="preserve"> See </w:t>
      </w:r>
      <w:r w:rsidRPr="00552ADE">
        <w:rPr>
          <w:i/>
          <w:iCs/>
        </w:rPr>
        <w:t>Transmission Insulator Replacement 500kV &amp; 220kV</w:t>
      </w:r>
      <w:r w:rsidRPr="00F129EE">
        <w:rPr>
          <w:i/>
          <w:iCs/>
        </w:rPr>
        <w:t xml:space="preserve"> </w:t>
      </w:r>
      <w:r>
        <w:t xml:space="preserve">PACR, at </w:t>
      </w:r>
      <w:hyperlink r:id="rId83" w:history="1">
        <w:r>
          <w:rPr>
            <w:rStyle w:val="Hyperlink"/>
          </w:rPr>
          <w:t>https://www.ausnetservices.com.au/-/media/project/ausnet/corporate-website/</w:t>
        </w:r>
        <w:r w:rsidR="000F22B7" w:rsidRPr="008322C9">
          <w:rPr>
            <w:rFonts w:ascii="Arial" w:hAnsi="Arial" w:cs="Arial"/>
            <w:sz w:val="14"/>
            <w:szCs w:val="14"/>
          </w:rPr>
          <w:t>‌</w:t>
        </w:r>
        <w:r>
          <w:rPr>
            <w:rStyle w:val="Hyperlink"/>
          </w:rPr>
          <w:t>files/about/regulatory-investment-test/2025/transmission-insulator-replacement_pacr.pdf</w:t>
        </w:r>
      </w:hyperlink>
      <w:r>
        <w:fldChar w:fldCharType="begin"/>
      </w:r>
      <w:r>
        <w:instrText>"h</w:instrText>
      </w:r>
      <w:r w:rsidRPr="009B78E0">
        <w:instrText>ttps://www.ausnetservices.com.au/-/media/project/ausnet/corporate-website/files/about/regulatory-investment-test/regulatory-investment-test-for-transmission-pdfs/rit-t_conductor-and-groundwire-replacement_pscr.pdf</w:instrText>
      </w:r>
      <w:r>
        <w:instrText xml:space="preserve">" </w:instrText>
      </w:r>
      <w:r>
        <w:fldChar w:fldCharType="separate"/>
      </w:r>
      <w:r w:rsidRPr="00912157">
        <w:rPr>
          <w:rStyle w:val="Hyperlink"/>
        </w:rPr>
        <w:t>https://www.ausnetservices.com.au/-/media/project/ausnet/corporate-website/files/about/regulatory-investment-test/regulatory-investment-test-for-transmission-pdfs/rit-t_conductor-and-groundwire-replacement_pscr.pdf</w:t>
      </w:r>
      <w:r>
        <w:rPr>
          <w:rStyle w:val="Hyperlink"/>
        </w:rPr>
        <w:fldChar w:fldCharType="end"/>
      </w:r>
    </w:p>
  </w:footnote>
  <w:footnote w:id="112">
    <w:p w14:paraId="01FB5CDB" w14:textId="1D3078C2" w:rsidR="0087182A" w:rsidRDefault="0087182A" w:rsidP="0087182A">
      <w:pPr>
        <w:pStyle w:val="FootnoteText"/>
      </w:pPr>
      <w:r>
        <w:rPr>
          <w:rStyle w:val="FootnoteReference"/>
        </w:rPr>
        <w:footnoteRef/>
      </w:r>
      <w:r>
        <w:t xml:space="preserve"> See </w:t>
      </w:r>
      <w:hyperlink r:id="rId84" w:history="1">
        <w:r>
          <w:rPr>
            <w:rStyle w:val="Hyperlink"/>
          </w:rPr>
          <w:t>https://www.ausnetservices.com.au/projects-and-innovation/regulatory-investment-test</w:t>
        </w:r>
      </w:hyperlink>
    </w:p>
  </w:footnote>
  <w:footnote w:id="113">
    <w:p w14:paraId="2325E3B3" w14:textId="77777777" w:rsidR="0087182A" w:rsidRDefault="0087182A" w:rsidP="0087182A">
      <w:pPr>
        <w:pStyle w:val="FootnoteText"/>
      </w:pPr>
      <w:r>
        <w:rPr>
          <w:rStyle w:val="FootnoteReference"/>
        </w:rPr>
        <w:footnoteRef/>
      </w:r>
      <w:r>
        <w:t xml:space="preserve"> </w:t>
      </w:r>
      <w:r>
        <w:rPr>
          <w:szCs w:val="16"/>
        </w:rPr>
        <w:t>That is, with all fault current sources connected and all network components in service.</w:t>
      </w:r>
    </w:p>
  </w:footnote>
  <w:footnote w:id="114">
    <w:p w14:paraId="7F9D0EF6" w14:textId="2E368F2D" w:rsidR="0087182A" w:rsidRDefault="0087182A" w:rsidP="0087182A">
      <w:pPr>
        <w:pStyle w:val="FootnoteText"/>
      </w:pPr>
      <w:r>
        <w:rPr>
          <w:rStyle w:val="FootnoteReference"/>
        </w:rPr>
        <w:footnoteRef/>
      </w:r>
      <w:r>
        <w:t xml:space="preserve"> More information is in the</w:t>
      </w:r>
      <w:r w:rsidR="00257E88">
        <w:t xml:space="preserve"> VNPIR</w:t>
      </w:r>
      <w:r>
        <w:t xml:space="preserve">, </w:t>
      </w:r>
      <w:r w:rsidR="007E0903">
        <w:t>see</w:t>
      </w:r>
      <w:r>
        <w:t xml:space="preserve"> </w:t>
      </w:r>
      <w:hyperlink r:id="rId85" w:history="1">
        <w:r w:rsidR="00272B8D" w:rsidRPr="00445C6F">
          <w:rPr>
            <w:rStyle w:val="Hyperlink"/>
          </w:rPr>
          <w:t>https://www.vicgrid.com.au/__data/assets/pdf_file/0023/769100/2025-Victorian-Network-Performance-and-Insights-Report.pdf</w:t>
        </w:r>
      </w:hyperlink>
    </w:p>
  </w:footnote>
  <w:footnote w:id="115">
    <w:p w14:paraId="4753E868" w14:textId="139226E0" w:rsidR="0087182A" w:rsidRDefault="0087182A" w:rsidP="0087182A">
      <w:pPr>
        <w:pStyle w:val="FootnoteText"/>
      </w:pPr>
      <w:r>
        <w:rPr>
          <w:rStyle w:val="FootnoteReference"/>
        </w:rPr>
        <w:footnoteRef/>
      </w:r>
      <w:r>
        <w:t xml:space="preserve"> </w:t>
      </w:r>
      <w:r w:rsidRPr="00CC6C0A">
        <w:t>For more details, see Section 2.3.2 of the</w:t>
      </w:r>
      <w:r w:rsidR="00257E88">
        <w:t xml:space="preserve"> VNPIR</w:t>
      </w:r>
      <w:r w:rsidRPr="00CC6C0A">
        <w:t xml:space="preserve">, at </w:t>
      </w:r>
      <w:hyperlink r:id="rId86" w:history="1">
        <w:r w:rsidR="00485AB7" w:rsidRPr="00445C6F">
          <w:rPr>
            <w:rStyle w:val="Hyperlink"/>
          </w:rPr>
          <w:t>https://www.vicgrid.com.au/__data/assets/pdf_file/0023/769100/2025-Victorian-Network-Performance-and-Insights-Report.pdf</w:t>
        </w:r>
      </w:hyperlink>
    </w:p>
  </w:footnote>
  <w:footnote w:id="116">
    <w:p w14:paraId="7907AD21" w14:textId="5321A0ED" w:rsidR="0087182A" w:rsidRDefault="0087182A" w:rsidP="0087182A">
      <w:pPr>
        <w:pStyle w:val="FootnoteText"/>
      </w:pPr>
      <w:bookmarkStart w:id="293" w:name="_Ref204696448"/>
      <w:r>
        <w:rPr>
          <w:rStyle w:val="FootnoteReference"/>
        </w:rPr>
        <w:footnoteRef/>
      </w:r>
      <w:bookmarkEnd w:id="293"/>
      <w:r>
        <w:t xml:space="preserve"> At </w:t>
      </w:r>
      <w:hyperlink r:id="rId87" w:history="1">
        <w:r w:rsidRPr="00C06A8F">
          <w:rPr>
            <w:rStyle w:val="Hyperlink"/>
          </w:rPr>
          <w:t>https://dapr.ausnetservices.com.au/ausnet_data/2024%20TCPR_17%20Dec.pdf</w:t>
        </w:r>
      </w:hyperlink>
      <w:r>
        <w:fldChar w:fldCharType="begin"/>
      </w:r>
      <w:r>
        <w:instrText xml:space="preserve"> REF _Ref204696438 \p \h </w:instrText>
      </w:r>
      <w:r>
        <w:fldChar w:fldCharType="end"/>
      </w:r>
      <w:r>
        <w:t xml:space="preserve"> </w:t>
      </w:r>
    </w:p>
  </w:footnote>
  <w:footnote w:id="117">
    <w:p w14:paraId="3689B28A" w14:textId="4460E08C" w:rsidR="0087182A" w:rsidRDefault="0087182A" w:rsidP="0087182A">
      <w:pPr>
        <w:pStyle w:val="FootnoteText"/>
      </w:pPr>
      <w:r>
        <w:rPr>
          <w:rStyle w:val="FootnoteReference"/>
        </w:rPr>
        <w:footnoteRef/>
      </w:r>
      <w:r>
        <w:t xml:space="preserve"> At </w:t>
      </w:r>
      <w:hyperlink r:id="rId88" w:history="1">
        <w:r w:rsidRPr="00C06A8F">
          <w:rPr>
            <w:rStyle w:val="Hyperlink"/>
          </w:rPr>
          <w:t>https://www.aemo.com.au/consultations/current-and-closed-consultations/ausnet-services-padr-maintain-reliable-transmission-network-services-at-keilor-terminal-station</w:t>
        </w:r>
      </w:hyperlink>
    </w:p>
  </w:footnote>
  <w:footnote w:id="118">
    <w:p w14:paraId="67B110ED" w14:textId="19E400CE" w:rsidR="00E77B70" w:rsidRDefault="00E77B70" w:rsidP="00E77B70">
      <w:pPr>
        <w:pStyle w:val="FootnoteText"/>
      </w:pPr>
      <w:r>
        <w:rPr>
          <w:rStyle w:val="FootnoteReference"/>
        </w:rPr>
        <w:footnoteRef/>
      </w:r>
      <w:r>
        <w:t xml:space="preserve"> </w:t>
      </w:r>
      <w:r w:rsidRPr="04D88258">
        <w:rPr>
          <w:rFonts w:ascii="Arial Nova" w:eastAsia="Arial Nova" w:hAnsi="Arial Nova" w:cs="Arial Nova"/>
          <w:szCs w:val="16"/>
        </w:rPr>
        <w:t xml:space="preserve">See </w:t>
      </w:r>
      <w:hyperlink r:id="rId89">
        <w:r w:rsidRPr="04D88258">
          <w:rPr>
            <w:rStyle w:val="Hyperlink"/>
            <w:rFonts w:ascii="Arial Nova" w:eastAsia="Arial Nova" w:hAnsi="Arial Nova" w:cs="Arial Nova"/>
            <w:color w:val="6B3077" w:themeColor="accent1"/>
            <w:szCs w:val="16"/>
          </w:rPr>
          <w:t>https://www.energy.vic.gov.au/renewable-energy/victorian-renewable-energy-and-storage-targets#heading-1</w:t>
        </w:r>
      </w:hyperlink>
    </w:p>
  </w:footnote>
  <w:footnote w:id="119">
    <w:p w14:paraId="0EE34757" w14:textId="1EFDFC34" w:rsidR="00E77B70" w:rsidRDefault="00E77B70" w:rsidP="00E77B70">
      <w:pPr>
        <w:pStyle w:val="FootnoteText"/>
      </w:pPr>
      <w:r>
        <w:rPr>
          <w:rStyle w:val="FootnoteReference"/>
        </w:rPr>
        <w:footnoteRef/>
      </w:r>
      <w:r>
        <w:t xml:space="preserve"> </w:t>
      </w:r>
      <w:r w:rsidRPr="04D88258">
        <w:rPr>
          <w:rFonts w:ascii="Arial Nova" w:eastAsia="Arial Nova" w:hAnsi="Arial Nova" w:cs="Arial Nova"/>
          <w:szCs w:val="16"/>
        </w:rPr>
        <w:t xml:space="preserve">See </w:t>
      </w:r>
      <w:hyperlink r:id="rId90">
        <w:r w:rsidRPr="04D88258">
          <w:rPr>
            <w:rStyle w:val="Hyperlink"/>
            <w:rFonts w:ascii="Arial Nova" w:eastAsia="Arial Nova" w:hAnsi="Arial Nova" w:cs="Arial Nova"/>
            <w:color w:val="6B3077" w:themeColor="accent1"/>
            <w:szCs w:val="16"/>
          </w:rPr>
          <w:t>https://www.energy.vic.gov.au/renewable-energy/victorian-renewable-energy-and-storage-targets/victorian-renewable-energy-target-auction-vret2</w:t>
        </w:r>
      </w:hyperlink>
    </w:p>
  </w:footnote>
  <w:footnote w:id="120">
    <w:p w14:paraId="40349605" w14:textId="3CAD9361" w:rsidR="00E77B70" w:rsidRDefault="00E77B70" w:rsidP="00E77B70">
      <w:pPr>
        <w:pStyle w:val="FootnoteText"/>
      </w:pPr>
      <w:r>
        <w:rPr>
          <w:rStyle w:val="FootnoteReference"/>
        </w:rPr>
        <w:footnoteRef/>
      </w:r>
      <w:r>
        <w:t xml:space="preserve"> </w:t>
      </w:r>
      <w:r w:rsidRPr="04D88258">
        <w:rPr>
          <w:rFonts w:ascii="Arial Nova" w:eastAsia="Arial Nova" w:hAnsi="Arial Nova" w:cs="Arial Nova"/>
          <w:szCs w:val="16"/>
        </w:rPr>
        <w:t xml:space="preserve">See </w:t>
      </w:r>
      <w:hyperlink r:id="rId91">
        <w:r w:rsidRPr="04D88258">
          <w:rPr>
            <w:rStyle w:val="Hyperlink"/>
            <w:rFonts w:ascii="Arial Nova" w:eastAsia="Arial Nova" w:hAnsi="Arial Nova" w:cs="Arial Nova"/>
            <w:color w:val="6B3077" w:themeColor="accent1"/>
            <w:szCs w:val="16"/>
          </w:rPr>
          <w:t>https://www.energy.vic.gov.au/renewable-energy/victorian-renewable-energy-and-storage-targets</w:t>
        </w:r>
      </w:hyperlink>
    </w:p>
  </w:footnote>
  <w:footnote w:id="121">
    <w:p w14:paraId="3C6C073F" w14:textId="31BEC94F" w:rsidR="00E77B70" w:rsidRDefault="00E77B70" w:rsidP="00E77B70">
      <w:pPr>
        <w:pStyle w:val="FootnoteText"/>
      </w:pPr>
      <w:r>
        <w:rPr>
          <w:rStyle w:val="FootnoteReference"/>
        </w:rPr>
        <w:footnoteRef/>
      </w:r>
      <w:r>
        <w:t xml:space="preserve"> </w:t>
      </w:r>
      <w:r w:rsidRPr="04D88258">
        <w:rPr>
          <w:rFonts w:ascii="Arial Nova" w:eastAsia="Arial Nova" w:hAnsi="Arial Nova" w:cs="Arial Nova"/>
          <w:szCs w:val="16"/>
        </w:rPr>
        <w:t xml:space="preserve">See </w:t>
      </w:r>
      <w:hyperlink r:id="rId92">
        <w:r w:rsidRPr="04D88258">
          <w:rPr>
            <w:rStyle w:val="Hyperlink"/>
            <w:rFonts w:ascii="Arial Nova" w:eastAsia="Arial Nova" w:hAnsi="Arial Nova" w:cs="Arial Nova"/>
            <w:color w:val="6B3077" w:themeColor="accent1"/>
            <w:szCs w:val="16"/>
          </w:rPr>
          <w:t>https://www.energy.vic.gov.au/renewable-energy/zero-emission-vehicles#heading-3</w:t>
        </w:r>
      </w:hyperlink>
    </w:p>
  </w:footnote>
  <w:footnote w:id="122">
    <w:p w14:paraId="175ED607" w14:textId="6C367F49" w:rsidR="00E77B70" w:rsidRDefault="00E77B70" w:rsidP="00E77B70">
      <w:pPr>
        <w:pStyle w:val="FootnoteText"/>
      </w:pPr>
      <w:r>
        <w:rPr>
          <w:rStyle w:val="FootnoteReference"/>
        </w:rPr>
        <w:footnoteRef/>
      </w:r>
      <w:r>
        <w:t xml:space="preserve"> See </w:t>
      </w:r>
      <w:hyperlink r:id="rId93" w:history="1">
        <w:r w:rsidRPr="00C06A8F">
          <w:rPr>
            <w:rStyle w:val="Hyperlink"/>
          </w:rPr>
          <w:t>https://www.vic.gov.au/department-transport-and-planning</w:t>
        </w:r>
      </w:hyperlink>
    </w:p>
  </w:footnote>
  <w:footnote w:id="123">
    <w:p w14:paraId="2C4591BA" w14:textId="5398A5F4" w:rsidR="00E77B70" w:rsidRDefault="00E77B70" w:rsidP="00E77B70">
      <w:pPr>
        <w:pStyle w:val="FootnoteText"/>
      </w:pPr>
      <w:r>
        <w:rPr>
          <w:rStyle w:val="FootnoteReference"/>
        </w:rPr>
        <w:footnoteRef/>
      </w:r>
      <w:r>
        <w:t xml:space="preserve"> See </w:t>
      </w:r>
      <w:hyperlink r:id="rId94" w:history="1">
        <w:r w:rsidRPr="00C06A8F">
          <w:rPr>
            <w:rStyle w:val="Hyperlink"/>
          </w:rPr>
          <w:t>https://www.secvictoria.com.au/__data/assets/pdf_file/0007/1321/SEC-Strategic-Plan.pdf</w:t>
        </w:r>
      </w:hyperlink>
    </w:p>
  </w:footnote>
  <w:footnote w:id="124">
    <w:p w14:paraId="03F4557B" w14:textId="6C26E8DD" w:rsidR="00E77B70" w:rsidRDefault="00E77B70" w:rsidP="00E77B70">
      <w:pPr>
        <w:pStyle w:val="FootnoteText"/>
      </w:pPr>
      <w:r>
        <w:rPr>
          <w:rStyle w:val="FootnoteReference"/>
        </w:rPr>
        <w:footnoteRef/>
      </w:r>
      <w:r>
        <w:t xml:space="preserve"> </w:t>
      </w:r>
      <w:r w:rsidRPr="04D88258">
        <w:rPr>
          <w:rFonts w:ascii="Arial Nova" w:eastAsia="Arial Nova" w:hAnsi="Arial Nova" w:cs="Arial Nova"/>
          <w:szCs w:val="16"/>
        </w:rPr>
        <w:t xml:space="preserve">See </w:t>
      </w:r>
      <w:hyperlink r:id="rId95">
        <w:r w:rsidRPr="04D88258">
          <w:rPr>
            <w:rStyle w:val="Hyperlink"/>
            <w:rFonts w:ascii="Arial Nova" w:eastAsia="Arial Nova" w:hAnsi="Arial Nova" w:cs="Arial Nova"/>
            <w:color w:val="6B3077" w:themeColor="accent1"/>
            <w:szCs w:val="16"/>
          </w:rPr>
          <w:t>https://www.climatechange.vic.gov.au/climate-action-targets</w:t>
        </w:r>
      </w:hyperlink>
    </w:p>
  </w:footnote>
  <w:footnote w:id="125">
    <w:p w14:paraId="4F7FF90B" w14:textId="2CE5A630" w:rsidR="00E77B70" w:rsidRDefault="00E77B70" w:rsidP="00E77B70">
      <w:pPr>
        <w:pStyle w:val="FootnoteText"/>
      </w:pPr>
      <w:r>
        <w:rPr>
          <w:rStyle w:val="FootnoteReference"/>
        </w:rPr>
        <w:footnoteRef/>
      </w:r>
      <w:r>
        <w:t xml:space="preserve"> </w:t>
      </w:r>
      <w:r w:rsidRPr="04D88258">
        <w:rPr>
          <w:rFonts w:ascii="Arial Nova" w:eastAsia="Arial Nova" w:hAnsi="Arial Nova" w:cs="Arial Nova"/>
          <w:szCs w:val="16"/>
        </w:rPr>
        <w:t xml:space="preserve">See </w:t>
      </w:r>
      <w:hyperlink r:id="rId96">
        <w:r w:rsidRPr="04D88258">
          <w:rPr>
            <w:rStyle w:val="Hyperlink"/>
            <w:rFonts w:ascii="Arial Nova" w:eastAsia="Arial Nova" w:hAnsi="Arial Nova" w:cs="Arial Nova"/>
            <w:color w:val="6B3077" w:themeColor="accent1"/>
            <w:szCs w:val="16"/>
          </w:rPr>
          <w:t>https://www.energy.vic.gov.au/grants/energy-innovation-fund</w:t>
        </w:r>
      </w:hyperlink>
    </w:p>
  </w:footnote>
  <w:footnote w:id="126">
    <w:p w14:paraId="7B81FF06" w14:textId="4A2C7336" w:rsidR="00E77B70" w:rsidRDefault="00E77B70" w:rsidP="00E77B70">
      <w:pPr>
        <w:pStyle w:val="FootnoteText"/>
      </w:pPr>
      <w:r>
        <w:rPr>
          <w:rStyle w:val="FootnoteReference"/>
        </w:rPr>
        <w:footnoteRef/>
      </w:r>
      <w:r>
        <w:t xml:space="preserve"> See </w:t>
      </w:r>
      <w:hyperlink r:id="rId97" w:history="1">
        <w:r w:rsidRPr="00C06A8F">
          <w:rPr>
            <w:rStyle w:val="Hyperlink"/>
          </w:rPr>
          <w:t>https://www.solar.vic.gov.au/sites/default/files/2025-06/Notice-to-Market-2025%E2%80%9326_v1.pdf</w:t>
        </w:r>
      </w:hyperlink>
    </w:p>
  </w:footnote>
  <w:footnote w:id="127">
    <w:p w14:paraId="452175D3" w14:textId="5C9DE43F" w:rsidR="00E77B70" w:rsidRDefault="00E77B70" w:rsidP="00E77B70">
      <w:pPr>
        <w:pStyle w:val="FootnoteText"/>
      </w:pPr>
      <w:r>
        <w:rPr>
          <w:rStyle w:val="FootnoteReference"/>
        </w:rPr>
        <w:footnoteRef/>
      </w:r>
      <w:r>
        <w:t xml:space="preserve"> See </w:t>
      </w:r>
      <w:hyperlink r:id="rId98" w:history="1">
        <w:r w:rsidRPr="00C06A8F">
          <w:rPr>
            <w:rStyle w:val="Hyperlink"/>
          </w:rPr>
          <w:t>https://www.solar.vic.gov.au/technology-guidelines</w:t>
        </w:r>
      </w:hyperlink>
    </w:p>
  </w:footnote>
  <w:footnote w:id="128">
    <w:p w14:paraId="2FB2082E" w14:textId="7E6FA45B" w:rsidR="00E77B70" w:rsidRDefault="00E77B70" w:rsidP="00E77B70">
      <w:pPr>
        <w:pStyle w:val="FootnoteText"/>
      </w:pPr>
      <w:r>
        <w:rPr>
          <w:rStyle w:val="FootnoteReference"/>
        </w:rPr>
        <w:footnoteRef/>
      </w:r>
      <w:r>
        <w:t xml:space="preserve"> </w:t>
      </w:r>
      <w:r w:rsidRPr="04D88258">
        <w:rPr>
          <w:rFonts w:ascii="Arial Nova" w:eastAsia="Arial Nova" w:hAnsi="Arial Nova" w:cs="Arial Nova"/>
          <w:szCs w:val="16"/>
        </w:rPr>
        <w:t xml:space="preserve">See </w:t>
      </w:r>
      <w:hyperlink r:id="rId99">
        <w:r w:rsidRPr="04D88258">
          <w:rPr>
            <w:rStyle w:val="Hyperlink"/>
            <w:rFonts w:ascii="Arial Nova" w:eastAsia="Arial Nova" w:hAnsi="Arial Nova" w:cs="Arial Nova"/>
            <w:color w:val="6B3077" w:themeColor="accent1"/>
            <w:szCs w:val="16"/>
          </w:rPr>
          <w:t>https://www.energy.vic.gov.au/renewable-energy/victorias-gas-substitution-roadmap</w:t>
        </w:r>
      </w:hyperlink>
    </w:p>
  </w:footnote>
  <w:footnote w:id="129">
    <w:p w14:paraId="5BF08F19" w14:textId="123D62A3" w:rsidR="00E77B70" w:rsidRDefault="00E77B70" w:rsidP="00E77B70">
      <w:pPr>
        <w:pStyle w:val="FootnoteText"/>
      </w:pPr>
      <w:r>
        <w:rPr>
          <w:rStyle w:val="FootnoteReference"/>
        </w:rPr>
        <w:footnoteRef/>
      </w:r>
      <w:r>
        <w:t xml:space="preserve"> </w:t>
      </w:r>
      <w:r w:rsidRPr="0004192C">
        <w:t xml:space="preserve">See </w:t>
      </w:r>
      <w:hyperlink r:id="rId100" w:history="1">
        <w:r w:rsidRPr="00C06A8F">
          <w:rPr>
            <w:rStyle w:val="Hyperlink"/>
          </w:rPr>
          <w:t>https://www.dcceew.gov.au/energy/renewable/capacity-investment-scheme</w:t>
        </w:r>
      </w:hyperlink>
    </w:p>
  </w:footnote>
  <w:footnote w:id="130">
    <w:p w14:paraId="36AE8960" w14:textId="4ADB649E" w:rsidR="00E77B70" w:rsidRDefault="00E77B70" w:rsidP="00E77B70">
      <w:pPr>
        <w:pStyle w:val="FootnoteText"/>
      </w:pPr>
      <w:r>
        <w:rPr>
          <w:rStyle w:val="FootnoteReference"/>
        </w:rPr>
        <w:footnoteRef/>
      </w:r>
      <w:r>
        <w:t xml:space="preserve"> See Section 3 in the</w:t>
      </w:r>
      <w:r w:rsidR="00257E88">
        <w:t xml:space="preserve"> VNPIR</w:t>
      </w:r>
      <w:r>
        <w:t xml:space="preserve">, at </w:t>
      </w:r>
      <w:hyperlink r:id="rId101" w:history="1">
        <w:r w:rsidR="007F61C8" w:rsidRPr="00445C6F">
          <w:rPr>
            <w:rStyle w:val="Hyperlink"/>
          </w:rPr>
          <w:t>https://www.vicgrid.com.au/__data/assets/pdf_file/0023/769100/2025-Victorian-Network-Performance-and-Insights-Report.pdf</w:t>
        </w:r>
      </w:hyperlink>
    </w:p>
  </w:footnote>
  <w:footnote w:id="131">
    <w:p w14:paraId="60D8F2CD" w14:textId="6711C045" w:rsidR="00E77B70" w:rsidRDefault="00E77B70" w:rsidP="00E77B70">
      <w:pPr>
        <w:pStyle w:val="FootnoteText"/>
      </w:pPr>
      <w:r>
        <w:rPr>
          <w:rStyle w:val="FootnoteReference"/>
        </w:rPr>
        <w:footnoteRef/>
      </w:r>
      <w:r>
        <w:t xml:space="preserve"> For more information, see </w:t>
      </w:r>
      <w:r w:rsidRPr="001D53FB">
        <w:rPr>
          <w:i/>
          <w:iCs/>
        </w:rPr>
        <w:t>Inertia Requirements Methodology Inertia Requirements and Shortfalls</w:t>
      </w:r>
      <w:r>
        <w:t xml:space="preserve">, at </w:t>
      </w:r>
      <w:hyperlink r:id="rId102" w:history="1">
        <w:r w:rsidRPr="007A2C90">
          <w:rPr>
            <w:rStyle w:val="Hyperlink"/>
          </w:rPr>
          <w:t>https://www.aemo.com.au/-/media/Files/</w:t>
        </w:r>
        <w:r w:rsidRPr="000832DC">
          <w:rPr>
            <w:rFonts w:ascii="Segoe UI Semilight" w:hAnsi="Segoe UI Semilight" w:cs="Segoe UI Semilight"/>
            <w:szCs w:val="14"/>
          </w:rPr>
          <w:t>‌</w:t>
        </w:r>
        <w:r w:rsidRPr="007A2C90">
          <w:rPr>
            <w:rStyle w:val="Hyperlink"/>
          </w:rPr>
          <w:t>Electricity/</w:t>
        </w:r>
        <w:r w:rsidRPr="000832DC">
          <w:rPr>
            <w:rFonts w:ascii="Segoe UI Semilight" w:hAnsi="Segoe UI Semilight" w:cs="Segoe UI Semilight"/>
            <w:szCs w:val="14"/>
          </w:rPr>
          <w:t>‌‌</w:t>
        </w:r>
        <w:r w:rsidRPr="007A2C90">
          <w:rPr>
            <w:rStyle w:val="Hyperlink"/>
          </w:rPr>
          <w:t>NEM/</w:t>
        </w:r>
        <w:r w:rsidRPr="000832DC">
          <w:rPr>
            <w:rFonts w:ascii="Segoe UI Semilight" w:hAnsi="Segoe UI Semilight" w:cs="Segoe UI Semilight"/>
            <w:szCs w:val="14"/>
          </w:rPr>
          <w:t>‌‌</w:t>
        </w:r>
        <w:r w:rsidRPr="007A2C90">
          <w:rPr>
            <w:rStyle w:val="Hyperlink"/>
          </w:rPr>
          <w:t>Security_and_Reliability/System-Security-Market-Frameworks-Review/2018/Inertia_Requirements_</w:t>
        </w:r>
        <w:r w:rsidRPr="008322C9">
          <w:rPr>
            <w:rFonts w:ascii="Arial" w:hAnsi="Arial" w:cs="Arial"/>
            <w:sz w:val="14"/>
            <w:szCs w:val="14"/>
          </w:rPr>
          <w:t>‌</w:t>
        </w:r>
        <w:r w:rsidRPr="007A2C90">
          <w:rPr>
            <w:rStyle w:val="Hyperlink"/>
          </w:rPr>
          <w:t>Methodology</w:t>
        </w:r>
        <w:r w:rsidRPr="008322C9">
          <w:rPr>
            <w:rFonts w:ascii="Arial" w:hAnsi="Arial" w:cs="Arial"/>
            <w:sz w:val="14"/>
            <w:szCs w:val="14"/>
          </w:rPr>
          <w:t>‌</w:t>
        </w:r>
        <w:r w:rsidRPr="007A2C90">
          <w:rPr>
            <w:rStyle w:val="Hyperlink"/>
          </w:rPr>
          <w:t>_</w:t>
        </w:r>
        <w:r w:rsidRPr="008322C9">
          <w:rPr>
            <w:rFonts w:ascii="Arial" w:hAnsi="Arial" w:cs="Arial"/>
            <w:sz w:val="14"/>
            <w:szCs w:val="14"/>
          </w:rPr>
          <w:t>‌</w:t>
        </w:r>
        <w:r w:rsidRPr="007A2C90">
          <w:rPr>
            <w:rStyle w:val="Hyperlink"/>
          </w:rPr>
          <w:t>PUBLISHED.pdf</w:t>
        </w:r>
      </w:hyperlink>
    </w:p>
  </w:footnote>
  <w:footnote w:id="132">
    <w:p w14:paraId="7DE794E2" w14:textId="7819DD3D" w:rsidR="00E77B70" w:rsidRDefault="00E77B70" w:rsidP="00E77B70">
      <w:pPr>
        <w:pStyle w:val="FootnoteText"/>
      </w:pPr>
      <w:r>
        <w:rPr>
          <w:rStyle w:val="FootnoteReference"/>
        </w:rPr>
        <w:footnoteRef/>
      </w:r>
      <w:r>
        <w:t xml:space="preserve"> </w:t>
      </w:r>
      <w:r w:rsidR="00742696">
        <w:t xml:space="preserve">See the </w:t>
      </w:r>
      <w:r w:rsidR="00742696" w:rsidRPr="00742696">
        <w:rPr>
          <w:i/>
          <w:iCs/>
        </w:rPr>
        <w:t>Victorian Electricity Planning Approach</w:t>
      </w:r>
      <w:r w:rsidR="00742696">
        <w:t xml:space="preserve"> at</w:t>
      </w:r>
      <w:r>
        <w:t xml:space="preserve"> </w:t>
      </w:r>
      <w:hyperlink r:id="rId103" w:history="1">
        <w:r w:rsidR="00BE4DE2">
          <w:rPr>
            <w:rStyle w:val="Hyperlink"/>
          </w:rPr>
          <w:t>https://www.aemo.com.au/energy-systems/electricity/national-electricity-market-nem/nem-forecasting-and-planning/victorian-planning/victorian-transmission-network-service-provider-role</w:t>
        </w:r>
      </w:hyperlink>
    </w:p>
  </w:footnote>
  <w:footnote w:id="133">
    <w:p w14:paraId="3847B051" w14:textId="51D64964" w:rsidR="00E77B70" w:rsidRDefault="00E77B70" w:rsidP="00E77B70">
      <w:pPr>
        <w:pStyle w:val="FootnoteText"/>
      </w:pPr>
      <w:r>
        <w:rPr>
          <w:rStyle w:val="FootnoteReference"/>
        </w:rPr>
        <w:footnoteRef/>
      </w:r>
      <w:r>
        <w:t xml:space="preserve"> See </w:t>
      </w:r>
      <w:hyperlink r:id="rId104" w:history="1">
        <w:r w:rsidR="005B2BFC" w:rsidRPr="005B2BFC">
          <w:rPr>
            <w:rStyle w:val="Hyperlink"/>
          </w:rPr>
          <w:t>https://www.vicgrid.com.au/__data/assets/pdf_file/0032/761396/2025-victorian-transmission-plan.pdf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54E04" w14:textId="6B720AD9" w:rsidR="00C303E0" w:rsidRDefault="008E2BEB" w:rsidP="00AF3454">
    <w:pPr>
      <w:pStyle w:val="Header"/>
    </w:pPr>
    <w:r>
      <w:rPr>
        <w:noProof/>
      </w:rPr>
      <w:drawing>
        <wp:anchor distT="0" distB="0" distL="114300" distR="114300" simplePos="0" relativeHeight="251658244" behindDoc="0" locked="0" layoutInCell="1" allowOverlap="1" wp14:anchorId="69C793F7" wp14:editId="3CBAD58E">
          <wp:simplePos x="0" y="0"/>
          <wp:positionH relativeFrom="margin">
            <wp:posOffset>4520207</wp:posOffset>
          </wp:positionH>
          <wp:positionV relativeFrom="paragraph">
            <wp:posOffset>700322</wp:posOffset>
          </wp:positionV>
          <wp:extent cx="2027437" cy="925835"/>
          <wp:effectExtent l="0" t="0" r="0" b="7620"/>
          <wp:wrapNone/>
          <wp:docPr id="929829855" name="Picture 9298298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7437" cy="9258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38601676" wp14:editId="08489460">
              <wp:simplePos x="0" y="0"/>
              <wp:positionH relativeFrom="column">
                <wp:posOffset>4648062</wp:posOffset>
              </wp:positionH>
              <wp:positionV relativeFrom="paragraph">
                <wp:posOffset>167530</wp:posOffset>
              </wp:positionV>
              <wp:extent cx="1828800" cy="1701579"/>
              <wp:effectExtent l="0" t="0" r="0" b="0"/>
              <wp:wrapNone/>
              <wp:docPr id="81446938" name="Rectangle 1"/>
              <wp:cNvGraphicFramePr/>
              <a:graphic xmlns:a="http://schemas.openxmlformats.org/drawingml/2006/main">
                <a:graphicData uri="http://schemas.microsoft.com/office/word/2010/wordprocessingShape">
                  <wps:wsp>
                    <wps:cNvSpPr/>
                    <wps:spPr>
                      <a:xfrm>
                        <a:off x="0" y="0"/>
                        <a:ext cx="1828800" cy="170157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FA87541">
            <v:rect id="Rectangle 1" style="position:absolute;margin-left:366pt;margin-top:13.2pt;width:2in;height:134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69E2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"/>
          </w:pict>
        </mc:Fallback>
      </mc:AlternateContent>
    </w:r>
    <w:r w:rsidR="00C303E0" w:rsidRPr="009A1F4D">
      <w:rPr>
        <w:noProof/>
        <w:color w:val="9E4E95"/>
      </w:rPr>
      <w:drawing>
        <wp:anchor distT="0" distB="0" distL="114300" distR="114300" simplePos="0" relativeHeight="251658240" behindDoc="1" locked="1" layoutInCell="1" allowOverlap="1" wp14:anchorId="3EFB0913" wp14:editId="3F97F2B9">
          <wp:simplePos x="0" y="0"/>
          <wp:positionH relativeFrom="page">
            <wp:align>left</wp:align>
          </wp:positionH>
          <wp:positionV relativeFrom="page">
            <wp:align>top</wp:align>
          </wp:positionV>
          <wp:extent cx="7555865" cy="10688320"/>
          <wp:effectExtent l="0" t="0" r="698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
                    <a:extLst>
                      <a:ext uri="{28A0092B-C50C-407E-A947-70E740481C1C}">
                        <a14:useLocalDpi xmlns:a14="http://schemas.microsoft.com/office/drawing/2010/main" val="0"/>
                      </a:ext>
                    </a:extLst>
                  </a:blip>
                  <a:stretch>
                    <a:fillRect/>
                  </a:stretch>
                </pic:blipFill>
                <pic:spPr>
                  <a:xfrm>
                    <a:off x="0" y="0"/>
                    <a:ext cx="7556223"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755F" w14:textId="77777777" w:rsidR="00A9731B" w:rsidRPr="00DC386E" w:rsidRDefault="00A9731B" w:rsidP="009F5BA9">
    <w:pPr>
      <w:pStyle w:val="Header-SectionHeading"/>
    </w:pPr>
    <w:r w:rsidRPr="006E3EC4">
      <w:rPr>
        <w:noProof/>
      </w:rPr>
      <mc:AlternateContent>
        <mc:Choice Requires="wpg">
          <w:drawing>
            <wp:anchor distT="0" distB="0" distL="114935" distR="114935" simplePos="0" relativeHeight="251658251" behindDoc="1" locked="1" layoutInCell="1" allowOverlap="1" wp14:anchorId="083946B6" wp14:editId="185A6439">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114669278"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851262218"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6980255"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905732"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5168352"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767363"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4089617"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3427205"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581805"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65B17DF">
            <v:group id="Header Graphic" style="position:absolute;margin-left:16.85pt;margin-top:0;width:68.05pt;height:90.7pt;z-index:-251658229;mso-wrap-distance-left:9.05pt;mso-wrap-distance-right:9.05pt;mso-position-horizontal:right;mso-position-horizontal-relative:page;mso-position-vertical:top;mso-position-vertical-relative:page;mso-width-relative:margin;mso-height-relative:margin" coordsize="8649,11530" o:spid="_x0000_s1026" w14:anchorId="2F536E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"/>
              <w10:wrap type="tight" anchorx="page" anchory="page"/>
              <w10:anchorlock/>
            </v:group>
          </w:pict>
        </mc:Fallback>
      </mc:AlternateContent>
    </w:r>
    <w:r>
      <w:t>Transmission Development Plan for Victoria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8F4C" w14:textId="77777777" w:rsidR="00A9731B" w:rsidRPr="00DC386E" w:rsidRDefault="00A9731B" w:rsidP="009F5BA9">
    <w:pPr>
      <w:pStyle w:val="Header-SectionHeading"/>
    </w:pPr>
    <w:r w:rsidRPr="006E3EC4">
      <w:rPr>
        <w:noProof/>
      </w:rPr>
      <mc:AlternateContent>
        <mc:Choice Requires="wpg">
          <w:drawing>
            <wp:anchor distT="0" distB="0" distL="114935" distR="114935" simplePos="0" relativeHeight="251658252" behindDoc="1" locked="1" layoutInCell="1" allowOverlap="1" wp14:anchorId="739336BD" wp14:editId="71A7F295">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99184757"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2120599089"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805720"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0567625"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3432858"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5850532"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447623"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4432899"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6092048"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A7119DC">
            <v:group id="Header Graphic" style="position:absolute;margin-left:16.85pt;margin-top:0;width:68.05pt;height:90.7pt;z-index:-251658228;mso-wrap-distance-left:9.05pt;mso-wrap-distance-right:9.05pt;mso-position-horizontal:right;mso-position-horizontal-relative:page;mso-position-vertical:top;mso-position-vertical-relative:page;mso-width-relative:margin;mso-height-relative:margin" coordsize="8649,11530" o:spid="_x0000_s1026" w14:anchorId="152EC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"/>
              <w10:wrap type="tight" anchorx="page" anchory="page"/>
              <w10:anchorlock/>
            </v:group>
          </w:pict>
        </mc:Fallback>
      </mc:AlternateContent>
    </w:r>
    <w:r>
      <w:t>Transmission Development Plan for Victoria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C219" w14:textId="53429BCE" w:rsidR="005577C0" w:rsidRPr="00DC386E" w:rsidRDefault="005577C0">
    <w:pPr>
      <w:pStyle w:val="Header-SectionHeading"/>
    </w:pPr>
    <w:r w:rsidRPr="006E3EC4">
      <w:rPr>
        <w:noProof/>
      </w:rPr>
      <mc:AlternateContent>
        <mc:Choice Requires="wpg">
          <w:drawing>
            <wp:anchor distT="0" distB="0" distL="114935" distR="114935" simplePos="0" relativeHeight="251658262" behindDoc="1" locked="1" layoutInCell="1" allowOverlap="1" wp14:anchorId="78624C9E" wp14:editId="6E224973">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20180854"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640432887"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7594848"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0112472"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7525614"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936039"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1600417"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0799816"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3381436"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97C409D">
            <v:group id="Header Graphic" style="position:absolute;margin-left:16.85pt;margin-top:0;width:68.05pt;height:90.7pt;z-index:-251658218;mso-wrap-distance-left:9.05pt;mso-wrap-distance-right:9.05pt;mso-position-horizontal:right;mso-position-horizontal-relative:page;mso-position-vertical:top;mso-position-vertical-relative:page;mso-width-relative:margin;mso-height-relative:margin" coordsize="8649,11530" o:spid="_x0000_s1026" w14:anchorId="0FF2C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"/>
              <w10:wrap type="tight" anchorx="page" anchory="page"/>
              <w10:anchorlock/>
            </v:group>
          </w:pict>
        </mc:Fallback>
      </mc:AlternateContent>
    </w:r>
    <w:r w:rsidR="001E006A">
      <w:t>Future outlook of the DSN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5E48" w14:textId="0F8B003D" w:rsidR="005577C0" w:rsidRPr="00DC386E" w:rsidRDefault="005577C0">
    <w:pPr>
      <w:pStyle w:val="Header-SectionHeading"/>
    </w:pPr>
    <w:r w:rsidRPr="006E3EC4">
      <w:rPr>
        <w:noProof/>
      </w:rPr>
      <mc:AlternateContent>
        <mc:Choice Requires="wpg">
          <w:drawing>
            <wp:anchor distT="0" distB="0" distL="114935" distR="114935" simplePos="0" relativeHeight="251658263" behindDoc="1" locked="1" layoutInCell="1" allowOverlap="1" wp14:anchorId="3468C1E1" wp14:editId="31E2AD61">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4"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6D1BB36">
            <v:group id="Header Graphic" style="position:absolute;margin-left:16.85pt;margin-top:0;width:68.05pt;height:90.7pt;z-index:-251658217;mso-wrap-distance-left:9.05pt;mso-wrap-distance-right:9.05pt;mso-position-horizontal:right;mso-position-horizontal-relative:page;mso-position-vertical:top;mso-position-vertical-relative:page;mso-width-relative:margin;mso-height-relative:margin" coordsize="8649,11530" o:spid="_x0000_s1026" w14:anchorId="5E988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"/>
              <w10:wrap type="tight" anchorx="page" anchory="page"/>
              <w10:anchorlock/>
            </v:group>
          </w:pict>
        </mc:Fallback>
      </mc:AlternateContent>
    </w:r>
    <w:r w:rsidR="00D06F1E">
      <w:t>Future outlook of the DSN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AF7F" w14:textId="77777777" w:rsidR="0087182A" w:rsidRPr="00856989" w:rsidRDefault="0087182A" w:rsidP="001A3F5B">
    <w:pPr>
      <w:pStyle w:val="Header-SectionHeading"/>
    </w:pPr>
    <w:r w:rsidRPr="00856989">
      <w:rPr>
        <w:noProof/>
      </w:rPr>
      <mc:AlternateContent>
        <mc:Choice Requires="wpg">
          <w:drawing>
            <wp:anchor distT="0" distB="0" distL="114935" distR="114935" simplePos="0" relativeHeight="251658253" behindDoc="1" locked="1" layoutInCell="1" allowOverlap="1" wp14:anchorId="1E04DE76" wp14:editId="3BD71DA0">
              <wp:simplePos x="0" y="0"/>
              <wp:positionH relativeFrom="page">
                <wp:align>right</wp:align>
              </wp:positionH>
              <wp:positionV relativeFrom="page">
                <wp:align>top</wp:align>
              </wp:positionV>
              <wp:extent cx="864235" cy="1151890"/>
              <wp:effectExtent l="0" t="0" r="0" b="0"/>
              <wp:wrapTight wrapText="bothSides">
                <wp:wrapPolygon edited="0">
                  <wp:start x="1428" y="0"/>
                  <wp:lineTo x="1428" y="3572"/>
                  <wp:lineTo x="3809" y="6430"/>
                  <wp:lineTo x="6190" y="6430"/>
                  <wp:lineTo x="6190" y="12146"/>
                  <wp:lineTo x="0" y="16075"/>
                  <wp:lineTo x="0" y="21076"/>
                  <wp:lineTo x="7618" y="21076"/>
                  <wp:lineTo x="7618" y="17861"/>
                  <wp:lineTo x="20949" y="16075"/>
                  <wp:lineTo x="20949" y="5358"/>
                  <wp:lineTo x="19997" y="0"/>
                  <wp:lineTo x="1428" y="0"/>
                </wp:wrapPolygon>
              </wp:wrapTight>
              <wp:docPr id="609630265" name="Group 2"/>
              <wp:cNvGraphicFramePr/>
              <a:graphic xmlns:a="http://schemas.openxmlformats.org/drawingml/2006/main">
                <a:graphicData uri="http://schemas.microsoft.com/office/word/2010/wordprocessingGroup">
                  <wpg:wgp>
                    <wpg:cNvGrpSpPr/>
                    <wpg:grpSpPr>
                      <a:xfrm>
                        <a:off x="0" y="0"/>
                        <a:ext cx="863600" cy="1151890"/>
                        <a:chOff x="0" y="0"/>
                        <a:chExt cx="864946" cy="1153014"/>
                      </a:xfrm>
                    </wpg:grpSpPr>
                    <wps:wsp>
                      <wps:cNvPr id="786432377"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2658124"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8028520"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3287464"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884513"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406452"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440871"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7145117"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AC79822">
            <v:group id="Group 2" style="position:absolute;margin-left:16.85pt;margin-top:0;width:68.05pt;height:90.7pt;z-index:-251658226;mso-wrap-distance-left:9.05pt;mso-wrap-distance-right:9.05pt;mso-position-horizontal:right;mso-position-horizontal-relative:page;mso-position-vertical:top;mso-position-vertical-relative:page;mso-width-relative:margin;mso-height-relative:margin" coordsize="8649,11530" o:spid="_x0000_s1026" w14:anchorId="6D4DF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"/>
              <w10:wrap type="tight" anchorx="page" anchory="page"/>
              <w10:anchorlock/>
            </v:group>
          </w:pict>
        </mc:Fallback>
      </mc:AlternateContent>
    </w:r>
    <w:r>
      <w:t>Future outlook of the DSN</w:t>
    </w:r>
  </w:p>
  <w:p w14:paraId="2A1A9259" w14:textId="77777777" w:rsidR="0087182A" w:rsidRDefault="0087182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22D6" w14:textId="77777777" w:rsidR="0087182A" w:rsidRPr="00856989" w:rsidRDefault="0087182A" w:rsidP="001A3F5B">
    <w:pPr>
      <w:pStyle w:val="Header-SectionHeading"/>
    </w:pPr>
    <w:r w:rsidRPr="00856989">
      <w:rPr>
        <w:noProof/>
      </w:rPr>
      <mc:AlternateContent>
        <mc:Choice Requires="wpg">
          <w:drawing>
            <wp:anchor distT="0" distB="0" distL="114935" distR="114935" simplePos="0" relativeHeight="251658254" behindDoc="1" locked="1" layoutInCell="1" allowOverlap="1" wp14:anchorId="469844E9" wp14:editId="5A988AEA">
              <wp:simplePos x="0" y="0"/>
              <wp:positionH relativeFrom="page">
                <wp:align>right</wp:align>
              </wp:positionH>
              <wp:positionV relativeFrom="page">
                <wp:align>top</wp:align>
              </wp:positionV>
              <wp:extent cx="864235" cy="1151890"/>
              <wp:effectExtent l="0" t="0" r="0" b="0"/>
              <wp:wrapTight wrapText="bothSides">
                <wp:wrapPolygon edited="0">
                  <wp:start x="1428" y="0"/>
                  <wp:lineTo x="1428" y="3572"/>
                  <wp:lineTo x="3809" y="6430"/>
                  <wp:lineTo x="6190" y="6430"/>
                  <wp:lineTo x="6190" y="12146"/>
                  <wp:lineTo x="0" y="16075"/>
                  <wp:lineTo x="0" y="21076"/>
                  <wp:lineTo x="7618" y="21076"/>
                  <wp:lineTo x="7618" y="17861"/>
                  <wp:lineTo x="20949" y="16075"/>
                  <wp:lineTo x="20949" y="5358"/>
                  <wp:lineTo x="19997" y="0"/>
                  <wp:lineTo x="1428" y="0"/>
                </wp:wrapPolygon>
              </wp:wrapTight>
              <wp:docPr id="1621658223" name="Group 2"/>
              <wp:cNvGraphicFramePr/>
              <a:graphic xmlns:a="http://schemas.openxmlformats.org/drawingml/2006/main">
                <a:graphicData uri="http://schemas.microsoft.com/office/word/2010/wordprocessingGroup">
                  <wpg:wgp>
                    <wpg:cNvGrpSpPr/>
                    <wpg:grpSpPr>
                      <a:xfrm>
                        <a:off x="0" y="0"/>
                        <a:ext cx="863600" cy="1151890"/>
                        <a:chOff x="0" y="0"/>
                        <a:chExt cx="864946" cy="1153014"/>
                      </a:xfrm>
                    </wpg:grpSpPr>
                    <wps:wsp>
                      <wps:cNvPr id="1466491883"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2059627"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7478"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9686461"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855508"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4799342"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9204840"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8191218"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3307FF6">
            <v:group id="Group 2" style="position:absolute;margin-left:16.85pt;margin-top:0;width:68.05pt;height:90.7pt;z-index:-251658225;mso-wrap-distance-left:9.05pt;mso-wrap-distance-right:9.05pt;mso-position-horizontal:right;mso-position-horizontal-relative:page;mso-position-vertical:top;mso-position-vertical-relative:page;mso-width-relative:margin;mso-height-relative:margin" coordsize="8649,11530" o:spid="_x0000_s1026" w14:anchorId="0FD1BC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"/>
              <w10:wrap type="tight" anchorx="page" anchory="page"/>
              <w10:anchorlock/>
            </v:group>
          </w:pict>
        </mc:Fallback>
      </mc:AlternateContent>
    </w:r>
    <w:r>
      <w:t>Future outlook of the DSN</w:t>
    </w:r>
  </w:p>
  <w:p w14:paraId="3BD12B82" w14:textId="77777777" w:rsidR="0087182A" w:rsidRDefault="0087182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A6FF" w14:textId="77777777" w:rsidR="0087182A" w:rsidRPr="00856989" w:rsidRDefault="0087182A" w:rsidP="001A3F5B">
    <w:pPr>
      <w:pStyle w:val="Header-SectionHeading"/>
    </w:pPr>
    <w:r w:rsidRPr="00856989">
      <w:rPr>
        <w:noProof/>
      </w:rPr>
      <mc:AlternateContent>
        <mc:Choice Requires="wpg">
          <w:drawing>
            <wp:anchor distT="0" distB="0" distL="114935" distR="114935" simplePos="0" relativeHeight="251658255" behindDoc="1" locked="1" layoutInCell="1" allowOverlap="1" wp14:anchorId="67B97F45" wp14:editId="52547313">
              <wp:simplePos x="0" y="0"/>
              <wp:positionH relativeFrom="page">
                <wp:align>right</wp:align>
              </wp:positionH>
              <wp:positionV relativeFrom="page">
                <wp:align>top</wp:align>
              </wp:positionV>
              <wp:extent cx="864235" cy="1151890"/>
              <wp:effectExtent l="0" t="0" r="0" b="0"/>
              <wp:wrapTight wrapText="bothSides">
                <wp:wrapPolygon edited="0">
                  <wp:start x="1428" y="0"/>
                  <wp:lineTo x="1428" y="3572"/>
                  <wp:lineTo x="3809" y="6430"/>
                  <wp:lineTo x="6190" y="6430"/>
                  <wp:lineTo x="6190" y="12146"/>
                  <wp:lineTo x="0" y="16075"/>
                  <wp:lineTo x="0" y="21076"/>
                  <wp:lineTo x="7618" y="21076"/>
                  <wp:lineTo x="7618" y="17861"/>
                  <wp:lineTo x="20949" y="16075"/>
                  <wp:lineTo x="20949" y="5358"/>
                  <wp:lineTo x="19997" y="0"/>
                  <wp:lineTo x="1428" y="0"/>
                </wp:wrapPolygon>
              </wp:wrapTight>
              <wp:docPr id="1796552396" name="Group 2"/>
              <wp:cNvGraphicFramePr/>
              <a:graphic xmlns:a="http://schemas.openxmlformats.org/drawingml/2006/main">
                <a:graphicData uri="http://schemas.microsoft.com/office/word/2010/wordprocessingGroup">
                  <wpg:wgp>
                    <wpg:cNvGrpSpPr/>
                    <wpg:grpSpPr>
                      <a:xfrm>
                        <a:off x="0" y="0"/>
                        <a:ext cx="863600" cy="1151890"/>
                        <a:chOff x="0" y="0"/>
                        <a:chExt cx="864946" cy="1153014"/>
                      </a:xfrm>
                    </wpg:grpSpPr>
                    <wps:wsp>
                      <wps:cNvPr id="796343220"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1568516"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2898870"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7144492"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5819970"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582329"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5899262"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3007897"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E6378F6">
            <v:group id="Group 2" style="position:absolute;margin-left:16.85pt;margin-top:0;width:68.05pt;height:90.7pt;z-index:-251658223;mso-wrap-distance-left:9.05pt;mso-wrap-distance-right:9.05pt;mso-position-horizontal:right;mso-position-horizontal-relative:page;mso-position-vertical:top;mso-position-vertical-relative:page;mso-width-relative:margin;mso-height-relative:margin" coordsize="8649,11530" o:spid="_x0000_s1026" w14:anchorId="3761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"/>
              <w10:wrap type="tight" anchorx="page" anchory="page"/>
              <w10:anchorlock/>
            </v:group>
          </w:pict>
        </mc:Fallback>
      </mc:AlternateContent>
    </w:r>
    <w:r>
      <w:t>Future outlook of the DSN</w:t>
    </w:r>
  </w:p>
  <w:p w14:paraId="7591716E" w14:textId="77777777" w:rsidR="0087182A" w:rsidRDefault="0087182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AB6A" w14:textId="77777777" w:rsidR="00E77B70" w:rsidRDefault="00E77B7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24CA" w14:textId="77777777" w:rsidR="00E77B70" w:rsidRDefault="00E77B70" w:rsidP="00033DD5">
    <w:pPr>
      <w:pStyle w:val="Header-SectionHeading1"/>
    </w:pPr>
    <w:r w:rsidRPr="006E3EC4">
      <w:rPr>
        <w:noProof/>
      </w:rPr>
      <mc:AlternateContent>
        <mc:Choice Requires="wpg">
          <w:drawing>
            <wp:anchor distT="0" distB="0" distL="114935" distR="114935" simplePos="0" relativeHeight="251658257" behindDoc="1" locked="1" layoutInCell="1" allowOverlap="1" wp14:anchorId="23DCB11D" wp14:editId="6483724C">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430327610" name="Group 430327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430327611"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0327612"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0327613"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0327614"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0327615"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340192"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340193"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340194"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5A84B91">
            <v:group id="Group 430327610" style="position:absolute;margin-left:16.85pt;margin-top:0;width:68.05pt;height:90.7pt;z-index:-251658221;mso-wrap-distance-left:9.05pt;mso-wrap-distance-right:9.05pt;mso-position-horizontal:right;mso-position-horizontal-relative:page;mso-position-vertical:top;mso-position-vertical-relative:page;mso-width-relative:margin;mso-height-relative:margin" coordsize="8649,11530" o:spid="_x0000_s1026" w14:anchorId="3DA7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"/>
              <w10:wrap type="tight" anchorx="page" anchory="page"/>
              <w10:anchorlock/>
            </v:group>
          </w:pict>
        </mc:Fallback>
      </mc:AlternateContent>
    </w:r>
    <w:r>
      <w:t>Appendix A1. Government policies and initiatives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5F420" w14:textId="77777777" w:rsidR="00E77B70" w:rsidRDefault="00E77B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C2BB8" w14:textId="77777777" w:rsidR="00C303E0" w:rsidRDefault="003314FA" w:rsidP="00A1084A">
    <w:pPr>
      <w:pStyle w:val="Header"/>
    </w:pPr>
    <w:r>
      <w:rPr>
        <w:noProof/>
      </w:rPr>
      <mc:AlternateContent>
        <mc:Choice Requires="wps">
          <w:drawing>
            <wp:anchor distT="0" distB="0" distL="114300" distR="114300" simplePos="0" relativeHeight="251658242" behindDoc="0" locked="0" layoutInCell="1" allowOverlap="1" wp14:anchorId="43476E5C" wp14:editId="2661A062">
              <wp:simplePos x="0" y="0"/>
              <wp:positionH relativeFrom="page">
                <wp:posOffset>247650</wp:posOffset>
              </wp:positionH>
              <wp:positionV relativeFrom="paragraph">
                <wp:posOffset>212090</wp:posOffset>
              </wp:positionV>
              <wp:extent cx="7060565" cy="10217150"/>
              <wp:effectExtent l="0" t="0" r="6985" b="0"/>
              <wp:wrapNone/>
              <wp:docPr id="1270984810" name="Rectangle 1"/>
              <wp:cNvGraphicFramePr/>
              <a:graphic xmlns:a="http://schemas.openxmlformats.org/drawingml/2006/main">
                <a:graphicData uri="http://schemas.microsoft.com/office/word/2010/wordprocessingShape">
                  <wps:wsp>
                    <wps:cNvSpPr/>
                    <wps:spPr>
                      <a:xfrm>
                        <a:off x="0" y="0"/>
                        <a:ext cx="7060565" cy="1021715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http://schemas.openxmlformats.org/drawingml/2006/main">
          <w:pict w14:anchorId="19B50C0C">
            <v:rect id="Rectangle 1" style="position:absolute;margin-left:19.5pt;margin-top:16.7pt;width:555.95pt;height:804.5pt;z-index:25165824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eeeef0 [3214]" stroked="f" strokeweight="1pt" w14:anchorId="03A60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">
              <w10:wrap anchorx="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F98A" w14:textId="77777777" w:rsidR="00E77B70" w:rsidRDefault="00E77B70" w:rsidP="00033DD5">
    <w:pPr>
      <w:pStyle w:val="Header-SectionHeading1"/>
    </w:pPr>
    <w:r w:rsidRPr="006E3EC4">
      <w:rPr>
        <w:noProof/>
      </w:rPr>
      <mc:AlternateContent>
        <mc:Choice Requires="wpg">
          <w:drawing>
            <wp:anchor distT="0" distB="0" distL="114935" distR="114935" simplePos="0" relativeHeight="251658258" behindDoc="1" locked="1" layoutInCell="1" allowOverlap="1" wp14:anchorId="21C4BE1E" wp14:editId="13BE414B">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297707481" name="Group 297707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2009626"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0280147"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282270"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197467"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15798"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9518546"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4681194"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166440"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8ED7668">
            <v:group id="Group 297707481" style="position:absolute;margin-left:16.85pt;margin-top:0;width:68.05pt;height:90.7pt;z-index:-251658220;mso-wrap-distance-left:9.05pt;mso-wrap-distance-right:9.05pt;mso-position-horizontal:right;mso-position-horizontal-relative:page;mso-position-vertical:top;mso-position-vertical-relative:page;mso-width-relative:margin;mso-height-relative:margin" coordsize="8649,11530" o:spid="_x0000_s1026" w14:anchorId="2BFE9E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"/>
              <w10:wrap type="tight" anchorx="page" anchory="page"/>
              <w10:anchorlock/>
            </v:group>
          </w:pict>
        </mc:Fallback>
      </mc:AlternateContent>
    </w:r>
    <w:r>
      <w:t>Appendix A2. Approach to network limitation review</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65A7" w14:textId="77777777" w:rsidR="00E77B70" w:rsidRDefault="00E77B70" w:rsidP="00033DD5">
    <w:pPr>
      <w:pStyle w:val="Header-SectionHeading1"/>
    </w:pPr>
    <w:r w:rsidRPr="006E3EC4">
      <w:rPr>
        <w:noProof/>
      </w:rPr>
      <mc:AlternateContent>
        <mc:Choice Requires="wpg">
          <w:drawing>
            <wp:anchor distT="0" distB="0" distL="114935" distR="114935" simplePos="0" relativeHeight="251658259" behindDoc="1" locked="1" layoutInCell="1" allowOverlap="1" wp14:anchorId="04DB9D29" wp14:editId="7828E93C">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865708599" name="Group 865708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44099012"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0846602"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973432"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6399924"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3361725"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0795709"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092184"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3324826"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66567F0">
            <v:group id="Group 865708599" style="position:absolute;margin-left:16.85pt;margin-top:0;width:68.05pt;height:90.7pt;z-index:-251658219;mso-wrap-distance-left:9.05pt;mso-wrap-distance-right:9.05pt;mso-position-horizontal:right;mso-position-horizontal-relative:page;mso-position-vertical:top;mso-position-vertical-relative:page;mso-width-relative:margin;mso-height-relative:margin" coordsize="8649,11530" o:spid="_x0000_s1026" w14:anchorId="5184EB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"/>
              <w10:wrap type="tight" anchorx="page" anchory="page"/>
              <w10:anchorlock/>
            </v:group>
          </w:pict>
        </mc:Fallback>
      </mc:AlternateContent>
    </w:r>
    <w:r>
      <w:t>Appendix A3. Input assumptions for VAPR models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C3EF" w14:textId="77777777" w:rsidR="00E77B70" w:rsidRPr="00DC386E" w:rsidRDefault="00E77B70" w:rsidP="00033DD5">
    <w:pPr>
      <w:pStyle w:val="Header-SectionHeading1"/>
    </w:pPr>
    <w:r w:rsidRPr="006E3EC4">
      <w:rPr>
        <w:noProof/>
      </w:rPr>
      <mc:AlternateContent>
        <mc:Choice Requires="wpg">
          <w:drawing>
            <wp:anchor distT="0" distB="0" distL="114935" distR="114935" simplePos="0" relativeHeight="251658256" behindDoc="1" locked="1" layoutInCell="1" allowOverlap="1" wp14:anchorId="54889D9A" wp14:editId="18131210">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339829762"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2004853478"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425411"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6255510"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6717841"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495350"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1523789"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9302344"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239212"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E709CD6">
            <v:group id="Header Graphic" style="position:absolute;margin-left:16.85pt;margin-top:0;width:68.05pt;height:90.7pt;z-index:-251658222;mso-wrap-distance-left:9.05pt;mso-wrap-distance-right:9.05pt;mso-position-horizontal:right;mso-position-horizontal-relative:page;mso-position-vertical:top;mso-position-vertical-relative:page;mso-width-relative:margin;mso-height-relative:margin" coordsize="8649,11530" o:spid="_x0000_s1026" w14:anchorId="66D95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"/>
              <w10:wrap type="tight" anchorx="page" anchory="page"/>
              <w10:anchorlock/>
            </v:group>
          </w:pict>
        </mc:Fallback>
      </mc:AlternateContent>
    </w:r>
    <w:r>
      <w:t>Appendix A4. DSN limitations detail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6EDB2" w14:textId="77777777" w:rsidR="00AD7BC2" w:rsidRPr="00DC386E" w:rsidRDefault="00AD7BC2" w:rsidP="00033DD5">
    <w:pPr>
      <w:pStyle w:val="Header-SectionHeading1"/>
    </w:pPr>
    <w:r w:rsidRPr="006E3EC4">
      <w:rPr>
        <w:noProof/>
      </w:rPr>
      <mc:AlternateContent>
        <mc:Choice Requires="wpg">
          <w:drawing>
            <wp:anchor distT="0" distB="0" distL="114935" distR="114935" simplePos="0" relativeHeight="251658260" behindDoc="1" locked="1" layoutInCell="1" allowOverlap="1" wp14:anchorId="6A29C2B8" wp14:editId="5F1FECC0">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967387224"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221131124"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9198588"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568678"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2523456"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7413117"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189452"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0358340"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4988857"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A8512FA">
            <v:group id="Header Graphic" style="position:absolute;margin-left:16.85pt;margin-top:0;width:68.05pt;height:90.7pt;z-index:-251658218;mso-wrap-distance-left:9.05pt;mso-wrap-distance-right:9.05pt;mso-position-horizontal:right;mso-position-horizontal-relative:page;mso-position-vertical:top;mso-position-vertical-relative:page;mso-width-relative:margin;mso-height-relative:margin" coordsize="8649,11530" o:spid="_x0000_s1026" w14:anchorId="651FC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"/>
              <w10:wrap type="tight" anchorx="page" anchory="page"/>
              <w10:anchorlock/>
            </v:group>
          </w:pict>
        </mc:Fallback>
      </mc:AlternateContent>
    </w:r>
    <w:r>
      <w:t>Appendix A4. DSN limitations detail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74FC" w14:textId="77777777" w:rsidR="000A3221" w:rsidRPr="00DC386E" w:rsidRDefault="000A3221" w:rsidP="00033DD5">
    <w:pPr>
      <w:pStyle w:val="Header-SectionHeading1"/>
    </w:pPr>
    <w:r w:rsidRPr="006E3EC4">
      <w:rPr>
        <w:noProof/>
      </w:rPr>
      <mc:AlternateContent>
        <mc:Choice Requires="wpg">
          <w:drawing>
            <wp:anchor distT="0" distB="0" distL="114935" distR="114935" simplePos="0" relativeHeight="251658261" behindDoc="1" locked="1" layoutInCell="1" allowOverlap="1" wp14:anchorId="7B10B573" wp14:editId="4B0DF6FC">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032750409"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687473308"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4056679"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6637522"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8230541"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4115618"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4145436"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6859604"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1402418"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F19BD1C">
            <v:group id="Header Graphic" style="position:absolute;margin-left:16.85pt;margin-top:0;width:68.05pt;height:90.7pt;z-index:-251658217;mso-wrap-distance-left:9.05pt;mso-wrap-distance-right:9.05pt;mso-position-horizontal:right;mso-position-horizontal-relative:page;mso-position-vertical:top;mso-position-vertical-relative:page;mso-width-relative:margin;mso-height-relative:margin" coordsize="8649,11530" o:spid="_x0000_s1026" w14:anchorId="521ABF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"/>
              <w10:wrap type="tight" anchorx="page" anchory="page"/>
              <w10:anchorlock/>
            </v:group>
          </w:pict>
        </mc:Fallback>
      </mc:AlternateContent>
    </w:r>
    <w:r>
      <w:t>Abbreviations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4CA8" w14:textId="77777777" w:rsidR="00C303E0" w:rsidRPr="00DC386E" w:rsidRDefault="00C303E0" w:rsidP="00033DD5">
    <w:pPr>
      <w:pStyle w:val="Header-SectionHeading1"/>
    </w:pPr>
    <w:r w:rsidRPr="006E3EC4">
      <w:rPr>
        <w:noProof/>
      </w:rPr>
      <mc:AlternateContent>
        <mc:Choice Requires="wpg">
          <w:drawing>
            <wp:anchor distT="0" distB="0" distL="114935" distR="114935" simplePos="0" relativeHeight="251658241" behindDoc="1" locked="1" layoutInCell="1" allowOverlap="1" wp14:anchorId="0A5284BB" wp14:editId="1ABAA518">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35"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38"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4601942">
            <v:group id="Header Graphic" style="position:absolute;margin-left:16.85pt;margin-top:0;width:68.05pt;height:90.7pt;z-index:-251658239;mso-wrap-distance-left:9.05pt;mso-wrap-distance-right:9.05pt;mso-position-horizontal:right;mso-position-horizontal-relative:page;mso-position-vertical:top;mso-position-vertical-relative:page;mso-width-relative:margin;mso-height-relative:margin" coordsize="8649,11530" o:spid="_x0000_s1026" w14:anchorId="6C0D2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"/>
              <w10:wrap type="tight" anchorx="page" anchory="page"/>
              <w10:anchorlock/>
            </v:group>
          </w:pict>
        </mc:Fallback>
      </mc:AlternateContent>
    </w:r>
    <w:r w:rsidR="00871CB8">
      <w:t>Executive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5AFB2" w14:textId="22396586" w:rsidR="00461B83" w:rsidRPr="00DC386E" w:rsidRDefault="00461B83" w:rsidP="00033DD5">
    <w:pPr>
      <w:pStyle w:val="Header-SectionHeading1"/>
    </w:pPr>
    <w:r w:rsidRPr="006E3EC4">
      <w:rPr>
        <w:noProof/>
      </w:rPr>
      <mc:AlternateContent>
        <mc:Choice Requires="wpg">
          <w:drawing>
            <wp:anchor distT="0" distB="0" distL="114935" distR="114935" simplePos="0" relativeHeight="251658245" behindDoc="1" locked="1" layoutInCell="1" allowOverlap="1" wp14:anchorId="41020546" wp14:editId="05911E75">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138186048"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720243660"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2302290"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9958786"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5162432"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8991311"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4440287"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9605017"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3089760"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AB77B0E">
            <v:group id="Header Graphic" style="position:absolute;margin-left:16.85pt;margin-top:0;width:68.05pt;height:90.7pt;z-index:-251658235;mso-wrap-distance-left:9.05pt;mso-wrap-distance-right:9.05pt;mso-position-horizontal:right;mso-position-horizontal-relative:page;mso-position-vertical:top;mso-position-vertical-relative:page;mso-width-relative:margin;mso-height-relative:margin" coordsize="8649,11530" o:spid="_x0000_s1026" w14:anchorId="7E507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"/>
              <w10:wrap type="tight"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C6F8E" w14:textId="721C3788" w:rsidR="0003054F" w:rsidRPr="00DC386E" w:rsidRDefault="0003054F" w:rsidP="00033DD5">
    <w:pPr>
      <w:pStyle w:val="Header-SectionHeading1"/>
    </w:pPr>
    <w:r w:rsidRPr="006E3EC4">
      <w:rPr>
        <w:noProof/>
      </w:rPr>
      <mc:AlternateContent>
        <mc:Choice Requires="wpg">
          <w:drawing>
            <wp:anchor distT="0" distB="0" distL="114935" distR="114935" simplePos="0" relativeHeight="251658246" behindDoc="1" locked="1" layoutInCell="1" allowOverlap="1" wp14:anchorId="6A9065D0" wp14:editId="409EC47D">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02209451"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696558181"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5227104"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0807347"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4810097"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2411758"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0962972"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59656"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8002316"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74F4885">
            <v:group id="Header Graphic" style="position:absolute;margin-left:16.85pt;margin-top:0;width:68.05pt;height:90.7pt;z-index:-251658234;mso-wrap-distance-left:9.05pt;mso-wrap-distance-right:9.05pt;mso-position-horizontal:right;mso-position-horizontal-relative:page;mso-position-vertical:top;mso-position-vertical-relative:page;mso-width-relative:margin;mso-height-relative:margin" coordsize="8649,11530" o:spid="_x0000_s1026" w14:anchorId="6555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"/>
              <w10:wrap type="tight" anchorx="page" anchory="page"/>
              <w10:anchorlock/>
            </v:group>
          </w:pict>
        </mc:Fallback>
      </mc:AlternateContent>
    </w:r>
    <w:r>
      <w:t xml:space="preserve">Introduction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80742" w14:textId="77777777" w:rsidR="0066118A" w:rsidRPr="00DC386E" w:rsidRDefault="0066118A" w:rsidP="00033DD5">
    <w:pPr>
      <w:pStyle w:val="Header-SectionHeading1"/>
    </w:pPr>
    <w:r w:rsidRPr="006E3EC4">
      <w:rPr>
        <w:noProof/>
      </w:rPr>
      <mc:AlternateContent>
        <mc:Choice Requires="wpg">
          <w:drawing>
            <wp:anchor distT="0" distB="0" distL="114935" distR="114935" simplePos="0" relativeHeight="251658247" behindDoc="1" locked="1" layoutInCell="1" allowOverlap="1" wp14:anchorId="401EF6FD" wp14:editId="7EF61469">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66"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67"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F0FD65A">
            <v:group id="Header Graphic" style="position:absolute;margin-left:16.85pt;margin-top:0;width:68.05pt;height:90.7pt;z-index:-251658233;mso-wrap-distance-left:9.05pt;mso-wrap-distance-right:9.05pt;mso-position-horizontal:right;mso-position-horizontal-relative:page;mso-position-vertical:top;mso-position-vertical-relative:page;mso-width-relative:margin;mso-height-relative:margin" coordsize="8649,11530" o:spid="_x0000_s1026" w14:anchorId="30946F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"/>
              <w10:wrap type="tight" anchorx="page" anchory="page"/>
              <w10:anchorlock/>
            </v:group>
          </w:pict>
        </mc:Fallback>
      </mc:AlternateContent>
    </w:r>
    <w:r>
      <w:t>Drivers of the energy transition in Victoria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42976" w14:textId="77777777" w:rsidR="0066118A" w:rsidRPr="00DC386E" w:rsidRDefault="0066118A" w:rsidP="00033DD5">
    <w:pPr>
      <w:pStyle w:val="Header-SectionHeading1"/>
    </w:pPr>
    <w:r w:rsidRPr="006E3EC4">
      <w:rPr>
        <w:noProof/>
      </w:rPr>
      <mc:AlternateContent>
        <mc:Choice Requires="wpg">
          <w:drawing>
            <wp:anchor distT="0" distB="0" distL="114935" distR="114935" simplePos="0" relativeHeight="251658248" behindDoc="1" locked="1" layoutInCell="1" allowOverlap="1" wp14:anchorId="04974E3E" wp14:editId="3BA140BE">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102544968"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479822282"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866625"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7672335"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094152"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5972842"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8797133"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6271038"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3135379"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F38426F">
            <v:group id="Header Graphic" style="position:absolute;margin-left:16.85pt;margin-top:0;width:68.05pt;height:90.7pt;z-index:-251658232;mso-wrap-distance-left:9.05pt;mso-wrap-distance-right:9.05pt;mso-position-horizontal:right;mso-position-horizontal-relative:page;mso-position-vertical:top;mso-position-vertical-relative:page;mso-width-relative:margin;mso-height-relative:margin" coordsize="8649,11530" o:spid="_x0000_s1026" w14:anchorId="233ED9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"/>
              <w10:wrap type="tight" anchorx="page" anchory="page"/>
              <w10:anchorlock/>
            </v:group>
          </w:pict>
        </mc:Fallback>
      </mc:AlternateContent>
    </w:r>
    <w:r>
      <w:t>Drivers of the energy transition in Victoria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F9FE" w14:textId="77777777" w:rsidR="00A9731B" w:rsidRPr="00DC386E" w:rsidRDefault="00A9731B" w:rsidP="009F5BA9">
    <w:pPr>
      <w:pStyle w:val="Header-SectionHeading"/>
    </w:pPr>
    <w:r w:rsidRPr="006E3EC4">
      <w:rPr>
        <w:noProof/>
      </w:rPr>
      <mc:AlternateContent>
        <mc:Choice Requires="wpg">
          <w:drawing>
            <wp:anchor distT="0" distB="0" distL="114935" distR="114935" simplePos="0" relativeHeight="251658249" behindDoc="1" locked="1" layoutInCell="1" allowOverlap="1" wp14:anchorId="726F11A6" wp14:editId="2A04EF16">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159"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60"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BABD8BB">
            <v:group id="Header Graphic" style="position:absolute;margin-left:16.85pt;margin-top:0;width:68.05pt;height:90.7pt;z-index:-251658231;mso-wrap-distance-left:9.05pt;mso-wrap-distance-right:9.05pt;mso-position-horizontal:right;mso-position-horizontal-relative:page;mso-position-vertical:top;mso-position-vertical-relative:page;mso-width-relative:margin;mso-height-relative:margin" coordsize="8649,11530" o:spid="_x0000_s1026" w14:anchorId="2CD4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"/>
              <w10:wrap type="tight" anchorx="page" anchory="page"/>
              <w10:anchorlock/>
            </v:group>
          </w:pict>
        </mc:Fallback>
      </mc:AlternateContent>
    </w:r>
    <w:r>
      <w:t>Transmission Development Plan for Victoria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5F536" w14:textId="77777777" w:rsidR="00A9731B" w:rsidRPr="00DC386E" w:rsidRDefault="00A9731B" w:rsidP="009F5BA9">
    <w:pPr>
      <w:pStyle w:val="Header-SectionHeading"/>
    </w:pPr>
    <w:r w:rsidRPr="006E3EC4">
      <w:rPr>
        <w:noProof/>
      </w:rPr>
      <mc:AlternateContent>
        <mc:Choice Requires="wpg">
          <w:drawing>
            <wp:anchor distT="0" distB="0" distL="114935" distR="114935" simplePos="0" relativeHeight="251658250" behindDoc="1" locked="1" layoutInCell="1" allowOverlap="1" wp14:anchorId="1A54FA7B" wp14:editId="491A1235">
              <wp:simplePos x="0" y="0"/>
              <wp:positionH relativeFrom="page">
                <wp:align>right</wp:align>
              </wp:positionH>
              <wp:positionV relativeFrom="page">
                <wp:align>top</wp:align>
              </wp:positionV>
              <wp:extent cx="864000" cy="1152000"/>
              <wp:effectExtent l="0" t="0" r="0" b="0"/>
              <wp:wrapTight wrapText="bothSides">
                <wp:wrapPolygon edited="0">
                  <wp:start x="1429" y="0"/>
                  <wp:lineTo x="1429" y="3572"/>
                  <wp:lineTo x="3812" y="6430"/>
                  <wp:lineTo x="6194" y="6430"/>
                  <wp:lineTo x="6194" y="12146"/>
                  <wp:lineTo x="0" y="16075"/>
                  <wp:lineTo x="0" y="21076"/>
                  <wp:lineTo x="7624" y="21076"/>
                  <wp:lineTo x="7624" y="17861"/>
                  <wp:lineTo x="20965" y="16075"/>
                  <wp:lineTo x="20965" y="5358"/>
                  <wp:lineTo x="20012" y="0"/>
                  <wp:lineTo x="1429" y="0"/>
                </wp:wrapPolygon>
              </wp:wrapTight>
              <wp:docPr id="332069587" name="Header 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1152000"/>
                        <a:chOff x="0" y="0"/>
                        <a:chExt cx="864946" cy="1153014"/>
                      </a:xfrm>
                    </wpg:grpSpPr>
                    <wps:wsp>
                      <wps:cNvPr id="1751058408" name="pad"/>
                      <wps:cNvSpPr/>
                      <wps:spPr>
                        <a:xfrm>
                          <a:off x="0" y="0"/>
                          <a:ext cx="864000" cy="28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7825559" name="Constant colour"/>
                      <wps:cNvSpPr/>
                      <wps:spPr>
                        <a:xfrm>
                          <a:off x="0" y="866514"/>
                          <a:ext cx="286500" cy="286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4498365" name="Section 6 Colour" hidden="1"/>
                      <wps:cNvSpPr/>
                      <wps:spPr>
                        <a:xfrm>
                          <a:off x="287446" y="290274"/>
                          <a:ext cx="577500" cy="577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5198022" name="Section 5 Colour" hidden="1"/>
                      <wps:cNvSpPr/>
                      <wps:spPr>
                        <a:xfrm>
                          <a:off x="287446" y="290274"/>
                          <a:ext cx="577500" cy="5775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5166078" name="Section 4 Colour" hidden="1"/>
                      <wps:cNvSpPr/>
                      <wps:spPr>
                        <a:xfrm>
                          <a:off x="287446" y="290274"/>
                          <a:ext cx="577500" cy="577500"/>
                        </a:xfrm>
                        <a:prstGeom prst="rect">
                          <a:avLst/>
                        </a:prstGeom>
                        <a:solidFill>
                          <a:srgbClr val="A2D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6613668" name="Section 3 Colour" hidden="1"/>
                      <wps:cNvSpPr/>
                      <wps:spPr>
                        <a:xfrm>
                          <a:off x="287446" y="290274"/>
                          <a:ext cx="577500" cy="577500"/>
                        </a:xfrm>
                        <a:prstGeom prst="rect">
                          <a:avLst/>
                        </a:prstGeom>
                        <a:solidFill>
                          <a:srgbClr val="7D7FA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0036758" name="Section 2 Colour"/>
                      <wps:cNvSpPr/>
                      <wps:spPr>
                        <a:xfrm>
                          <a:off x="286500" y="289797"/>
                          <a:ext cx="577500" cy="5775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887033" name="Default Section Colour"/>
                      <wps:cNvSpPr/>
                      <wps:spPr>
                        <a:xfrm>
                          <a:off x="286500" y="289014"/>
                          <a:ext cx="577500" cy="577500"/>
                        </a:xfrm>
                        <a:prstGeom prst="rect">
                          <a:avLst/>
                        </a:prstGeom>
                        <a:solidFill>
                          <a:srgbClr val="9D57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0937DD6D">
            <v:group id="Header Graphic" style="position:absolute;margin-left:16.85pt;margin-top:0;width:68.05pt;height:90.7pt;z-index:-251658230;mso-wrap-distance-left:9.05pt;mso-wrap-distance-right:9.05pt;mso-position-horizontal:right;mso-position-horizontal-relative:page;mso-position-vertical:top;mso-position-vertical-relative:page;mso-width-relative:margin;mso-height-relative:margin" coordsize="8649,11530" o:spid="_x0000_s1026" w14:anchorId="796B3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">
              <v:rect id="pad" style="position:absolute;width:8640;height:288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"/>
              <v:rect id="Constant colour" style="position:absolute;top:8665;width:2865;height:2865;visibility:visible;mso-wrap-style:square;v-text-anchor:middle" o:spid="_x0000_s1028" fillcolor="#6b3077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"/>
              <v:rect id="Section 6 Colour" style="position:absolute;left:2874;top:2902;width:5775;height:5775;visibility:hidden;mso-wrap-style:square;v-text-anchor:middle" o:spid="_x0000_s1029" fillcolor="#a1d883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"/>
              <v:rect id="Section 5 Colour" style="position:absolute;left:2874;top:2902;width:5775;height:5775;visibility:hidden;mso-wrap-style:square;v-text-anchor:middle" o:spid="_x0000_s1030" fillcolor="#40c1ac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"/>
              <v:rect id="Section 4 Colour" style="position:absolute;left:2874;top:2902;width:5775;height:5775;visibility:hidden;mso-wrap-style:square;v-text-anchor:middle" o:spid="_x0000_s1031" fillcolor="#a2d9e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"/>
              <v:rect id="Section 3 Colour" style="position:absolute;left:2874;top:2902;width:5775;height:5775;visibility:hidden;mso-wrap-style:square;v-text-anchor:middle" o:spid="_x0000_s1032" fillcolor="#7d7fab"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"/>
              <v:rect id="Section 2 Colour" style="position:absolute;left:2865;top:2897;width:5775;height:5775;visibility:visible;mso-wrap-style:square;v-text-anchor:middle" o:spid="_x0000_s1033" fillcolor="#9b2241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"/>
              <v:rect id="Default Section Colour" style="position:absolute;left:2865;top:2890;width:5775;height:5775;visibility:visible;mso-wrap-style:square;v-text-anchor:middle" o:spid="_x0000_s1034" fillcolor="#9d57a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"/>
              <w10:wrap type="tight" anchorx="page" anchory="page"/>
              <w10:anchorlock/>
            </v:group>
          </w:pict>
        </mc:Fallback>
      </mc:AlternateContent>
    </w:r>
    <w:r>
      <w:t>Transmission Development Plan for Victoria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205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10F3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F015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12B2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CCE6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5654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0F5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808C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EE2A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100F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74F1D"/>
    <w:multiLevelType w:val="hybridMultilevel"/>
    <w:tmpl w:val="C0F278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2407785"/>
    <w:multiLevelType w:val="multilevel"/>
    <w:tmpl w:val="F6A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352C54"/>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3" w15:restartNumberingAfterBreak="0">
    <w:nsid w:val="03411076"/>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4" w15:restartNumberingAfterBreak="0">
    <w:nsid w:val="0440B609"/>
    <w:multiLevelType w:val="hybridMultilevel"/>
    <w:tmpl w:val="FFFFFFFF"/>
    <w:lvl w:ilvl="0" w:tplc="B40EEB7E">
      <w:start w:val="1"/>
      <w:numFmt w:val="bullet"/>
      <w:lvlText w:val="·"/>
      <w:lvlJc w:val="left"/>
      <w:pPr>
        <w:ind w:left="1080" w:hanging="360"/>
      </w:pPr>
      <w:rPr>
        <w:rFonts w:ascii="Symbol" w:hAnsi="Symbol" w:hint="default"/>
      </w:rPr>
    </w:lvl>
    <w:lvl w:ilvl="1" w:tplc="06426F84">
      <w:start w:val="1"/>
      <w:numFmt w:val="bullet"/>
      <w:lvlText w:val="o"/>
      <w:lvlJc w:val="left"/>
      <w:pPr>
        <w:ind w:left="1800" w:hanging="360"/>
      </w:pPr>
      <w:rPr>
        <w:rFonts w:ascii="Courier New" w:hAnsi="Courier New" w:hint="default"/>
      </w:rPr>
    </w:lvl>
    <w:lvl w:ilvl="2" w:tplc="A05EB94A">
      <w:start w:val="1"/>
      <w:numFmt w:val="bullet"/>
      <w:lvlText w:val=""/>
      <w:lvlJc w:val="left"/>
      <w:pPr>
        <w:ind w:left="2520" w:hanging="360"/>
      </w:pPr>
      <w:rPr>
        <w:rFonts w:ascii="Wingdings" w:hAnsi="Wingdings" w:hint="default"/>
      </w:rPr>
    </w:lvl>
    <w:lvl w:ilvl="3" w:tplc="E4F41ED2">
      <w:start w:val="1"/>
      <w:numFmt w:val="bullet"/>
      <w:lvlText w:val=""/>
      <w:lvlJc w:val="left"/>
      <w:pPr>
        <w:ind w:left="3240" w:hanging="360"/>
      </w:pPr>
      <w:rPr>
        <w:rFonts w:ascii="Symbol" w:hAnsi="Symbol" w:hint="default"/>
      </w:rPr>
    </w:lvl>
    <w:lvl w:ilvl="4" w:tplc="A644E764">
      <w:start w:val="1"/>
      <w:numFmt w:val="bullet"/>
      <w:lvlText w:val="o"/>
      <w:lvlJc w:val="left"/>
      <w:pPr>
        <w:ind w:left="3960" w:hanging="360"/>
      </w:pPr>
      <w:rPr>
        <w:rFonts w:ascii="Courier New" w:hAnsi="Courier New" w:hint="default"/>
      </w:rPr>
    </w:lvl>
    <w:lvl w:ilvl="5" w:tplc="88A47EE2">
      <w:start w:val="1"/>
      <w:numFmt w:val="bullet"/>
      <w:lvlText w:val=""/>
      <w:lvlJc w:val="left"/>
      <w:pPr>
        <w:ind w:left="4680" w:hanging="360"/>
      </w:pPr>
      <w:rPr>
        <w:rFonts w:ascii="Wingdings" w:hAnsi="Wingdings" w:hint="default"/>
      </w:rPr>
    </w:lvl>
    <w:lvl w:ilvl="6" w:tplc="17043A98">
      <w:start w:val="1"/>
      <w:numFmt w:val="bullet"/>
      <w:lvlText w:val=""/>
      <w:lvlJc w:val="left"/>
      <w:pPr>
        <w:ind w:left="5400" w:hanging="360"/>
      </w:pPr>
      <w:rPr>
        <w:rFonts w:ascii="Symbol" w:hAnsi="Symbol" w:hint="default"/>
      </w:rPr>
    </w:lvl>
    <w:lvl w:ilvl="7" w:tplc="5A76B9CE">
      <w:start w:val="1"/>
      <w:numFmt w:val="bullet"/>
      <w:lvlText w:val="o"/>
      <w:lvlJc w:val="left"/>
      <w:pPr>
        <w:ind w:left="6120" w:hanging="360"/>
      </w:pPr>
      <w:rPr>
        <w:rFonts w:ascii="Courier New" w:hAnsi="Courier New" w:hint="default"/>
      </w:rPr>
    </w:lvl>
    <w:lvl w:ilvl="8" w:tplc="89B42B5E">
      <w:start w:val="1"/>
      <w:numFmt w:val="bullet"/>
      <w:lvlText w:val=""/>
      <w:lvlJc w:val="left"/>
      <w:pPr>
        <w:ind w:left="6840" w:hanging="360"/>
      </w:pPr>
      <w:rPr>
        <w:rFonts w:ascii="Wingdings" w:hAnsi="Wingdings" w:hint="default"/>
      </w:rPr>
    </w:lvl>
  </w:abstractNum>
  <w:abstractNum w:abstractNumId="15" w15:restartNumberingAfterBreak="0">
    <w:nsid w:val="044F7258"/>
    <w:multiLevelType w:val="hybridMultilevel"/>
    <w:tmpl w:val="E2B827A4"/>
    <w:lvl w:ilvl="0" w:tplc="A42A49B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45E31C9"/>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7" w15:restartNumberingAfterBreak="0">
    <w:nsid w:val="04932841"/>
    <w:multiLevelType w:val="hybridMultilevel"/>
    <w:tmpl w:val="E3FCF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49621B0"/>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9" w15:restartNumberingAfterBreak="0">
    <w:nsid w:val="04BB360F"/>
    <w:multiLevelType w:val="hybridMultilevel"/>
    <w:tmpl w:val="8D3A623A"/>
    <w:lvl w:ilvl="0" w:tplc="A710AE1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4F969A8"/>
    <w:multiLevelType w:val="multilevel"/>
    <w:tmpl w:val="30DE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5759E0C"/>
    <w:multiLevelType w:val="hybridMultilevel"/>
    <w:tmpl w:val="FFFFFFFF"/>
    <w:lvl w:ilvl="0" w:tplc="87F4162E">
      <w:start w:val="20"/>
      <w:numFmt w:val="upperLetter"/>
      <w:lvlText w:val="Table 1"/>
      <w:lvlJc w:val="left"/>
      <w:pPr>
        <w:ind w:left="502" w:hanging="360"/>
      </w:pPr>
    </w:lvl>
    <w:lvl w:ilvl="1" w:tplc="4D98361C">
      <w:start w:val="1"/>
      <w:numFmt w:val="lowerLetter"/>
      <w:lvlText w:val="%2."/>
      <w:lvlJc w:val="left"/>
      <w:pPr>
        <w:ind w:left="1222" w:hanging="360"/>
      </w:pPr>
    </w:lvl>
    <w:lvl w:ilvl="2" w:tplc="3492306C">
      <w:start w:val="1"/>
      <w:numFmt w:val="lowerRoman"/>
      <w:lvlText w:val="%3."/>
      <w:lvlJc w:val="right"/>
      <w:pPr>
        <w:ind w:left="1942" w:hanging="180"/>
      </w:pPr>
    </w:lvl>
    <w:lvl w:ilvl="3" w:tplc="2EC82CB0">
      <w:start w:val="1"/>
      <w:numFmt w:val="decimal"/>
      <w:lvlText w:val="%4."/>
      <w:lvlJc w:val="left"/>
      <w:pPr>
        <w:ind w:left="2662" w:hanging="360"/>
      </w:pPr>
    </w:lvl>
    <w:lvl w:ilvl="4" w:tplc="D146064A">
      <w:start w:val="1"/>
      <w:numFmt w:val="lowerLetter"/>
      <w:lvlText w:val="%5."/>
      <w:lvlJc w:val="left"/>
      <w:pPr>
        <w:ind w:left="3382" w:hanging="360"/>
      </w:pPr>
    </w:lvl>
    <w:lvl w:ilvl="5" w:tplc="AA5C3AF8">
      <w:start w:val="1"/>
      <w:numFmt w:val="lowerRoman"/>
      <w:lvlText w:val="%6."/>
      <w:lvlJc w:val="right"/>
      <w:pPr>
        <w:ind w:left="4102" w:hanging="180"/>
      </w:pPr>
    </w:lvl>
    <w:lvl w:ilvl="6" w:tplc="A7887E66">
      <w:start w:val="1"/>
      <w:numFmt w:val="decimal"/>
      <w:lvlText w:val="%7."/>
      <w:lvlJc w:val="left"/>
      <w:pPr>
        <w:ind w:left="4822" w:hanging="360"/>
      </w:pPr>
    </w:lvl>
    <w:lvl w:ilvl="7" w:tplc="6D16669E">
      <w:start w:val="1"/>
      <w:numFmt w:val="lowerLetter"/>
      <w:lvlText w:val="%8."/>
      <w:lvlJc w:val="left"/>
      <w:pPr>
        <w:ind w:left="5542" w:hanging="360"/>
      </w:pPr>
    </w:lvl>
    <w:lvl w:ilvl="8" w:tplc="294231D8">
      <w:start w:val="1"/>
      <w:numFmt w:val="lowerRoman"/>
      <w:lvlText w:val="%9."/>
      <w:lvlJc w:val="right"/>
      <w:pPr>
        <w:ind w:left="6262" w:hanging="180"/>
      </w:pPr>
    </w:lvl>
  </w:abstractNum>
  <w:abstractNum w:abstractNumId="22" w15:restartNumberingAfterBreak="0">
    <w:nsid w:val="058C0CD2"/>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23" w15:restartNumberingAfterBreak="0">
    <w:nsid w:val="05A652E1"/>
    <w:multiLevelType w:val="hybridMultilevel"/>
    <w:tmpl w:val="A2F06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5DF5D2B"/>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25" w15:restartNumberingAfterBreak="0">
    <w:nsid w:val="0629134C"/>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26" w15:restartNumberingAfterBreak="0">
    <w:nsid w:val="06784D3D"/>
    <w:multiLevelType w:val="multilevel"/>
    <w:tmpl w:val="A4EA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6CD8A6B"/>
    <w:multiLevelType w:val="hybridMultilevel"/>
    <w:tmpl w:val="FFFFFFFF"/>
    <w:lvl w:ilvl="0" w:tplc="EE640088">
      <w:start w:val="1"/>
      <w:numFmt w:val="bullet"/>
      <w:lvlText w:val=""/>
      <w:lvlJc w:val="left"/>
      <w:pPr>
        <w:ind w:left="720" w:hanging="360"/>
      </w:pPr>
      <w:rPr>
        <w:rFonts w:ascii="Symbol" w:hAnsi="Symbol" w:hint="default"/>
      </w:rPr>
    </w:lvl>
    <w:lvl w:ilvl="1" w:tplc="BEAC83B0">
      <w:start w:val="1"/>
      <w:numFmt w:val="bullet"/>
      <w:lvlText w:val="o"/>
      <w:lvlJc w:val="left"/>
      <w:pPr>
        <w:ind w:left="1440" w:hanging="360"/>
      </w:pPr>
      <w:rPr>
        <w:rFonts w:ascii="Courier New" w:hAnsi="Courier New" w:hint="default"/>
      </w:rPr>
    </w:lvl>
    <w:lvl w:ilvl="2" w:tplc="69F45364">
      <w:start w:val="1"/>
      <w:numFmt w:val="bullet"/>
      <w:lvlText w:val=""/>
      <w:lvlJc w:val="left"/>
      <w:pPr>
        <w:ind w:left="2160" w:hanging="360"/>
      </w:pPr>
      <w:rPr>
        <w:rFonts w:ascii="Wingdings" w:hAnsi="Wingdings" w:hint="default"/>
      </w:rPr>
    </w:lvl>
    <w:lvl w:ilvl="3" w:tplc="A1FA7C76">
      <w:start w:val="1"/>
      <w:numFmt w:val="bullet"/>
      <w:lvlText w:val=""/>
      <w:lvlJc w:val="left"/>
      <w:pPr>
        <w:ind w:left="2880" w:hanging="360"/>
      </w:pPr>
      <w:rPr>
        <w:rFonts w:ascii="Symbol" w:hAnsi="Symbol" w:hint="default"/>
      </w:rPr>
    </w:lvl>
    <w:lvl w:ilvl="4" w:tplc="4A3A1CBE">
      <w:start w:val="1"/>
      <w:numFmt w:val="bullet"/>
      <w:lvlText w:val="o"/>
      <w:lvlJc w:val="left"/>
      <w:pPr>
        <w:ind w:left="3600" w:hanging="360"/>
      </w:pPr>
      <w:rPr>
        <w:rFonts w:ascii="Courier New" w:hAnsi="Courier New" w:hint="default"/>
      </w:rPr>
    </w:lvl>
    <w:lvl w:ilvl="5" w:tplc="26CCAE44">
      <w:start w:val="1"/>
      <w:numFmt w:val="bullet"/>
      <w:lvlText w:val=""/>
      <w:lvlJc w:val="left"/>
      <w:pPr>
        <w:ind w:left="4320" w:hanging="360"/>
      </w:pPr>
      <w:rPr>
        <w:rFonts w:ascii="Wingdings" w:hAnsi="Wingdings" w:hint="default"/>
      </w:rPr>
    </w:lvl>
    <w:lvl w:ilvl="6" w:tplc="16180034">
      <w:start w:val="1"/>
      <w:numFmt w:val="bullet"/>
      <w:lvlText w:val=""/>
      <w:lvlJc w:val="left"/>
      <w:pPr>
        <w:ind w:left="5040" w:hanging="360"/>
      </w:pPr>
      <w:rPr>
        <w:rFonts w:ascii="Symbol" w:hAnsi="Symbol" w:hint="default"/>
      </w:rPr>
    </w:lvl>
    <w:lvl w:ilvl="7" w:tplc="314C8F5E">
      <w:start w:val="1"/>
      <w:numFmt w:val="bullet"/>
      <w:lvlText w:val="o"/>
      <w:lvlJc w:val="left"/>
      <w:pPr>
        <w:ind w:left="5760" w:hanging="360"/>
      </w:pPr>
      <w:rPr>
        <w:rFonts w:ascii="Courier New" w:hAnsi="Courier New" w:hint="default"/>
      </w:rPr>
    </w:lvl>
    <w:lvl w:ilvl="8" w:tplc="81EEF45C">
      <w:start w:val="1"/>
      <w:numFmt w:val="bullet"/>
      <w:lvlText w:val=""/>
      <w:lvlJc w:val="left"/>
      <w:pPr>
        <w:ind w:left="6480" w:hanging="360"/>
      </w:pPr>
      <w:rPr>
        <w:rFonts w:ascii="Wingdings" w:hAnsi="Wingdings" w:hint="default"/>
      </w:rPr>
    </w:lvl>
  </w:abstractNum>
  <w:abstractNum w:abstractNumId="28" w15:restartNumberingAfterBreak="0">
    <w:nsid w:val="08457ED7"/>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29" w15:restartNumberingAfterBreak="0">
    <w:nsid w:val="09454F17"/>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30" w15:restartNumberingAfterBreak="0">
    <w:nsid w:val="0C5962EC"/>
    <w:multiLevelType w:val="hybridMultilevel"/>
    <w:tmpl w:val="8A9018BE"/>
    <w:lvl w:ilvl="0" w:tplc="4D5C28CA">
      <w:start w:val="1"/>
      <w:numFmt w:val="decimal"/>
      <w:pStyle w:val="Caption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D3E43D4"/>
    <w:multiLevelType w:val="multilevel"/>
    <w:tmpl w:val="C484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EB14EE1"/>
    <w:multiLevelType w:val="multilevel"/>
    <w:tmpl w:val="80E8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4925FC"/>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34" w15:restartNumberingAfterBreak="0">
    <w:nsid w:val="10500B2C"/>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35" w15:restartNumberingAfterBreak="0">
    <w:nsid w:val="108272BE"/>
    <w:multiLevelType w:val="multilevel"/>
    <w:tmpl w:val="8674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30434BD"/>
    <w:multiLevelType w:val="hybridMultilevel"/>
    <w:tmpl w:val="D7BE50D8"/>
    <w:lvl w:ilvl="0" w:tplc="C480EBBC">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3E574D1"/>
    <w:multiLevelType w:val="multilevel"/>
    <w:tmpl w:val="BC36FD48"/>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3F25CAC"/>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39" w15:restartNumberingAfterBreak="0">
    <w:nsid w:val="157B42D1"/>
    <w:multiLevelType w:val="multilevel"/>
    <w:tmpl w:val="07CED3DE"/>
    <w:lvl w:ilvl="0">
      <w:start w:val="1"/>
      <w:numFmt w:val="bullet"/>
      <w:pStyle w:val="TableBullet"/>
      <w:lvlText w:val=""/>
      <w:lvlJc w:val="left"/>
      <w:pPr>
        <w:ind w:left="170" w:hanging="170"/>
      </w:pPr>
      <w:rPr>
        <w:rFonts w:ascii="Symbol" w:hAnsi="Symbol" w:hint="default"/>
        <w:color w:val="6B3077" w:themeColor="accent1"/>
        <w:sz w:val="16"/>
        <w:szCs w:val="16"/>
      </w:rPr>
    </w:lvl>
    <w:lvl w:ilvl="1">
      <w:start w:val="1"/>
      <w:numFmt w:val="bullet"/>
      <w:pStyle w:val="TableBullet2"/>
      <w:lvlText w:val="–"/>
      <w:lvlJc w:val="left"/>
      <w:pPr>
        <w:ind w:left="340" w:hanging="17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5BA2B74"/>
    <w:multiLevelType w:val="multilevel"/>
    <w:tmpl w:val="695E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6240C3C"/>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42" w15:restartNumberingAfterBreak="0">
    <w:nsid w:val="16393E3E"/>
    <w:multiLevelType w:val="hybridMultilevel"/>
    <w:tmpl w:val="0D84E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7997421"/>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44" w15:restartNumberingAfterBreak="0">
    <w:nsid w:val="17DF8A12"/>
    <w:multiLevelType w:val="hybridMultilevel"/>
    <w:tmpl w:val="17101E30"/>
    <w:lvl w:ilvl="0" w:tplc="6992A7D4">
      <w:start w:val="1"/>
      <w:numFmt w:val="bullet"/>
      <w:lvlText w:val="·"/>
      <w:lvlJc w:val="left"/>
      <w:pPr>
        <w:ind w:left="720" w:hanging="360"/>
      </w:pPr>
      <w:rPr>
        <w:rFonts w:ascii="Symbol" w:hAnsi="Symbol" w:hint="default"/>
      </w:rPr>
    </w:lvl>
    <w:lvl w:ilvl="1" w:tplc="EE8AD610">
      <w:start w:val="1"/>
      <w:numFmt w:val="bullet"/>
      <w:lvlText w:val="o"/>
      <w:lvlJc w:val="left"/>
      <w:pPr>
        <w:ind w:left="1440" w:hanging="360"/>
      </w:pPr>
      <w:rPr>
        <w:rFonts w:ascii="Courier New" w:hAnsi="Courier New" w:hint="default"/>
      </w:rPr>
    </w:lvl>
    <w:lvl w:ilvl="2" w:tplc="B7F0F2DE">
      <w:start w:val="1"/>
      <w:numFmt w:val="bullet"/>
      <w:lvlText w:val=""/>
      <w:lvlJc w:val="left"/>
      <w:pPr>
        <w:ind w:left="2160" w:hanging="360"/>
      </w:pPr>
      <w:rPr>
        <w:rFonts w:ascii="Wingdings" w:hAnsi="Wingdings" w:hint="default"/>
      </w:rPr>
    </w:lvl>
    <w:lvl w:ilvl="3" w:tplc="DE18C3FA">
      <w:start w:val="1"/>
      <w:numFmt w:val="bullet"/>
      <w:lvlText w:val=""/>
      <w:lvlJc w:val="left"/>
      <w:pPr>
        <w:ind w:left="2880" w:hanging="360"/>
      </w:pPr>
      <w:rPr>
        <w:rFonts w:ascii="Symbol" w:hAnsi="Symbol" w:hint="default"/>
      </w:rPr>
    </w:lvl>
    <w:lvl w:ilvl="4" w:tplc="C12C5A60">
      <w:start w:val="1"/>
      <w:numFmt w:val="bullet"/>
      <w:lvlText w:val="o"/>
      <w:lvlJc w:val="left"/>
      <w:pPr>
        <w:ind w:left="3600" w:hanging="360"/>
      </w:pPr>
      <w:rPr>
        <w:rFonts w:ascii="Courier New" w:hAnsi="Courier New" w:hint="default"/>
      </w:rPr>
    </w:lvl>
    <w:lvl w:ilvl="5" w:tplc="88D0F35A">
      <w:start w:val="1"/>
      <w:numFmt w:val="bullet"/>
      <w:lvlText w:val=""/>
      <w:lvlJc w:val="left"/>
      <w:pPr>
        <w:ind w:left="4320" w:hanging="360"/>
      </w:pPr>
      <w:rPr>
        <w:rFonts w:ascii="Wingdings" w:hAnsi="Wingdings" w:hint="default"/>
      </w:rPr>
    </w:lvl>
    <w:lvl w:ilvl="6" w:tplc="7A126FAA">
      <w:start w:val="1"/>
      <w:numFmt w:val="bullet"/>
      <w:lvlText w:val=""/>
      <w:lvlJc w:val="left"/>
      <w:pPr>
        <w:ind w:left="5040" w:hanging="360"/>
      </w:pPr>
      <w:rPr>
        <w:rFonts w:ascii="Symbol" w:hAnsi="Symbol" w:hint="default"/>
      </w:rPr>
    </w:lvl>
    <w:lvl w:ilvl="7" w:tplc="66D67EC6">
      <w:start w:val="1"/>
      <w:numFmt w:val="bullet"/>
      <w:lvlText w:val="o"/>
      <w:lvlJc w:val="left"/>
      <w:pPr>
        <w:ind w:left="5760" w:hanging="360"/>
      </w:pPr>
      <w:rPr>
        <w:rFonts w:ascii="Courier New" w:hAnsi="Courier New" w:hint="default"/>
      </w:rPr>
    </w:lvl>
    <w:lvl w:ilvl="8" w:tplc="08502B14">
      <w:start w:val="1"/>
      <w:numFmt w:val="bullet"/>
      <w:lvlText w:val=""/>
      <w:lvlJc w:val="left"/>
      <w:pPr>
        <w:ind w:left="6480" w:hanging="360"/>
      </w:pPr>
      <w:rPr>
        <w:rFonts w:ascii="Wingdings" w:hAnsi="Wingdings" w:hint="default"/>
      </w:rPr>
    </w:lvl>
  </w:abstractNum>
  <w:abstractNum w:abstractNumId="45" w15:restartNumberingAfterBreak="0">
    <w:nsid w:val="18662934"/>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46" w15:restartNumberingAfterBreak="0">
    <w:nsid w:val="18704847"/>
    <w:multiLevelType w:val="hybridMultilevel"/>
    <w:tmpl w:val="FFFFFFFF"/>
    <w:lvl w:ilvl="0" w:tplc="891ED4DA">
      <w:start w:val="1"/>
      <w:numFmt w:val="bullet"/>
      <w:lvlText w:val="·"/>
      <w:lvlJc w:val="left"/>
      <w:pPr>
        <w:ind w:left="1080" w:hanging="360"/>
      </w:pPr>
      <w:rPr>
        <w:rFonts w:ascii="Symbol" w:hAnsi="Symbol" w:hint="default"/>
      </w:rPr>
    </w:lvl>
    <w:lvl w:ilvl="1" w:tplc="53FC6F26">
      <w:start w:val="1"/>
      <w:numFmt w:val="bullet"/>
      <w:lvlText w:val="o"/>
      <w:lvlJc w:val="left"/>
      <w:pPr>
        <w:ind w:left="1800" w:hanging="360"/>
      </w:pPr>
      <w:rPr>
        <w:rFonts w:ascii="Courier New" w:hAnsi="Courier New" w:hint="default"/>
      </w:rPr>
    </w:lvl>
    <w:lvl w:ilvl="2" w:tplc="8D021908">
      <w:start w:val="1"/>
      <w:numFmt w:val="bullet"/>
      <w:lvlText w:val=""/>
      <w:lvlJc w:val="left"/>
      <w:pPr>
        <w:ind w:left="2520" w:hanging="360"/>
      </w:pPr>
      <w:rPr>
        <w:rFonts w:ascii="Wingdings" w:hAnsi="Wingdings" w:hint="default"/>
      </w:rPr>
    </w:lvl>
    <w:lvl w:ilvl="3" w:tplc="C38A022A">
      <w:start w:val="1"/>
      <w:numFmt w:val="bullet"/>
      <w:lvlText w:val=""/>
      <w:lvlJc w:val="left"/>
      <w:pPr>
        <w:ind w:left="3240" w:hanging="360"/>
      </w:pPr>
      <w:rPr>
        <w:rFonts w:ascii="Symbol" w:hAnsi="Symbol" w:hint="default"/>
      </w:rPr>
    </w:lvl>
    <w:lvl w:ilvl="4" w:tplc="5124333E">
      <w:start w:val="1"/>
      <w:numFmt w:val="bullet"/>
      <w:lvlText w:val="o"/>
      <w:lvlJc w:val="left"/>
      <w:pPr>
        <w:ind w:left="3960" w:hanging="360"/>
      </w:pPr>
      <w:rPr>
        <w:rFonts w:ascii="Courier New" w:hAnsi="Courier New" w:hint="default"/>
      </w:rPr>
    </w:lvl>
    <w:lvl w:ilvl="5" w:tplc="500E9FCC">
      <w:start w:val="1"/>
      <w:numFmt w:val="bullet"/>
      <w:lvlText w:val=""/>
      <w:lvlJc w:val="left"/>
      <w:pPr>
        <w:ind w:left="4680" w:hanging="360"/>
      </w:pPr>
      <w:rPr>
        <w:rFonts w:ascii="Wingdings" w:hAnsi="Wingdings" w:hint="default"/>
      </w:rPr>
    </w:lvl>
    <w:lvl w:ilvl="6" w:tplc="CFD00020">
      <w:start w:val="1"/>
      <w:numFmt w:val="bullet"/>
      <w:lvlText w:val=""/>
      <w:lvlJc w:val="left"/>
      <w:pPr>
        <w:ind w:left="5400" w:hanging="360"/>
      </w:pPr>
      <w:rPr>
        <w:rFonts w:ascii="Symbol" w:hAnsi="Symbol" w:hint="default"/>
      </w:rPr>
    </w:lvl>
    <w:lvl w:ilvl="7" w:tplc="482416AA">
      <w:start w:val="1"/>
      <w:numFmt w:val="bullet"/>
      <w:lvlText w:val="o"/>
      <w:lvlJc w:val="left"/>
      <w:pPr>
        <w:ind w:left="6120" w:hanging="360"/>
      </w:pPr>
      <w:rPr>
        <w:rFonts w:ascii="Courier New" w:hAnsi="Courier New" w:hint="default"/>
      </w:rPr>
    </w:lvl>
    <w:lvl w:ilvl="8" w:tplc="DB0ABAC8">
      <w:start w:val="1"/>
      <w:numFmt w:val="bullet"/>
      <w:lvlText w:val=""/>
      <w:lvlJc w:val="left"/>
      <w:pPr>
        <w:ind w:left="6840" w:hanging="360"/>
      </w:pPr>
      <w:rPr>
        <w:rFonts w:ascii="Wingdings" w:hAnsi="Wingdings" w:hint="default"/>
      </w:rPr>
    </w:lvl>
  </w:abstractNum>
  <w:abstractNum w:abstractNumId="47" w15:restartNumberingAfterBreak="0">
    <w:nsid w:val="192F56D9"/>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48" w15:restartNumberingAfterBreak="0">
    <w:nsid w:val="19630F88"/>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49" w15:restartNumberingAfterBreak="0">
    <w:nsid w:val="199775E8"/>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0" w15:restartNumberingAfterBreak="0">
    <w:nsid w:val="19C95A2F"/>
    <w:multiLevelType w:val="hybridMultilevel"/>
    <w:tmpl w:val="02FE2A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1ABC4823"/>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2" w15:restartNumberingAfterBreak="0">
    <w:nsid w:val="1C7D228C"/>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3" w15:restartNumberingAfterBreak="0">
    <w:nsid w:val="1CC557D5"/>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4" w15:restartNumberingAfterBreak="0">
    <w:nsid w:val="1CCC6CD9"/>
    <w:multiLevelType w:val="hybridMultilevel"/>
    <w:tmpl w:val="FFFFFFFF"/>
    <w:lvl w:ilvl="0" w:tplc="9E687BF0">
      <w:start w:val="1"/>
      <w:numFmt w:val="bullet"/>
      <w:lvlText w:val="·"/>
      <w:lvlJc w:val="left"/>
      <w:pPr>
        <w:ind w:left="720" w:hanging="360"/>
      </w:pPr>
      <w:rPr>
        <w:rFonts w:ascii="Symbol" w:hAnsi="Symbol" w:hint="default"/>
      </w:rPr>
    </w:lvl>
    <w:lvl w:ilvl="1" w:tplc="13EE0CBA">
      <w:start w:val="1"/>
      <w:numFmt w:val="bullet"/>
      <w:lvlText w:val="o"/>
      <w:lvlJc w:val="left"/>
      <w:pPr>
        <w:ind w:left="1440" w:hanging="360"/>
      </w:pPr>
      <w:rPr>
        <w:rFonts w:ascii="Courier New" w:hAnsi="Courier New" w:hint="default"/>
      </w:rPr>
    </w:lvl>
    <w:lvl w:ilvl="2" w:tplc="8FD8BD14">
      <w:start w:val="1"/>
      <w:numFmt w:val="bullet"/>
      <w:lvlText w:val=""/>
      <w:lvlJc w:val="left"/>
      <w:pPr>
        <w:ind w:left="2160" w:hanging="360"/>
      </w:pPr>
      <w:rPr>
        <w:rFonts w:ascii="Wingdings" w:hAnsi="Wingdings" w:hint="default"/>
      </w:rPr>
    </w:lvl>
    <w:lvl w:ilvl="3" w:tplc="3D821DE4">
      <w:start w:val="1"/>
      <w:numFmt w:val="bullet"/>
      <w:lvlText w:val=""/>
      <w:lvlJc w:val="left"/>
      <w:pPr>
        <w:ind w:left="2880" w:hanging="360"/>
      </w:pPr>
      <w:rPr>
        <w:rFonts w:ascii="Symbol" w:hAnsi="Symbol" w:hint="default"/>
      </w:rPr>
    </w:lvl>
    <w:lvl w:ilvl="4" w:tplc="00B8D7B8">
      <w:start w:val="1"/>
      <w:numFmt w:val="bullet"/>
      <w:lvlText w:val="o"/>
      <w:lvlJc w:val="left"/>
      <w:pPr>
        <w:ind w:left="3600" w:hanging="360"/>
      </w:pPr>
      <w:rPr>
        <w:rFonts w:ascii="Courier New" w:hAnsi="Courier New" w:hint="default"/>
      </w:rPr>
    </w:lvl>
    <w:lvl w:ilvl="5" w:tplc="649AF34E">
      <w:start w:val="1"/>
      <w:numFmt w:val="bullet"/>
      <w:lvlText w:val=""/>
      <w:lvlJc w:val="left"/>
      <w:pPr>
        <w:ind w:left="4320" w:hanging="360"/>
      </w:pPr>
      <w:rPr>
        <w:rFonts w:ascii="Wingdings" w:hAnsi="Wingdings" w:hint="default"/>
      </w:rPr>
    </w:lvl>
    <w:lvl w:ilvl="6" w:tplc="C1E4EFF4">
      <w:start w:val="1"/>
      <w:numFmt w:val="bullet"/>
      <w:lvlText w:val=""/>
      <w:lvlJc w:val="left"/>
      <w:pPr>
        <w:ind w:left="5040" w:hanging="360"/>
      </w:pPr>
      <w:rPr>
        <w:rFonts w:ascii="Symbol" w:hAnsi="Symbol" w:hint="default"/>
      </w:rPr>
    </w:lvl>
    <w:lvl w:ilvl="7" w:tplc="FE42F5AA">
      <w:start w:val="1"/>
      <w:numFmt w:val="bullet"/>
      <w:lvlText w:val="o"/>
      <w:lvlJc w:val="left"/>
      <w:pPr>
        <w:ind w:left="5760" w:hanging="360"/>
      </w:pPr>
      <w:rPr>
        <w:rFonts w:ascii="Courier New" w:hAnsi="Courier New" w:hint="default"/>
      </w:rPr>
    </w:lvl>
    <w:lvl w:ilvl="8" w:tplc="34A06238">
      <w:start w:val="1"/>
      <w:numFmt w:val="bullet"/>
      <w:lvlText w:val=""/>
      <w:lvlJc w:val="left"/>
      <w:pPr>
        <w:ind w:left="6480" w:hanging="360"/>
      </w:pPr>
      <w:rPr>
        <w:rFonts w:ascii="Wingdings" w:hAnsi="Wingdings" w:hint="default"/>
      </w:rPr>
    </w:lvl>
  </w:abstractNum>
  <w:abstractNum w:abstractNumId="55" w15:restartNumberingAfterBreak="0">
    <w:nsid w:val="1D8401BD"/>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6" w15:restartNumberingAfterBreak="0">
    <w:nsid w:val="20D533D1"/>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7" w15:restartNumberingAfterBreak="0">
    <w:nsid w:val="2326318A"/>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8" w15:restartNumberingAfterBreak="0">
    <w:nsid w:val="25917084"/>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59" w15:restartNumberingAfterBreak="0">
    <w:nsid w:val="2625090D"/>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60" w15:restartNumberingAfterBreak="0">
    <w:nsid w:val="26375073"/>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61" w15:restartNumberingAfterBreak="0">
    <w:nsid w:val="26722066"/>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62" w15:restartNumberingAfterBreak="0">
    <w:nsid w:val="27DB3F5A"/>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63" w15:restartNumberingAfterBreak="0">
    <w:nsid w:val="2824A958"/>
    <w:multiLevelType w:val="hybridMultilevel"/>
    <w:tmpl w:val="FFFFFFFF"/>
    <w:lvl w:ilvl="0" w:tplc="18D030A4">
      <w:start w:val="1"/>
      <w:numFmt w:val="bullet"/>
      <w:lvlText w:val="·"/>
      <w:lvlJc w:val="left"/>
      <w:pPr>
        <w:ind w:left="720" w:hanging="360"/>
      </w:pPr>
      <w:rPr>
        <w:rFonts w:ascii="Symbol" w:hAnsi="Symbol" w:hint="default"/>
      </w:rPr>
    </w:lvl>
    <w:lvl w:ilvl="1" w:tplc="7D2EC27E">
      <w:start w:val="1"/>
      <w:numFmt w:val="decimal"/>
      <w:lvlText w:val="–"/>
      <w:lvlJc w:val="left"/>
      <w:pPr>
        <w:ind w:left="1440" w:hanging="360"/>
      </w:pPr>
    </w:lvl>
    <w:lvl w:ilvl="2" w:tplc="0CDE14F0">
      <w:start w:val="1"/>
      <w:numFmt w:val="bullet"/>
      <w:lvlText w:val=""/>
      <w:lvlJc w:val="left"/>
      <w:pPr>
        <w:ind w:left="2160" w:hanging="360"/>
      </w:pPr>
      <w:rPr>
        <w:rFonts w:ascii="Wingdings" w:hAnsi="Wingdings" w:hint="default"/>
      </w:rPr>
    </w:lvl>
    <w:lvl w:ilvl="3" w:tplc="A0D21ACA">
      <w:start w:val="1"/>
      <w:numFmt w:val="bullet"/>
      <w:lvlText w:val=""/>
      <w:lvlJc w:val="left"/>
      <w:pPr>
        <w:ind w:left="2880" w:hanging="360"/>
      </w:pPr>
      <w:rPr>
        <w:rFonts w:ascii="Symbol" w:hAnsi="Symbol" w:hint="default"/>
      </w:rPr>
    </w:lvl>
    <w:lvl w:ilvl="4" w:tplc="0F24326E">
      <w:start w:val="1"/>
      <w:numFmt w:val="bullet"/>
      <w:lvlText w:val="o"/>
      <w:lvlJc w:val="left"/>
      <w:pPr>
        <w:ind w:left="3600" w:hanging="360"/>
      </w:pPr>
      <w:rPr>
        <w:rFonts w:ascii="Courier New" w:hAnsi="Courier New" w:hint="default"/>
      </w:rPr>
    </w:lvl>
    <w:lvl w:ilvl="5" w:tplc="FF5028C0">
      <w:start w:val="1"/>
      <w:numFmt w:val="bullet"/>
      <w:lvlText w:val=""/>
      <w:lvlJc w:val="left"/>
      <w:pPr>
        <w:ind w:left="4320" w:hanging="360"/>
      </w:pPr>
      <w:rPr>
        <w:rFonts w:ascii="Wingdings" w:hAnsi="Wingdings" w:hint="default"/>
      </w:rPr>
    </w:lvl>
    <w:lvl w:ilvl="6" w:tplc="D57C719E">
      <w:start w:val="1"/>
      <w:numFmt w:val="bullet"/>
      <w:lvlText w:val=""/>
      <w:lvlJc w:val="left"/>
      <w:pPr>
        <w:ind w:left="5040" w:hanging="360"/>
      </w:pPr>
      <w:rPr>
        <w:rFonts w:ascii="Symbol" w:hAnsi="Symbol" w:hint="default"/>
      </w:rPr>
    </w:lvl>
    <w:lvl w:ilvl="7" w:tplc="20724096">
      <w:start w:val="1"/>
      <w:numFmt w:val="bullet"/>
      <w:lvlText w:val="o"/>
      <w:lvlJc w:val="left"/>
      <w:pPr>
        <w:ind w:left="5760" w:hanging="360"/>
      </w:pPr>
      <w:rPr>
        <w:rFonts w:ascii="Courier New" w:hAnsi="Courier New" w:hint="default"/>
      </w:rPr>
    </w:lvl>
    <w:lvl w:ilvl="8" w:tplc="182C9812">
      <w:start w:val="1"/>
      <w:numFmt w:val="bullet"/>
      <w:lvlText w:val=""/>
      <w:lvlJc w:val="left"/>
      <w:pPr>
        <w:ind w:left="6480" w:hanging="360"/>
      </w:pPr>
      <w:rPr>
        <w:rFonts w:ascii="Wingdings" w:hAnsi="Wingdings" w:hint="default"/>
      </w:rPr>
    </w:lvl>
  </w:abstractNum>
  <w:abstractNum w:abstractNumId="64" w15:restartNumberingAfterBreak="0">
    <w:nsid w:val="283956B8"/>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65" w15:restartNumberingAfterBreak="0">
    <w:nsid w:val="284E7803"/>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66" w15:restartNumberingAfterBreak="0">
    <w:nsid w:val="2865636A"/>
    <w:multiLevelType w:val="multilevel"/>
    <w:tmpl w:val="3C64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8F61CDA"/>
    <w:multiLevelType w:val="multilevel"/>
    <w:tmpl w:val="2F82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9513D39"/>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69" w15:restartNumberingAfterBreak="0">
    <w:nsid w:val="2ABE07BE"/>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70" w15:restartNumberingAfterBreak="0">
    <w:nsid w:val="2BE10F15"/>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71" w15:restartNumberingAfterBreak="0">
    <w:nsid w:val="2DAB37D2"/>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72" w15:restartNumberingAfterBreak="0">
    <w:nsid w:val="2E16437A"/>
    <w:multiLevelType w:val="hybridMultilevel"/>
    <w:tmpl w:val="B784DC3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3" w15:restartNumberingAfterBreak="0">
    <w:nsid w:val="2E5D6433"/>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74" w15:restartNumberingAfterBreak="0">
    <w:nsid w:val="2E8D1DFB"/>
    <w:multiLevelType w:val="hybridMultilevel"/>
    <w:tmpl w:val="A2B207AA"/>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75" w15:restartNumberingAfterBreak="0">
    <w:nsid w:val="2E8F5926"/>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76" w15:restartNumberingAfterBreak="0">
    <w:nsid w:val="2F853642"/>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77" w15:restartNumberingAfterBreak="0">
    <w:nsid w:val="2F8A766D"/>
    <w:multiLevelType w:val="multilevel"/>
    <w:tmpl w:val="09B01D4E"/>
    <w:lvl w:ilvl="0">
      <w:start w:val="1"/>
      <w:numFmt w:val="decimal"/>
      <w:pStyle w:val="AppendixHeading"/>
      <w:lvlText w:val="A%1."/>
      <w:lvlJc w:val="left"/>
      <w:pPr>
        <w:ind w:left="992" w:hanging="992"/>
      </w:pPr>
      <w:rPr>
        <w:rFonts w:hint="default"/>
      </w:rPr>
    </w:lvl>
    <w:lvl w:ilvl="1">
      <w:start w:val="1"/>
      <w:numFmt w:val="decimal"/>
      <w:pStyle w:val="AppendixHeading2"/>
      <w:lvlText w:val="A%1.%2"/>
      <w:lvlJc w:val="left"/>
      <w:pPr>
        <w:ind w:left="794" w:hanging="794"/>
      </w:pPr>
      <w:rPr>
        <w:rFonts w:hint="default"/>
      </w:rPr>
    </w:lvl>
    <w:lvl w:ilvl="2">
      <w:start w:val="1"/>
      <w:numFmt w:val="decimal"/>
      <w:pStyle w:val="AppendixHeading3"/>
      <w:lvlText w:val="A%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2FDAB99C"/>
    <w:multiLevelType w:val="multilevel"/>
    <w:tmpl w:val="D6448510"/>
    <w:lvl w:ilvl="0">
      <w:start w:val="1"/>
      <w:numFmt w:val="decimal"/>
      <w:lvlText w:val="%1."/>
      <w:lvlJc w:val="left"/>
      <w:pPr>
        <w:ind w:left="720" w:hanging="360"/>
      </w:pPr>
      <w:rPr>
        <w:rFonts w:hint="default"/>
      </w:rPr>
    </w:lvl>
    <w:lvl w:ilvl="1">
      <w:start w:val="1"/>
      <w:numFmt w:val="decimal"/>
      <w:lvlText w:val="A2.%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327D10F1"/>
    <w:multiLevelType w:val="hybridMultilevel"/>
    <w:tmpl w:val="401CBF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30467F6"/>
    <w:multiLevelType w:val="multilevel"/>
    <w:tmpl w:val="3C98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3C96EDB"/>
    <w:multiLevelType w:val="multilevel"/>
    <w:tmpl w:val="60DEA3EA"/>
    <w:lvl w:ilvl="0">
      <w:start w:val="1"/>
      <w:numFmt w:val="bullet"/>
      <w:pStyle w:val="ListBullet"/>
      <w:lvlText w:val=""/>
      <w:lvlJc w:val="left"/>
      <w:pPr>
        <w:ind w:left="284" w:hanging="284"/>
      </w:pPr>
      <w:rPr>
        <w:rFonts w:ascii="Symbol" w:hAnsi="Symbol" w:hint="default"/>
        <w:color w:val="A3519B"/>
      </w:rPr>
    </w:lvl>
    <w:lvl w:ilvl="1">
      <w:start w:val="1"/>
      <w:numFmt w:val="bullet"/>
      <w:pStyle w:val="ListBullet2"/>
      <w:lvlText w:val="–"/>
      <w:lvlJc w:val="left"/>
      <w:pPr>
        <w:tabs>
          <w:tab w:val="num" w:pos="567"/>
        </w:tabs>
        <w:ind w:left="567" w:hanging="283"/>
      </w:pPr>
      <w:rPr>
        <w:rFonts w:ascii="Segoe UI Semilight" w:hAnsi="Segoe UI Semilight" w:hint="default"/>
      </w:rPr>
    </w:lvl>
    <w:lvl w:ilvl="2">
      <w:start w:val="1"/>
      <w:numFmt w:val="bullet"/>
      <w:pStyle w:val="ListBullet3"/>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82" w15:restartNumberingAfterBreak="0">
    <w:nsid w:val="350C413E"/>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83" w15:restartNumberingAfterBreak="0">
    <w:nsid w:val="3511079A"/>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84" w15:restartNumberingAfterBreak="0">
    <w:nsid w:val="35582E30"/>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85" w15:restartNumberingAfterBreak="0">
    <w:nsid w:val="363B2209"/>
    <w:multiLevelType w:val="multilevel"/>
    <w:tmpl w:val="C080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69A771F"/>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87" w15:restartNumberingAfterBreak="0">
    <w:nsid w:val="372C5F94"/>
    <w:multiLevelType w:val="hybridMultilevel"/>
    <w:tmpl w:val="4A8C6062"/>
    <w:lvl w:ilvl="0" w:tplc="BC2212EC">
      <w:start w:val="1"/>
      <w:numFmt w:val="bullet"/>
      <w:pStyle w:val="ImportantNotice-Bullet"/>
      <w:lvlText w:val=""/>
      <w:lvlJc w:val="left"/>
      <w:pPr>
        <w:ind w:left="36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7463723"/>
    <w:multiLevelType w:val="hybridMultilevel"/>
    <w:tmpl w:val="FCE68E34"/>
    <w:lvl w:ilvl="0" w:tplc="072438C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9547DC9"/>
    <w:multiLevelType w:val="hybridMultilevel"/>
    <w:tmpl w:val="CE16D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A4D6A89"/>
    <w:multiLevelType w:val="hybridMultilevel"/>
    <w:tmpl w:val="94B8E54E"/>
    <w:lvl w:ilvl="0" w:tplc="7DF6D690">
      <w:start w:val="1"/>
      <w:numFmt w:val="bullet"/>
      <w:lvlText w:val=""/>
      <w:lvlJc w:val="left"/>
      <w:pPr>
        <w:ind w:left="720" w:hanging="360"/>
      </w:pPr>
      <w:rPr>
        <w:rFonts w:ascii="Symbol" w:hAnsi="Symbol" w:hint="default"/>
        <w:color w:val="A3519B"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AFB6E10"/>
    <w:multiLevelType w:val="hybridMultilevel"/>
    <w:tmpl w:val="357A05E8"/>
    <w:lvl w:ilvl="0" w:tplc="116E0410">
      <w:start w:val="1"/>
      <w:numFmt w:val="bullet"/>
      <w:pStyle w:val="TableFigureFootnoteBullet"/>
      <w:lvlText w:val=""/>
      <w:lvlJc w:val="left"/>
      <w:pPr>
        <w:ind w:left="720" w:hanging="360"/>
      </w:pPr>
      <w:rPr>
        <w:rFonts w:ascii="Symbol" w:hAnsi="Symbol" w:hint="default"/>
        <w:color w:val="B46CC3" w:themeColor="accent1" w:themeTint="9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B5FE570"/>
    <w:multiLevelType w:val="hybridMultilevel"/>
    <w:tmpl w:val="FFFFFFFF"/>
    <w:lvl w:ilvl="0" w:tplc="4864B708">
      <w:start w:val="1"/>
      <w:numFmt w:val="bullet"/>
      <w:lvlText w:val="·"/>
      <w:lvlJc w:val="left"/>
      <w:pPr>
        <w:ind w:left="720" w:hanging="360"/>
      </w:pPr>
      <w:rPr>
        <w:rFonts w:ascii="Symbol" w:hAnsi="Symbol" w:hint="default"/>
      </w:rPr>
    </w:lvl>
    <w:lvl w:ilvl="1" w:tplc="5AFE557C">
      <w:start w:val="1"/>
      <w:numFmt w:val="bullet"/>
      <w:lvlText w:val="o"/>
      <w:lvlJc w:val="left"/>
      <w:pPr>
        <w:ind w:left="1440" w:hanging="360"/>
      </w:pPr>
      <w:rPr>
        <w:rFonts w:ascii="Courier New" w:hAnsi="Courier New" w:hint="default"/>
      </w:rPr>
    </w:lvl>
    <w:lvl w:ilvl="2" w:tplc="E480935A">
      <w:start w:val="1"/>
      <w:numFmt w:val="bullet"/>
      <w:lvlText w:val=""/>
      <w:lvlJc w:val="left"/>
      <w:pPr>
        <w:ind w:left="2160" w:hanging="360"/>
      </w:pPr>
      <w:rPr>
        <w:rFonts w:ascii="Wingdings" w:hAnsi="Wingdings" w:hint="default"/>
      </w:rPr>
    </w:lvl>
    <w:lvl w:ilvl="3" w:tplc="5A667DBC">
      <w:start w:val="1"/>
      <w:numFmt w:val="bullet"/>
      <w:lvlText w:val=""/>
      <w:lvlJc w:val="left"/>
      <w:pPr>
        <w:ind w:left="2880" w:hanging="360"/>
      </w:pPr>
      <w:rPr>
        <w:rFonts w:ascii="Symbol" w:hAnsi="Symbol" w:hint="default"/>
      </w:rPr>
    </w:lvl>
    <w:lvl w:ilvl="4" w:tplc="22766AF0">
      <w:start w:val="1"/>
      <w:numFmt w:val="bullet"/>
      <w:lvlText w:val="o"/>
      <w:lvlJc w:val="left"/>
      <w:pPr>
        <w:ind w:left="3600" w:hanging="360"/>
      </w:pPr>
      <w:rPr>
        <w:rFonts w:ascii="Courier New" w:hAnsi="Courier New" w:hint="default"/>
      </w:rPr>
    </w:lvl>
    <w:lvl w:ilvl="5" w:tplc="194E0AE2">
      <w:start w:val="1"/>
      <w:numFmt w:val="bullet"/>
      <w:lvlText w:val=""/>
      <w:lvlJc w:val="left"/>
      <w:pPr>
        <w:ind w:left="4320" w:hanging="360"/>
      </w:pPr>
      <w:rPr>
        <w:rFonts w:ascii="Wingdings" w:hAnsi="Wingdings" w:hint="default"/>
      </w:rPr>
    </w:lvl>
    <w:lvl w:ilvl="6" w:tplc="DD3E1B78">
      <w:start w:val="1"/>
      <w:numFmt w:val="bullet"/>
      <w:lvlText w:val=""/>
      <w:lvlJc w:val="left"/>
      <w:pPr>
        <w:ind w:left="5040" w:hanging="360"/>
      </w:pPr>
      <w:rPr>
        <w:rFonts w:ascii="Symbol" w:hAnsi="Symbol" w:hint="default"/>
      </w:rPr>
    </w:lvl>
    <w:lvl w:ilvl="7" w:tplc="382A366C">
      <w:start w:val="1"/>
      <w:numFmt w:val="bullet"/>
      <w:lvlText w:val="o"/>
      <w:lvlJc w:val="left"/>
      <w:pPr>
        <w:ind w:left="5760" w:hanging="360"/>
      </w:pPr>
      <w:rPr>
        <w:rFonts w:ascii="Courier New" w:hAnsi="Courier New" w:hint="default"/>
      </w:rPr>
    </w:lvl>
    <w:lvl w:ilvl="8" w:tplc="260E6246">
      <w:start w:val="1"/>
      <w:numFmt w:val="bullet"/>
      <w:lvlText w:val=""/>
      <w:lvlJc w:val="left"/>
      <w:pPr>
        <w:ind w:left="6480" w:hanging="360"/>
      </w:pPr>
      <w:rPr>
        <w:rFonts w:ascii="Wingdings" w:hAnsi="Wingdings" w:hint="default"/>
      </w:rPr>
    </w:lvl>
  </w:abstractNum>
  <w:abstractNum w:abstractNumId="93" w15:restartNumberingAfterBreak="0">
    <w:nsid w:val="3CC45F91"/>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94" w15:restartNumberingAfterBreak="0">
    <w:nsid w:val="3DB217B4"/>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95" w15:restartNumberingAfterBreak="0">
    <w:nsid w:val="3E546287"/>
    <w:multiLevelType w:val="multilevel"/>
    <w:tmpl w:val="7422C0D4"/>
    <w:lvl w:ilvl="0">
      <w:start w:val="1"/>
      <w:numFmt w:val="bullet"/>
      <w:lvlText w:val=""/>
      <w:lvlJc w:val="left"/>
      <w:pPr>
        <w:ind w:left="170" w:hanging="170"/>
      </w:pPr>
      <w:rPr>
        <w:rFonts w:ascii="Symbol" w:hAnsi="Symbol" w:hint="default"/>
        <w:color w:val="6B3077" w:themeColor="accent1"/>
      </w:rPr>
    </w:lvl>
    <w:lvl w:ilvl="1">
      <w:start w:val="1"/>
      <w:numFmt w:val="bullet"/>
      <w:lvlText w:val="–"/>
      <w:lvlJc w:val="left"/>
      <w:pPr>
        <w:tabs>
          <w:tab w:val="num" w:pos="340"/>
        </w:tabs>
        <w:ind w:left="340" w:hanging="170"/>
      </w:pPr>
      <w:rPr>
        <w:rFonts w:ascii="Segoe UI Semilight" w:hAnsi="Segoe UI Semi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0F549C8"/>
    <w:multiLevelType w:val="multilevel"/>
    <w:tmpl w:val="DEAE6F1A"/>
    <w:lvl w:ilvl="0">
      <w:start w:val="1"/>
      <w:numFmt w:val="decimal"/>
      <w:lvlText w:val="A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2F148C9"/>
    <w:multiLevelType w:val="hybridMultilevel"/>
    <w:tmpl w:val="D47054A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463644FA"/>
    <w:multiLevelType w:val="hybridMultilevel"/>
    <w:tmpl w:val="C8B0B9F4"/>
    <w:lvl w:ilvl="0" w:tplc="072438C4">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6F02606"/>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00" w15:restartNumberingAfterBreak="0">
    <w:nsid w:val="475A04C9"/>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01" w15:restartNumberingAfterBreak="0">
    <w:nsid w:val="48301C62"/>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02" w15:restartNumberingAfterBreak="0">
    <w:nsid w:val="48EA7EDD"/>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03" w15:restartNumberingAfterBreak="0">
    <w:nsid w:val="49A5118E"/>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04" w15:restartNumberingAfterBreak="0">
    <w:nsid w:val="4A0612C7"/>
    <w:multiLevelType w:val="hybridMultilevel"/>
    <w:tmpl w:val="B2EA2D54"/>
    <w:lvl w:ilvl="0" w:tplc="449686AC">
      <w:start w:val="1"/>
      <w:numFmt w:val="bullet"/>
      <w:lvlText w:val=""/>
      <w:lvlJc w:val="left"/>
      <w:pPr>
        <w:ind w:left="720" w:hanging="360"/>
      </w:pPr>
      <w:rPr>
        <w:rFonts w:ascii="Symbol" w:hAnsi="Symbol" w:hint="default"/>
        <w:color w:val="6B307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A33406E"/>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06" w15:restartNumberingAfterBreak="0">
    <w:nsid w:val="4A543120"/>
    <w:multiLevelType w:val="hybridMultilevel"/>
    <w:tmpl w:val="FFFFFFFF"/>
    <w:lvl w:ilvl="0" w:tplc="85B053DA">
      <w:start w:val="1"/>
      <w:numFmt w:val="bullet"/>
      <w:lvlText w:val=""/>
      <w:lvlJc w:val="left"/>
      <w:pPr>
        <w:ind w:left="720" w:hanging="360"/>
      </w:pPr>
      <w:rPr>
        <w:rFonts w:ascii="Symbol" w:hAnsi="Symbol" w:hint="default"/>
      </w:rPr>
    </w:lvl>
    <w:lvl w:ilvl="1" w:tplc="3368A7AC">
      <w:start w:val="1"/>
      <w:numFmt w:val="bullet"/>
      <w:lvlText w:val="o"/>
      <w:lvlJc w:val="left"/>
      <w:pPr>
        <w:ind w:left="1440" w:hanging="360"/>
      </w:pPr>
      <w:rPr>
        <w:rFonts w:ascii="Courier New" w:hAnsi="Courier New" w:hint="default"/>
      </w:rPr>
    </w:lvl>
    <w:lvl w:ilvl="2" w:tplc="EDA463EC">
      <w:start w:val="1"/>
      <w:numFmt w:val="bullet"/>
      <w:lvlText w:val=""/>
      <w:lvlJc w:val="left"/>
      <w:pPr>
        <w:ind w:left="2160" w:hanging="360"/>
      </w:pPr>
      <w:rPr>
        <w:rFonts w:ascii="Wingdings" w:hAnsi="Wingdings" w:hint="default"/>
      </w:rPr>
    </w:lvl>
    <w:lvl w:ilvl="3" w:tplc="C0F4CA48">
      <w:start w:val="1"/>
      <w:numFmt w:val="bullet"/>
      <w:lvlText w:val=""/>
      <w:lvlJc w:val="left"/>
      <w:pPr>
        <w:ind w:left="2880" w:hanging="360"/>
      </w:pPr>
      <w:rPr>
        <w:rFonts w:ascii="Symbol" w:hAnsi="Symbol" w:hint="default"/>
      </w:rPr>
    </w:lvl>
    <w:lvl w:ilvl="4" w:tplc="DED423FE">
      <w:start w:val="1"/>
      <w:numFmt w:val="bullet"/>
      <w:lvlText w:val="o"/>
      <w:lvlJc w:val="left"/>
      <w:pPr>
        <w:ind w:left="3600" w:hanging="360"/>
      </w:pPr>
      <w:rPr>
        <w:rFonts w:ascii="Courier New" w:hAnsi="Courier New" w:hint="default"/>
      </w:rPr>
    </w:lvl>
    <w:lvl w:ilvl="5" w:tplc="44365006">
      <w:start w:val="1"/>
      <w:numFmt w:val="bullet"/>
      <w:lvlText w:val=""/>
      <w:lvlJc w:val="left"/>
      <w:pPr>
        <w:ind w:left="4320" w:hanging="360"/>
      </w:pPr>
      <w:rPr>
        <w:rFonts w:ascii="Wingdings" w:hAnsi="Wingdings" w:hint="default"/>
      </w:rPr>
    </w:lvl>
    <w:lvl w:ilvl="6" w:tplc="8C4E2FE2">
      <w:start w:val="1"/>
      <w:numFmt w:val="bullet"/>
      <w:lvlText w:val=""/>
      <w:lvlJc w:val="left"/>
      <w:pPr>
        <w:ind w:left="5040" w:hanging="360"/>
      </w:pPr>
      <w:rPr>
        <w:rFonts w:ascii="Symbol" w:hAnsi="Symbol" w:hint="default"/>
      </w:rPr>
    </w:lvl>
    <w:lvl w:ilvl="7" w:tplc="5C5004CA">
      <w:start w:val="1"/>
      <w:numFmt w:val="bullet"/>
      <w:lvlText w:val="o"/>
      <w:lvlJc w:val="left"/>
      <w:pPr>
        <w:ind w:left="5760" w:hanging="360"/>
      </w:pPr>
      <w:rPr>
        <w:rFonts w:ascii="Courier New" w:hAnsi="Courier New" w:hint="default"/>
      </w:rPr>
    </w:lvl>
    <w:lvl w:ilvl="8" w:tplc="16A8698A">
      <w:start w:val="1"/>
      <w:numFmt w:val="bullet"/>
      <w:lvlText w:val=""/>
      <w:lvlJc w:val="left"/>
      <w:pPr>
        <w:ind w:left="6480" w:hanging="360"/>
      </w:pPr>
      <w:rPr>
        <w:rFonts w:ascii="Wingdings" w:hAnsi="Wingdings" w:hint="default"/>
      </w:rPr>
    </w:lvl>
  </w:abstractNum>
  <w:abstractNum w:abstractNumId="107" w15:restartNumberingAfterBreak="0">
    <w:nsid w:val="4B57053B"/>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08" w15:restartNumberingAfterBreak="0">
    <w:nsid w:val="4B7C2BA5"/>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09" w15:restartNumberingAfterBreak="0">
    <w:nsid w:val="4C67A71A"/>
    <w:multiLevelType w:val="hybridMultilevel"/>
    <w:tmpl w:val="FFFFFFFF"/>
    <w:lvl w:ilvl="0" w:tplc="4406FA48">
      <w:start w:val="1"/>
      <w:numFmt w:val="bullet"/>
      <w:lvlText w:val="·"/>
      <w:lvlJc w:val="left"/>
      <w:pPr>
        <w:ind w:left="1080" w:hanging="360"/>
      </w:pPr>
      <w:rPr>
        <w:rFonts w:ascii="Symbol" w:hAnsi="Symbol" w:hint="default"/>
      </w:rPr>
    </w:lvl>
    <w:lvl w:ilvl="1" w:tplc="53ECFD96">
      <w:start w:val="1"/>
      <w:numFmt w:val="bullet"/>
      <w:lvlText w:val="o"/>
      <w:lvlJc w:val="left"/>
      <w:pPr>
        <w:ind w:left="1800" w:hanging="360"/>
      </w:pPr>
      <w:rPr>
        <w:rFonts w:ascii="Courier New" w:hAnsi="Courier New" w:hint="default"/>
      </w:rPr>
    </w:lvl>
    <w:lvl w:ilvl="2" w:tplc="E7A09DE8">
      <w:start w:val="1"/>
      <w:numFmt w:val="bullet"/>
      <w:lvlText w:val=""/>
      <w:lvlJc w:val="left"/>
      <w:pPr>
        <w:ind w:left="2520" w:hanging="360"/>
      </w:pPr>
      <w:rPr>
        <w:rFonts w:ascii="Wingdings" w:hAnsi="Wingdings" w:hint="default"/>
      </w:rPr>
    </w:lvl>
    <w:lvl w:ilvl="3" w:tplc="4148E9BC">
      <w:start w:val="1"/>
      <w:numFmt w:val="bullet"/>
      <w:lvlText w:val=""/>
      <w:lvlJc w:val="left"/>
      <w:pPr>
        <w:ind w:left="3240" w:hanging="360"/>
      </w:pPr>
      <w:rPr>
        <w:rFonts w:ascii="Symbol" w:hAnsi="Symbol" w:hint="default"/>
      </w:rPr>
    </w:lvl>
    <w:lvl w:ilvl="4" w:tplc="93E67914">
      <w:start w:val="1"/>
      <w:numFmt w:val="bullet"/>
      <w:lvlText w:val="o"/>
      <w:lvlJc w:val="left"/>
      <w:pPr>
        <w:ind w:left="3960" w:hanging="360"/>
      </w:pPr>
      <w:rPr>
        <w:rFonts w:ascii="Courier New" w:hAnsi="Courier New" w:hint="default"/>
      </w:rPr>
    </w:lvl>
    <w:lvl w:ilvl="5" w:tplc="6812D95E">
      <w:start w:val="1"/>
      <w:numFmt w:val="bullet"/>
      <w:lvlText w:val=""/>
      <w:lvlJc w:val="left"/>
      <w:pPr>
        <w:ind w:left="4680" w:hanging="360"/>
      </w:pPr>
      <w:rPr>
        <w:rFonts w:ascii="Wingdings" w:hAnsi="Wingdings" w:hint="default"/>
      </w:rPr>
    </w:lvl>
    <w:lvl w:ilvl="6" w:tplc="A0A440A2">
      <w:start w:val="1"/>
      <w:numFmt w:val="bullet"/>
      <w:lvlText w:val=""/>
      <w:lvlJc w:val="left"/>
      <w:pPr>
        <w:ind w:left="5400" w:hanging="360"/>
      </w:pPr>
      <w:rPr>
        <w:rFonts w:ascii="Symbol" w:hAnsi="Symbol" w:hint="default"/>
      </w:rPr>
    </w:lvl>
    <w:lvl w:ilvl="7" w:tplc="1938E5DC">
      <w:start w:val="1"/>
      <w:numFmt w:val="bullet"/>
      <w:lvlText w:val="o"/>
      <w:lvlJc w:val="left"/>
      <w:pPr>
        <w:ind w:left="6120" w:hanging="360"/>
      </w:pPr>
      <w:rPr>
        <w:rFonts w:ascii="Courier New" w:hAnsi="Courier New" w:hint="default"/>
      </w:rPr>
    </w:lvl>
    <w:lvl w:ilvl="8" w:tplc="D2C8FB46">
      <w:start w:val="1"/>
      <w:numFmt w:val="bullet"/>
      <w:lvlText w:val=""/>
      <w:lvlJc w:val="left"/>
      <w:pPr>
        <w:ind w:left="6840" w:hanging="360"/>
      </w:pPr>
      <w:rPr>
        <w:rFonts w:ascii="Wingdings" w:hAnsi="Wingdings" w:hint="default"/>
      </w:rPr>
    </w:lvl>
  </w:abstractNum>
  <w:abstractNum w:abstractNumId="110" w15:restartNumberingAfterBreak="0">
    <w:nsid w:val="4CC30F92"/>
    <w:multiLevelType w:val="multilevel"/>
    <w:tmpl w:val="EB3AB7C2"/>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709" w:hanging="709"/>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1" w15:restartNumberingAfterBreak="0">
    <w:nsid w:val="4D737D5F"/>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12" w15:restartNumberingAfterBreak="0">
    <w:nsid w:val="4E281A36"/>
    <w:multiLevelType w:val="multilevel"/>
    <w:tmpl w:val="7FBE2EDC"/>
    <w:lvl w:ilvl="0">
      <w:start w:val="1"/>
      <w:numFmt w:val="decimal"/>
      <w:lvlText w:val="A2.%1"/>
      <w:lvlJc w:val="left"/>
      <w:pPr>
        <w:ind w:left="680" w:hanging="680"/>
      </w:pPr>
      <w:rPr>
        <w:rFonts w:hint="default"/>
      </w:rPr>
    </w:lvl>
    <w:lvl w:ilvl="1">
      <w:start w:val="1"/>
      <w:numFmt w:val="lowerLetter"/>
      <w:lvlText w:val="%2)"/>
      <w:lvlJc w:val="left"/>
      <w:pPr>
        <w:ind w:left="1037" w:hanging="680"/>
      </w:pPr>
      <w:rPr>
        <w:rFonts w:hint="default"/>
      </w:rPr>
    </w:lvl>
    <w:lvl w:ilvl="2">
      <w:start w:val="1"/>
      <w:numFmt w:val="lowerRoman"/>
      <w:lvlText w:val="%3)"/>
      <w:lvlJc w:val="left"/>
      <w:pPr>
        <w:ind w:left="1394" w:hanging="680"/>
      </w:pPr>
      <w:rPr>
        <w:rFonts w:hint="default"/>
      </w:rPr>
    </w:lvl>
    <w:lvl w:ilvl="3">
      <w:start w:val="1"/>
      <w:numFmt w:val="decimal"/>
      <w:lvlText w:val="(%4)"/>
      <w:lvlJc w:val="left"/>
      <w:pPr>
        <w:ind w:left="1751" w:hanging="680"/>
      </w:pPr>
      <w:rPr>
        <w:rFonts w:hint="default"/>
      </w:rPr>
    </w:lvl>
    <w:lvl w:ilvl="4">
      <w:start w:val="1"/>
      <w:numFmt w:val="lowerLetter"/>
      <w:lvlText w:val="(%5)"/>
      <w:lvlJc w:val="left"/>
      <w:pPr>
        <w:ind w:left="2108" w:hanging="680"/>
      </w:pPr>
      <w:rPr>
        <w:rFonts w:hint="default"/>
      </w:rPr>
    </w:lvl>
    <w:lvl w:ilvl="5">
      <w:start w:val="1"/>
      <w:numFmt w:val="lowerRoman"/>
      <w:lvlText w:val="(%6)"/>
      <w:lvlJc w:val="left"/>
      <w:pPr>
        <w:ind w:left="2465" w:hanging="680"/>
      </w:pPr>
      <w:rPr>
        <w:rFonts w:hint="default"/>
      </w:rPr>
    </w:lvl>
    <w:lvl w:ilvl="6">
      <w:start w:val="1"/>
      <w:numFmt w:val="decimal"/>
      <w:lvlText w:val="%7."/>
      <w:lvlJc w:val="left"/>
      <w:pPr>
        <w:ind w:left="2822" w:hanging="680"/>
      </w:pPr>
      <w:rPr>
        <w:rFonts w:hint="default"/>
      </w:rPr>
    </w:lvl>
    <w:lvl w:ilvl="7">
      <w:start w:val="1"/>
      <w:numFmt w:val="lowerLetter"/>
      <w:lvlText w:val="%8."/>
      <w:lvlJc w:val="left"/>
      <w:pPr>
        <w:ind w:left="3179" w:hanging="680"/>
      </w:pPr>
      <w:rPr>
        <w:rFonts w:hint="default"/>
      </w:rPr>
    </w:lvl>
    <w:lvl w:ilvl="8">
      <w:start w:val="1"/>
      <w:numFmt w:val="lowerRoman"/>
      <w:lvlText w:val="%9."/>
      <w:lvlJc w:val="left"/>
      <w:pPr>
        <w:ind w:left="3536" w:hanging="680"/>
      </w:pPr>
      <w:rPr>
        <w:rFonts w:hint="default"/>
      </w:rPr>
    </w:lvl>
  </w:abstractNum>
  <w:abstractNum w:abstractNumId="113" w15:restartNumberingAfterBreak="0">
    <w:nsid w:val="4F2D2E96"/>
    <w:multiLevelType w:val="multilevel"/>
    <w:tmpl w:val="CDEC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FF0023D"/>
    <w:multiLevelType w:val="multilevel"/>
    <w:tmpl w:val="EE0A89E0"/>
    <w:lvl w:ilvl="0">
      <w:start w:val="1"/>
      <w:numFmt w:val="decimal"/>
      <w:lvlText w:val="Table %1."/>
      <w:lvlJc w:val="left"/>
      <w:pPr>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513226EA"/>
    <w:multiLevelType w:val="multilevel"/>
    <w:tmpl w:val="31F2845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3249693"/>
    <w:multiLevelType w:val="hybridMultilevel"/>
    <w:tmpl w:val="B4641512"/>
    <w:lvl w:ilvl="0" w:tplc="C10ED44C">
      <w:start w:val="1"/>
      <w:numFmt w:val="bullet"/>
      <w:lvlText w:val="·"/>
      <w:lvlJc w:val="left"/>
      <w:pPr>
        <w:ind w:left="1080" w:hanging="360"/>
      </w:pPr>
      <w:rPr>
        <w:rFonts w:ascii="Symbol" w:hAnsi="Symbol" w:hint="default"/>
      </w:rPr>
    </w:lvl>
    <w:lvl w:ilvl="1" w:tplc="005E91AA">
      <w:start w:val="1"/>
      <w:numFmt w:val="bullet"/>
      <w:lvlText w:val="o"/>
      <w:lvlJc w:val="left"/>
      <w:pPr>
        <w:ind w:left="1800" w:hanging="360"/>
      </w:pPr>
      <w:rPr>
        <w:rFonts w:ascii="Courier New" w:hAnsi="Courier New" w:hint="default"/>
      </w:rPr>
    </w:lvl>
    <w:lvl w:ilvl="2" w:tplc="CABE87D8">
      <w:start w:val="1"/>
      <w:numFmt w:val="bullet"/>
      <w:lvlText w:val=""/>
      <w:lvlJc w:val="left"/>
      <w:pPr>
        <w:ind w:left="2520" w:hanging="360"/>
      </w:pPr>
      <w:rPr>
        <w:rFonts w:ascii="Wingdings" w:hAnsi="Wingdings" w:hint="default"/>
      </w:rPr>
    </w:lvl>
    <w:lvl w:ilvl="3" w:tplc="E2A20A5C">
      <w:start w:val="1"/>
      <w:numFmt w:val="bullet"/>
      <w:lvlText w:val=""/>
      <w:lvlJc w:val="left"/>
      <w:pPr>
        <w:ind w:left="3240" w:hanging="360"/>
      </w:pPr>
      <w:rPr>
        <w:rFonts w:ascii="Symbol" w:hAnsi="Symbol" w:hint="default"/>
      </w:rPr>
    </w:lvl>
    <w:lvl w:ilvl="4" w:tplc="E0A6CFC6">
      <w:start w:val="1"/>
      <w:numFmt w:val="bullet"/>
      <w:lvlText w:val="o"/>
      <w:lvlJc w:val="left"/>
      <w:pPr>
        <w:ind w:left="3960" w:hanging="360"/>
      </w:pPr>
      <w:rPr>
        <w:rFonts w:ascii="Courier New" w:hAnsi="Courier New" w:hint="default"/>
      </w:rPr>
    </w:lvl>
    <w:lvl w:ilvl="5" w:tplc="665EBA02">
      <w:start w:val="1"/>
      <w:numFmt w:val="bullet"/>
      <w:lvlText w:val=""/>
      <w:lvlJc w:val="left"/>
      <w:pPr>
        <w:ind w:left="4680" w:hanging="360"/>
      </w:pPr>
      <w:rPr>
        <w:rFonts w:ascii="Wingdings" w:hAnsi="Wingdings" w:hint="default"/>
      </w:rPr>
    </w:lvl>
    <w:lvl w:ilvl="6" w:tplc="6ADCEBB2">
      <w:start w:val="1"/>
      <w:numFmt w:val="bullet"/>
      <w:lvlText w:val=""/>
      <w:lvlJc w:val="left"/>
      <w:pPr>
        <w:ind w:left="5400" w:hanging="360"/>
      </w:pPr>
      <w:rPr>
        <w:rFonts w:ascii="Symbol" w:hAnsi="Symbol" w:hint="default"/>
      </w:rPr>
    </w:lvl>
    <w:lvl w:ilvl="7" w:tplc="AA180306">
      <w:start w:val="1"/>
      <w:numFmt w:val="bullet"/>
      <w:lvlText w:val="o"/>
      <w:lvlJc w:val="left"/>
      <w:pPr>
        <w:ind w:left="6120" w:hanging="360"/>
      </w:pPr>
      <w:rPr>
        <w:rFonts w:ascii="Courier New" w:hAnsi="Courier New" w:hint="default"/>
      </w:rPr>
    </w:lvl>
    <w:lvl w:ilvl="8" w:tplc="61823900">
      <w:start w:val="1"/>
      <w:numFmt w:val="bullet"/>
      <w:lvlText w:val=""/>
      <w:lvlJc w:val="left"/>
      <w:pPr>
        <w:ind w:left="6840" w:hanging="360"/>
      </w:pPr>
      <w:rPr>
        <w:rFonts w:ascii="Wingdings" w:hAnsi="Wingdings" w:hint="default"/>
      </w:rPr>
    </w:lvl>
  </w:abstractNum>
  <w:abstractNum w:abstractNumId="117" w15:restartNumberingAfterBreak="0">
    <w:nsid w:val="5358225B"/>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18" w15:restartNumberingAfterBreak="0">
    <w:nsid w:val="53FA53F3"/>
    <w:multiLevelType w:val="hybridMultilevel"/>
    <w:tmpl w:val="F1A00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68E5BCC"/>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20" w15:restartNumberingAfterBreak="0">
    <w:nsid w:val="57D24A58"/>
    <w:multiLevelType w:val="multilevel"/>
    <w:tmpl w:val="C9CACE96"/>
    <w:lvl w:ilvl="0">
      <w:start w:val="1"/>
      <w:numFmt w:val="decimal"/>
      <w:lvlText w:val="%1."/>
      <w:lvlJc w:val="left"/>
      <w:pPr>
        <w:tabs>
          <w:tab w:val="num" w:pos="284"/>
        </w:tabs>
        <w:ind w:left="284" w:hanging="284"/>
      </w:pPr>
      <w:rPr>
        <w:rFonts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5B8F4C1B"/>
    <w:multiLevelType w:val="multilevel"/>
    <w:tmpl w:val="FE4A1EB2"/>
    <w:lvl w:ilvl="0">
      <w:start w:val="1"/>
      <w:numFmt w:val="decimal"/>
      <w:pStyle w:val="CaptionTabl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5BD5457A"/>
    <w:multiLevelType w:val="hybridMultilevel"/>
    <w:tmpl w:val="49849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C446461"/>
    <w:multiLevelType w:val="multilevel"/>
    <w:tmpl w:val="3D56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C671DD5"/>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25" w15:restartNumberingAfterBreak="0">
    <w:nsid w:val="5D0E3DAF"/>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26" w15:restartNumberingAfterBreak="0">
    <w:nsid w:val="5FA90E64"/>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27" w15:restartNumberingAfterBreak="0">
    <w:nsid w:val="60D5176E"/>
    <w:multiLevelType w:val="multilevel"/>
    <w:tmpl w:val="2234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1357604"/>
    <w:multiLevelType w:val="hybridMultilevel"/>
    <w:tmpl w:val="785C0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2867758"/>
    <w:multiLevelType w:val="multilevel"/>
    <w:tmpl w:val="9DC4D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3835E6E"/>
    <w:multiLevelType w:val="hybridMultilevel"/>
    <w:tmpl w:val="C9EC2010"/>
    <w:lvl w:ilvl="0" w:tplc="8428742E">
      <w:start w:val="1"/>
      <w:numFmt w:val="bullet"/>
      <w:lvlText w:val=""/>
      <w:lvlJc w:val="left"/>
      <w:pPr>
        <w:ind w:left="720" w:hanging="360"/>
      </w:pPr>
      <w:rPr>
        <w:rFonts w:ascii="Symbol" w:hAnsi="Symbol"/>
      </w:rPr>
    </w:lvl>
    <w:lvl w:ilvl="1" w:tplc="65E8139C">
      <w:start w:val="1"/>
      <w:numFmt w:val="bullet"/>
      <w:lvlText w:val=""/>
      <w:lvlJc w:val="left"/>
      <w:pPr>
        <w:ind w:left="720" w:hanging="360"/>
      </w:pPr>
      <w:rPr>
        <w:rFonts w:ascii="Symbol" w:hAnsi="Symbol"/>
      </w:rPr>
    </w:lvl>
    <w:lvl w:ilvl="2" w:tplc="CB74AC88">
      <w:start w:val="1"/>
      <w:numFmt w:val="bullet"/>
      <w:lvlText w:val=""/>
      <w:lvlJc w:val="left"/>
      <w:pPr>
        <w:ind w:left="720" w:hanging="360"/>
      </w:pPr>
      <w:rPr>
        <w:rFonts w:ascii="Symbol" w:hAnsi="Symbol"/>
      </w:rPr>
    </w:lvl>
    <w:lvl w:ilvl="3" w:tplc="8668BA1C">
      <w:start w:val="1"/>
      <w:numFmt w:val="bullet"/>
      <w:lvlText w:val=""/>
      <w:lvlJc w:val="left"/>
      <w:pPr>
        <w:ind w:left="720" w:hanging="360"/>
      </w:pPr>
      <w:rPr>
        <w:rFonts w:ascii="Symbol" w:hAnsi="Symbol"/>
      </w:rPr>
    </w:lvl>
    <w:lvl w:ilvl="4" w:tplc="4D1EDB64">
      <w:start w:val="1"/>
      <w:numFmt w:val="bullet"/>
      <w:lvlText w:val=""/>
      <w:lvlJc w:val="left"/>
      <w:pPr>
        <w:ind w:left="720" w:hanging="360"/>
      </w:pPr>
      <w:rPr>
        <w:rFonts w:ascii="Symbol" w:hAnsi="Symbol"/>
      </w:rPr>
    </w:lvl>
    <w:lvl w:ilvl="5" w:tplc="0F1881B8">
      <w:start w:val="1"/>
      <w:numFmt w:val="bullet"/>
      <w:lvlText w:val=""/>
      <w:lvlJc w:val="left"/>
      <w:pPr>
        <w:ind w:left="720" w:hanging="360"/>
      </w:pPr>
      <w:rPr>
        <w:rFonts w:ascii="Symbol" w:hAnsi="Symbol"/>
      </w:rPr>
    </w:lvl>
    <w:lvl w:ilvl="6" w:tplc="DA3A6780">
      <w:start w:val="1"/>
      <w:numFmt w:val="bullet"/>
      <w:lvlText w:val=""/>
      <w:lvlJc w:val="left"/>
      <w:pPr>
        <w:ind w:left="720" w:hanging="360"/>
      </w:pPr>
      <w:rPr>
        <w:rFonts w:ascii="Symbol" w:hAnsi="Symbol"/>
      </w:rPr>
    </w:lvl>
    <w:lvl w:ilvl="7" w:tplc="FEC80C18">
      <w:start w:val="1"/>
      <w:numFmt w:val="bullet"/>
      <w:lvlText w:val=""/>
      <w:lvlJc w:val="left"/>
      <w:pPr>
        <w:ind w:left="720" w:hanging="360"/>
      </w:pPr>
      <w:rPr>
        <w:rFonts w:ascii="Symbol" w:hAnsi="Symbol"/>
      </w:rPr>
    </w:lvl>
    <w:lvl w:ilvl="8" w:tplc="5E6E03EA">
      <w:start w:val="1"/>
      <w:numFmt w:val="bullet"/>
      <w:lvlText w:val=""/>
      <w:lvlJc w:val="left"/>
      <w:pPr>
        <w:ind w:left="720" w:hanging="360"/>
      </w:pPr>
      <w:rPr>
        <w:rFonts w:ascii="Symbol" w:hAnsi="Symbol"/>
      </w:rPr>
    </w:lvl>
  </w:abstractNum>
  <w:abstractNum w:abstractNumId="131" w15:restartNumberingAfterBreak="0">
    <w:nsid w:val="64B95DC8"/>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32" w15:restartNumberingAfterBreak="0">
    <w:nsid w:val="653C06D1"/>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33" w15:restartNumberingAfterBreak="0">
    <w:nsid w:val="663F51CF"/>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34" w15:restartNumberingAfterBreak="0">
    <w:nsid w:val="66516EEB"/>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35" w15:restartNumberingAfterBreak="0">
    <w:nsid w:val="67A85BD8"/>
    <w:multiLevelType w:val="multilevel"/>
    <w:tmpl w:val="8568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9646F2B"/>
    <w:multiLevelType w:val="multilevel"/>
    <w:tmpl w:val="4BE0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9C31F64"/>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38" w15:restartNumberingAfterBreak="0">
    <w:nsid w:val="69CF7F55"/>
    <w:multiLevelType w:val="hybridMultilevel"/>
    <w:tmpl w:val="8092E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ADA0592"/>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40" w15:restartNumberingAfterBreak="0">
    <w:nsid w:val="6CD16934"/>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41" w15:restartNumberingAfterBreak="0">
    <w:nsid w:val="6D1A5E89"/>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42" w15:restartNumberingAfterBreak="0">
    <w:nsid w:val="6D7D1491"/>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43" w15:restartNumberingAfterBreak="0">
    <w:nsid w:val="6E9B76EE"/>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44" w15:restartNumberingAfterBreak="0">
    <w:nsid w:val="6EC36EC5"/>
    <w:multiLevelType w:val="hybridMultilevel"/>
    <w:tmpl w:val="31F2845C"/>
    <w:lvl w:ilvl="0" w:tplc="39EA36BA">
      <w:start w:val="1"/>
      <w:numFmt w:val="bullet"/>
      <w:pStyle w:val="Statemen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F3A4A40"/>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46" w15:restartNumberingAfterBreak="0">
    <w:nsid w:val="6F4755AC"/>
    <w:multiLevelType w:val="hybridMultilevel"/>
    <w:tmpl w:val="F8A6B136"/>
    <w:lvl w:ilvl="0" w:tplc="FE1AE120">
      <w:start w:val="1"/>
      <w:numFmt w:val="bullet"/>
      <w:lvlText w:val=""/>
      <w:lvlJc w:val="left"/>
      <w:pPr>
        <w:ind w:left="720" w:hanging="360"/>
      </w:pPr>
      <w:rPr>
        <w:rFonts w:ascii="Symbol" w:hAnsi="Symbol"/>
      </w:rPr>
    </w:lvl>
    <w:lvl w:ilvl="1" w:tplc="4D24E348">
      <w:start w:val="1"/>
      <w:numFmt w:val="bullet"/>
      <w:lvlText w:val=""/>
      <w:lvlJc w:val="left"/>
      <w:pPr>
        <w:ind w:left="720" w:hanging="360"/>
      </w:pPr>
      <w:rPr>
        <w:rFonts w:ascii="Symbol" w:hAnsi="Symbol"/>
      </w:rPr>
    </w:lvl>
    <w:lvl w:ilvl="2" w:tplc="F6FCCD8C">
      <w:start w:val="1"/>
      <w:numFmt w:val="bullet"/>
      <w:lvlText w:val=""/>
      <w:lvlJc w:val="left"/>
      <w:pPr>
        <w:ind w:left="720" w:hanging="360"/>
      </w:pPr>
      <w:rPr>
        <w:rFonts w:ascii="Symbol" w:hAnsi="Symbol"/>
      </w:rPr>
    </w:lvl>
    <w:lvl w:ilvl="3" w:tplc="33301742">
      <w:start w:val="1"/>
      <w:numFmt w:val="bullet"/>
      <w:lvlText w:val=""/>
      <w:lvlJc w:val="left"/>
      <w:pPr>
        <w:ind w:left="720" w:hanging="360"/>
      </w:pPr>
      <w:rPr>
        <w:rFonts w:ascii="Symbol" w:hAnsi="Symbol"/>
      </w:rPr>
    </w:lvl>
    <w:lvl w:ilvl="4" w:tplc="C8A022B4">
      <w:start w:val="1"/>
      <w:numFmt w:val="bullet"/>
      <w:lvlText w:val=""/>
      <w:lvlJc w:val="left"/>
      <w:pPr>
        <w:ind w:left="720" w:hanging="360"/>
      </w:pPr>
      <w:rPr>
        <w:rFonts w:ascii="Symbol" w:hAnsi="Symbol"/>
      </w:rPr>
    </w:lvl>
    <w:lvl w:ilvl="5" w:tplc="A7AE3900">
      <w:start w:val="1"/>
      <w:numFmt w:val="bullet"/>
      <w:lvlText w:val=""/>
      <w:lvlJc w:val="left"/>
      <w:pPr>
        <w:ind w:left="720" w:hanging="360"/>
      </w:pPr>
      <w:rPr>
        <w:rFonts w:ascii="Symbol" w:hAnsi="Symbol"/>
      </w:rPr>
    </w:lvl>
    <w:lvl w:ilvl="6" w:tplc="2A241FD6">
      <w:start w:val="1"/>
      <w:numFmt w:val="bullet"/>
      <w:lvlText w:val=""/>
      <w:lvlJc w:val="left"/>
      <w:pPr>
        <w:ind w:left="720" w:hanging="360"/>
      </w:pPr>
      <w:rPr>
        <w:rFonts w:ascii="Symbol" w:hAnsi="Symbol"/>
      </w:rPr>
    </w:lvl>
    <w:lvl w:ilvl="7" w:tplc="C8C25C34">
      <w:start w:val="1"/>
      <w:numFmt w:val="bullet"/>
      <w:lvlText w:val=""/>
      <w:lvlJc w:val="left"/>
      <w:pPr>
        <w:ind w:left="720" w:hanging="360"/>
      </w:pPr>
      <w:rPr>
        <w:rFonts w:ascii="Symbol" w:hAnsi="Symbol"/>
      </w:rPr>
    </w:lvl>
    <w:lvl w:ilvl="8" w:tplc="C76C1B20">
      <w:start w:val="1"/>
      <w:numFmt w:val="bullet"/>
      <w:lvlText w:val=""/>
      <w:lvlJc w:val="left"/>
      <w:pPr>
        <w:ind w:left="720" w:hanging="360"/>
      </w:pPr>
      <w:rPr>
        <w:rFonts w:ascii="Symbol" w:hAnsi="Symbol"/>
      </w:rPr>
    </w:lvl>
  </w:abstractNum>
  <w:abstractNum w:abstractNumId="147" w15:restartNumberingAfterBreak="0">
    <w:nsid w:val="70E95C2F"/>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48" w15:restartNumberingAfterBreak="0">
    <w:nsid w:val="70FE1A07"/>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49" w15:restartNumberingAfterBreak="0">
    <w:nsid w:val="71691A81"/>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50" w15:restartNumberingAfterBreak="0">
    <w:nsid w:val="71A753A2"/>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51" w15:restartNumberingAfterBreak="0">
    <w:nsid w:val="72F743D9"/>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52" w15:restartNumberingAfterBreak="0">
    <w:nsid w:val="73030D34"/>
    <w:multiLevelType w:val="hybridMultilevel"/>
    <w:tmpl w:val="5B949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3D4A287"/>
    <w:multiLevelType w:val="hybridMultilevel"/>
    <w:tmpl w:val="FFFFFFFF"/>
    <w:lvl w:ilvl="0" w:tplc="43F0C822">
      <w:start w:val="1"/>
      <w:numFmt w:val="bullet"/>
      <w:lvlText w:val="·"/>
      <w:lvlJc w:val="left"/>
      <w:pPr>
        <w:ind w:left="720" w:hanging="360"/>
      </w:pPr>
      <w:rPr>
        <w:rFonts w:ascii="Symbol" w:hAnsi="Symbol" w:hint="default"/>
      </w:rPr>
    </w:lvl>
    <w:lvl w:ilvl="1" w:tplc="608425AC">
      <w:start w:val="1"/>
      <w:numFmt w:val="bullet"/>
      <w:lvlText w:val="o"/>
      <w:lvlJc w:val="left"/>
      <w:pPr>
        <w:ind w:left="1440" w:hanging="360"/>
      </w:pPr>
      <w:rPr>
        <w:rFonts w:ascii="Courier New" w:hAnsi="Courier New" w:hint="default"/>
      </w:rPr>
    </w:lvl>
    <w:lvl w:ilvl="2" w:tplc="A838F66C">
      <w:start w:val="1"/>
      <w:numFmt w:val="bullet"/>
      <w:lvlText w:val=""/>
      <w:lvlJc w:val="left"/>
      <w:pPr>
        <w:ind w:left="2160" w:hanging="360"/>
      </w:pPr>
      <w:rPr>
        <w:rFonts w:ascii="Wingdings" w:hAnsi="Wingdings" w:hint="default"/>
      </w:rPr>
    </w:lvl>
    <w:lvl w:ilvl="3" w:tplc="49E2C830">
      <w:start w:val="1"/>
      <w:numFmt w:val="bullet"/>
      <w:lvlText w:val=""/>
      <w:lvlJc w:val="left"/>
      <w:pPr>
        <w:ind w:left="2880" w:hanging="360"/>
      </w:pPr>
      <w:rPr>
        <w:rFonts w:ascii="Symbol" w:hAnsi="Symbol" w:hint="default"/>
      </w:rPr>
    </w:lvl>
    <w:lvl w:ilvl="4" w:tplc="4FF25588">
      <w:start w:val="1"/>
      <w:numFmt w:val="bullet"/>
      <w:lvlText w:val="o"/>
      <w:lvlJc w:val="left"/>
      <w:pPr>
        <w:ind w:left="3600" w:hanging="360"/>
      </w:pPr>
      <w:rPr>
        <w:rFonts w:ascii="Courier New" w:hAnsi="Courier New" w:hint="default"/>
      </w:rPr>
    </w:lvl>
    <w:lvl w:ilvl="5" w:tplc="AFD06FF0">
      <w:start w:val="1"/>
      <w:numFmt w:val="bullet"/>
      <w:lvlText w:val=""/>
      <w:lvlJc w:val="left"/>
      <w:pPr>
        <w:ind w:left="4320" w:hanging="360"/>
      </w:pPr>
      <w:rPr>
        <w:rFonts w:ascii="Wingdings" w:hAnsi="Wingdings" w:hint="default"/>
      </w:rPr>
    </w:lvl>
    <w:lvl w:ilvl="6" w:tplc="EB36313E">
      <w:start w:val="1"/>
      <w:numFmt w:val="bullet"/>
      <w:lvlText w:val=""/>
      <w:lvlJc w:val="left"/>
      <w:pPr>
        <w:ind w:left="5040" w:hanging="360"/>
      </w:pPr>
      <w:rPr>
        <w:rFonts w:ascii="Symbol" w:hAnsi="Symbol" w:hint="default"/>
      </w:rPr>
    </w:lvl>
    <w:lvl w:ilvl="7" w:tplc="63786714">
      <w:start w:val="1"/>
      <w:numFmt w:val="bullet"/>
      <w:lvlText w:val="o"/>
      <w:lvlJc w:val="left"/>
      <w:pPr>
        <w:ind w:left="5760" w:hanging="360"/>
      </w:pPr>
      <w:rPr>
        <w:rFonts w:ascii="Courier New" w:hAnsi="Courier New" w:hint="default"/>
      </w:rPr>
    </w:lvl>
    <w:lvl w:ilvl="8" w:tplc="CC988646">
      <w:start w:val="1"/>
      <w:numFmt w:val="bullet"/>
      <w:lvlText w:val=""/>
      <w:lvlJc w:val="left"/>
      <w:pPr>
        <w:ind w:left="6480" w:hanging="360"/>
      </w:pPr>
      <w:rPr>
        <w:rFonts w:ascii="Wingdings" w:hAnsi="Wingdings" w:hint="default"/>
      </w:rPr>
    </w:lvl>
  </w:abstractNum>
  <w:abstractNum w:abstractNumId="154" w15:restartNumberingAfterBreak="0">
    <w:nsid w:val="73E914B2"/>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55" w15:restartNumberingAfterBreak="0">
    <w:nsid w:val="74857155"/>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56" w15:restartNumberingAfterBreak="0">
    <w:nsid w:val="74B04793"/>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57" w15:restartNumberingAfterBreak="0">
    <w:nsid w:val="770D0368"/>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58" w15:restartNumberingAfterBreak="0">
    <w:nsid w:val="78844196"/>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59" w15:restartNumberingAfterBreak="0">
    <w:nsid w:val="79503226"/>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60" w15:restartNumberingAfterBreak="0">
    <w:nsid w:val="795C1CEA"/>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61" w15:restartNumberingAfterBreak="0">
    <w:nsid w:val="797B253A"/>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62" w15:restartNumberingAfterBreak="0">
    <w:nsid w:val="79E8097F"/>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63" w15:restartNumberingAfterBreak="0">
    <w:nsid w:val="7AEC798C"/>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64" w15:restartNumberingAfterBreak="0">
    <w:nsid w:val="7B4719AB"/>
    <w:multiLevelType w:val="multilevel"/>
    <w:tmpl w:val="F500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D7133E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DEF02A9"/>
    <w:multiLevelType w:val="multilevel"/>
    <w:tmpl w:val="65FC0E34"/>
    <w:styleLink w:val="CaptionTableList"/>
    <w:lvl w:ilvl="0">
      <w:start w:val="1"/>
      <w:numFmt w:val="decimal"/>
      <w:lvlText w:val="Table %1"/>
      <w:lvlJc w:val="left"/>
      <w:pPr>
        <w:ind w:left="992" w:hanging="99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7FB76CC9"/>
    <w:multiLevelType w:val="multilevel"/>
    <w:tmpl w:val="9FF03A90"/>
    <w:lvl w:ilvl="0">
      <w:start w:val="1"/>
      <w:numFmt w:val="bullet"/>
      <w:lvlText w:val=""/>
      <w:lvlJc w:val="left"/>
      <w:pPr>
        <w:ind w:left="284" w:hanging="284"/>
      </w:pPr>
      <w:rPr>
        <w:rFonts w:ascii="Symbol" w:hAnsi="Symbol" w:hint="default"/>
        <w:color w:val="A3519B"/>
      </w:rPr>
    </w:lvl>
    <w:lvl w:ilvl="1">
      <w:start w:val="1"/>
      <w:numFmt w:val="bullet"/>
      <w:lvlText w:val="–"/>
      <w:lvlJc w:val="left"/>
      <w:pPr>
        <w:tabs>
          <w:tab w:val="num" w:pos="567"/>
        </w:tabs>
        <w:ind w:left="567" w:hanging="283"/>
      </w:pPr>
      <w:rPr>
        <w:rFonts w:ascii="Segoe UI Semilight" w:hAnsi="Segoe UI Semilight"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num w:numId="1" w16cid:durableId="1079063216">
    <w:abstractNumId w:val="9"/>
  </w:num>
  <w:num w:numId="2" w16cid:durableId="243031711">
    <w:abstractNumId w:val="39"/>
  </w:num>
  <w:num w:numId="3" w16cid:durableId="940841557">
    <w:abstractNumId w:val="144"/>
  </w:num>
  <w:num w:numId="4" w16cid:durableId="859709685">
    <w:abstractNumId w:val="115"/>
  </w:num>
  <w:num w:numId="5" w16cid:durableId="1357388642">
    <w:abstractNumId w:val="81"/>
  </w:num>
  <w:num w:numId="6" w16cid:durableId="745348972">
    <w:abstractNumId w:val="121"/>
  </w:num>
  <w:num w:numId="7" w16cid:durableId="36898573">
    <w:abstractNumId w:val="91"/>
  </w:num>
  <w:num w:numId="8" w16cid:durableId="4033770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9426905">
    <w:abstractNumId w:val="30"/>
  </w:num>
  <w:num w:numId="10" w16cid:durableId="440533177">
    <w:abstractNumId w:val="110"/>
  </w:num>
  <w:num w:numId="11" w16cid:durableId="1733960893">
    <w:abstractNumId w:val="87"/>
  </w:num>
  <w:num w:numId="12" w16cid:durableId="1528832606">
    <w:abstractNumId w:val="166"/>
  </w:num>
  <w:num w:numId="13" w16cid:durableId="4515606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3774633">
    <w:abstractNumId w:val="42"/>
  </w:num>
  <w:num w:numId="15" w16cid:durableId="1447575539">
    <w:abstractNumId w:val="23"/>
  </w:num>
  <w:num w:numId="16" w16cid:durableId="1276909454">
    <w:abstractNumId w:val="98"/>
  </w:num>
  <w:num w:numId="17" w16cid:durableId="910698259">
    <w:abstractNumId w:val="88"/>
  </w:num>
  <w:num w:numId="18" w16cid:durableId="755370299">
    <w:abstractNumId w:val="126"/>
  </w:num>
  <w:num w:numId="19" w16cid:durableId="1996491265">
    <w:abstractNumId w:val="167"/>
  </w:num>
  <w:num w:numId="20" w16cid:durableId="971834458">
    <w:abstractNumId w:val="71"/>
  </w:num>
  <w:num w:numId="21" w16cid:durableId="1797599804">
    <w:abstractNumId w:val="140"/>
  </w:num>
  <w:num w:numId="22" w16cid:durableId="970018231">
    <w:abstractNumId w:val="94"/>
  </w:num>
  <w:num w:numId="23" w16cid:durableId="719475620">
    <w:abstractNumId w:val="150"/>
  </w:num>
  <w:num w:numId="24" w16cid:durableId="439298894">
    <w:abstractNumId w:val="158"/>
  </w:num>
  <w:num w:numId="25" w16cid:durableId="1218207187">
    <w:abstractNumId w:val="68"/>
  </w:num>
  <w:num w:numId="26" w16cid:durableId="106856280">
    <w:abstractNumId w:val="51"/>
  </w:num>
  <w:num w:numId="27" w16cid:durableId="729839277">
    <w:abstractNumId w:val="61"/>
  </w:num>
  <w:num w:numId="28" w16cid:durableId="1286038576">
    <w:abstractNumId w:val="100"/>
  </w:num>
  <w:num w:numId="29" w16cid:durableId="1084494805">
    <w:abstractNumId w:val="34"/>
  </w:num>
  <w:num w:numId="30" w16cid:durableId="2131852419">
    <w:abstractNumId w:val="149"/>
  </w:num>
  <w:num w:numId="31" w16cid:durableId="1512259310">
    <w:abstractNumId w:val="159"/>
  </w:num>
  <w:num w:numId="32" w16cid:durableId="671639040">
    <w:abstractNumId w:val="111"/>
  </w:num>
  <w:num w:numId="33" w16cid:durableId="1168399873">
    <w:abstractNumId w:val="29"/>
  </w:num>
  <w:num w:numId="34" w16cid:durableId="708410408">
    <w:abstractNumId w:val="139"/>
  </w:num>
  <w:num w:numId="35" w16cid:durableId="338049714">
    <w:abstractNumId w:val="12"/>
  </w:num>
  <w:num w:numId="36" w16cid:durableId="548540151">
    <w:abstractNumId w:val="119"/>
  </w:num>
  <w:num w:numId="37" w16cid:durableId="208104798">
    <w:abstractNumId w:val="148"/>
  </w:num>
  <w:num w:numId="38" w16cid:durableId="1885361668">
    <w:abstractNumId w:val="49"/>
  </w:num>
  <w:num w:numId="39" w16cid:durableId="2111200102">
    <w:abstractNumId w:val="57"/>
  </w:num>
  <w:num w:numId="40" w16cid:durableId="1546986364">
    <w:abstractNumId w:val="33"/>
  </w:num>
  <w:num w:numId="41" w16cid:durableId="1079670748">
    <w:abstractNumId w:val="28"/>
  </w:num>
  <w:num w:numId="42" w16cid:durableId="1742097517">
    <w:abstractNumId w:val="84"/>
  </w:num>
  <w:num w:numId="43" w16cid:durableId="1230074202">
    <w:abstractNumId w:val="131"/>
  </w:num>
  <w:num w:numId="44" w16cid:durableId="979773123">
    <w:abstractNumId w:val="107"/>
  </w:num>
  <w:num w:numId="45" w16cid:durableId="917521063">
    <w:abstractNumId w:val="93"/>
  </w:num>
  <w:num w:numId="46" w16cid:durableId="1158568583">
    <w:abstractNumId w:val="99"/>
  </w:num>
  <w:num w:numId="47" w16cid:durableId="1411656575">
    <w:abstractNumId w:val="117"/>
  </w:num>
  <w:num w:numId="48" w16cid:durableId="1107506913">
    <w:abstractNumId w:val="55"/>
  </w:num>
  <w:num w:numId="49" w16cid:durableId="1095634940">
    <w:abstractNumId w:val="125"/>
  </w:num>
  <w:num w:numId="50" w16cid:durableId="971445626">
    <w:abstractNumId w:val="69"/>
  </w:num>
  <w:num w:numId="51" w16cid:durableId="1036933917">
    <w:abstractNumId w:val="64"/>
  </w:num>
  <w:num w:numId="52" w16cid:durableId="983660268">
    <w:abstractNumId w:val="45"/>
  </w:num>
  <w:num w:numId="53" w16cid:durableId="1089353329">
    <w:abstractNumId w:val="108"/>
  </w:num>
  <w:num w:numId="54" w16cid:durableId="1673679577">
    <w:abstractNumId w:val="48"/>
  </w:num>
  <w:num w:numId="55" w16cid:durableId="517162149">
    <w:abstractNumId w:val="58"/>
  </w:num>
  <w:num w:numId="56" w16cid:durableId="1722169643">
    <w:abstractNumId w:val="157"/>
  </w:num>
  <w:num w:numId="57" w16cid:durableId="1448157069">
    <w:abstractNumId w:val="52"/>
  </w:num>
  <w:num w:numId="58" w16cid:durableId="906955241">
    <w:abstractNumId w:val="151"/>
  </w:num>
  <w:num w:numId="59" w16cid:durableId="1328677128">
    <w:abstractNumId w:val="70"/>
  </w:num>
  <w:num w:numId="60" w16cid:durableId="2017607300">
    <w:abstractNumId w:val="43"/>
  </w:num>
  <w:num w:numId="61" w16cid:durableId="142699223">
    <w:abstractNumId w:val="22"/>
  </w:num>
  <w:num w:numId="62" w16cid:durableId="1415080948">
    <w:abstractNumId w:val="102"/>
  </w:num>
  <w:num w:numId="63" w16cid:durableId="1685984329">
    <w:abstractNumId w:val="145"/>
  </w:num>
  <w:num w:numId="64" w16cid:durableId="494885286">
    <w:abstractNumId w:val="18"/>
  </w:num>
  <w:num w:numId="65" w16cid:durableId="920725247">
    <w:abstractNumId w:val="75"/>
  </w:num>
  <w:num w:numId="66" w16cid:durableId="1176846673">
    <w:abstractNumId w:val="24"/>
  </w:num>
  <w:num w:numId="67" w16cid:durableId="713776614">
    <w:abstractNumId w:val="16"/>
  </w:num>
  <w:num w:numId="68" w16cid:durableId="1337223958">
    <w:abstractNumId w:val="133"/>
  </w:num>
  <w:num w:numId="69" w16cid:durableId="2091151974">
    <w:abstractNumId w:val="154"/>
  </w:num>
  <w:num w:numId="70" w16cid:durableId="740716410">
    <w:abstractNumId w:val="142"/>
  </w:num>
  <w:num w:numId="71" w16cid:durableId="1222516633">
    <w:abstractNumId w:val="134"/>
  </w:num>
  <w:num w:numId="72" w16cid:durableId="1174955799">
    <w:abstractNumId w:val="65"/>
  </w:num>
  <w:num w:numId="73" w16cid:durableId="446244098">
    <w:abstractNumId w:val="25"/>
  </w:num>
  <w:num w:numId="74" w16cid:durableId="1166894207">
    <w:abstractNumId w:val="60"/>
  </w:num>
  <w:num w:numId="75" w16cid:durableId="450708847">
    <w:abstractNumId w:val="155"/>
  </w:num>
  <w:num w:numId="76" w16cid:durableId="404648244">
    <w:abstractNumId w:val="53"/>
  </w:num>
  <w:num w:numId="77" w16cid:durableId="1505969205">
    <w:abstractNumId w:val="162"/>
  </w:num>
  <w:num w:numId="78" w16cid:durableId="465320284">
    <w:abstractNumId w:val="101"/>
  </w:num>
  <w:num w:numId="79" w16cid:durableId="859775622">
    <w:abstractNumId w:val="62"/>
  </w:num>
  <w:num w:numId="80" w16cid:durableId="754015781">
    <w:abstractNumId w:val="161"/>
  </w:num>
  <w:num w:numId="81" w16cid:durableId="1974604340">
    <w:abstractNumId w:val="163"/>
  </w:num>
  <w:num w:numId="82" w16cid:durableId="1318535676">
    <w:abstractNumId w:val="38"/>
  </w:num>
  <w:num w:numId="83" w16cid:durableId="934554320">
    <w:abstractNumId w:val="56"/>
  </w:num>
  <w:num w:numId="84" w16cid:durableId="1583484718">
    <w:abstractNumId w:val="41"/>
  </w:num>
  <w:num w:numId="85" w16cid:durableId="1853451403">
    <w:abstractNumId w:val="137"/>
  </w:num>
  <w:num w:numId="86" w16cid:durableId="654143082">
    <w:abstractNumId w:val="73"/>
  </w:num>
  <w:num w:numId="87" w16cid:durableId="945231115">
    <w:abstractNumId w:val="13"/>
  </w:num>
  <w:num w:numId="88" w16cid:durableId="571160896">
    <w:abstractNumId w:val="47"/>
  </w:num>
  <w:num w:numId="89" w16cid:durableId="883254372">
    <w:abstractNumId w:val="59"/>
  </w:num>
  <w:num w:numId="90" w16cid:durableId="1127359064">
    <w:abstractNumId w:val="83"/>
  </w:num>
  <w:num w:numId="91" w16cid:durableId="1899124223">
    <w:abstractNumId w:val="132"/>
  </w:num>
  <w:num w:numId="92" w16cid:durableId="254559374">
    <w:abstractNumId w:val="86"/>
  </w:num>
  <w:num w:numId="93" w16cid:durableId="1473520719">
    <w:abstractNumId w:val="76"/>
  </w:num>
  <w:num w:numId="94" w16cid:durableId="324162597">
    <w:abstractNumId w:val="124"/>
  </w:num>
  <w:num w:numId="95" w16cid:durableId="133642058">
    <w:abstractNumId w:val="105"/>
  </w:num>
  <w:num w:numId="96" w16cid:durableId="1328753168">
    <w:abstractNumId w:val="141"/>
  </w:num>
  <w:num w:numId="97" w16cid:durableId="1518612575">
    <w:abstractNumId w:val="122"/>
  </w:num>
  <w:num w:numId="98" w16cid:durableId="353771959">
    <w:abstractNumId w:val="72"/>
  </w:num>
  <w:num w:numId="99" w16cid:durableId="72776395">
    <w:abstractNumId w:val="7"/>
  </w:num>
  <w:num w:numId="100" w16cid:durableId="932595039">
    <w:abstractNumId w:val="6"/>
  </w:num>
  <w:num w:numId="101" w16cid:durableId="269167918">
    <w:abstractNumId w:val="5"/>
  </w:num>
  <w:num w:numId="102" w16cid:durableId="2011447554">
    <w:abstractNumId w:val="4"/>
  </w:num>
  <w:num w:numId="103" w16cid:durableId="51391826">
    <w:abstractNumId w:val="8"/>
  </w:num>
  <w:num w:numId="104" w16cid:durableId="1922788661">
    <w:abstractNumId w:val="3"/>
  </w:num>
  <w:num w:numId="105" w16cid:durableId="348063151">
    <w:abstractNumId w:val="2"/>
  </w:num>
  <w:num w:numId="106" w16cid:durableId="1123109152">
    <w:abstractNumId w:val="1"/>
  </w:num>
  <w:num w:numId="107" w16cid:durableId="1002857217">
    <w:abstractNumId w:val="0"/>
  </w:num>
  <w:num w:numId="108" w16cid:durableId="1103189251">
    <w:abstractNumId w:val="36"/>
  </w:num>
  <w:num w:numId="109" w16cid:durableId="802111905">
    <w:abstractNumId w:val="104"/>
  </w:num>
  <w:num w:numId="110" w16cid:durableId="658265700">
    <w:abstractNumId w:val="120"/>
  </w:num>
  <w:num w:numId="111" w16cid:durableId="1365015074">
    <w:abstractNumId w:val="19"/>
  </w:num>
  <w:num w:numId="112" w16cid:durableId="1437746821">
    <w:abstractNumId w:val="95"/>
  </w:num>
  <w:num w:numId="113" w16cid:durableId="139158226">
    <w:abstractNumId w:val="90"/>
  </w:num>
  <w:num w:numId="114" w16cid:durableId="703673822">
    <w:abstractNumId w:val="77"/>
  </w:num>
  <w:num w:numId="115" w16cid:durableId="2062633772">
    <w:abstractNumId w:val="165"/>
  </w:num>
  <w:num w:numId="116" w16cid:durableId="58483973">
    <w:abstractNumId w:val="37"/>
  </w:num>
  <w:num w:numId="117" w16cid:durableId="2007976251">
    <w:abstractNumId w:val="15"/>
  </w:num>
  <w:num w:numId="118" w16cid:durableId="1700349943">
    <w:abstractNumId w:val="10"/>
  </w:num>
  <w:num w:numId="119" w16cid:durableId="1905291784">
    <w:abstractNumId w:val="114"/>
  </w:num>
  <w:num w:numId="120" w16cid:durableId="1823690749">
    <w:abstractNumId w:val="97"/>
  </w:num>
  <w:num w:numId="121" w16cid:durableId="2140147909">
    <w:abstractNumId w:val="17"/>
  </w:num>
  <w:num w:numId="122" w16cid:durableId="1756973508">
    <w:abstractNumId w:val="74"/>
  </w:num>
  <w:num w:numId="123" w16cid:durableId="1158230086">
    <w:abstractNumId w:val="50"/>
  </w:num>
  <w:num w:numId="124" w16cid:durableId="392852222">
    <w:abstractNumId w:val="103"/>
  </w:num>
  <w:num w:numId="125" w16cid:durableId="157160224">
    <w:abstractNumId w:val="143"/>
  </w:num>
  <w:num w:numId="126" w16cid:durableId="1680622600">
    <w:abstractNumId w:val="82"/>
  </w:num>
  <w:num w:numId="127" w16cid:durableId="136067395">
    <w:abstractNumId w:val="129"/>
  </w:num>
  <w:num w:numId="128" w16cid:durableId="266667506">
    <w:abstractNumId w:val="118"/>
  </w:num>
  <w:num w:numId="129" w16cid:durableId="730273391">
    <w:abstractNumId w:val="128"/>
  </w:num>
  <w:num w:numId="130" w16cid:durableId="1949041488">
    <w:abstractNumId w:val="79"/>
  </w:num>
  <w:num w:numId="131" w16cid:durableId="1858035482">
    <w:abstractNumId w:val="80"/>
  </w:num>
  <w:num w:numId="132" w16cid:durableId="598564042">
    <w:abstractNumId w:val="35"/>
  </w:num>
  <w:num w:numId="133" w16cid:durableId="612324445">
    <w:abstractNumId w:val="66"/>
  </w:num>
  <w:num w:numId="134" w16cid:durableId="1270235579">
    <w:abstractNumId w:val="138"/>
  </w:num>
  <w:num w:numId="135" w16cid:durableId="143933647">
    <w:abstractNumId w:val="160"/>
  </w:num>
  <w:num w:numId="136" w16cid:durableId="1119690372">
    <w:abstractNumId w:val="156"/>
  </w:num>
  <w:num w:numId="137" w16cid:durableId="604192718">
    <w:abstractNumId w:val="147"/>
  </w:num>
  <w:num w:numId="138" w16cid:durableId="631791319">
    <w:abstractNumId w:val="136"/>
  </w:num>
  <w:num w:numId="139" w16cid:durableId="1722905192">
    <w:abstractNumId w:val="67"/>
  </w:num>
  <w:num w:numId="140" w16cid:durableId="1460146528">
    <w:abstractNumId w:val="11"/>
  </w:num>
  <w:num w:numId="141" w16cid:durableId="87234662">
    <w:abstractNumId w:val="89"/>
  </w:num>
  <w:num w:numId="142" w16cid:durableId="57940769">
    <w:abstractNumId w:val="152"/>
  </w:num>
  <w:num w:numId="143" w16cid:durableId="1213732454">
    <w:abstractNumId w:val="32"/>
  </w:num>
  <w:num w:numId="144" w16cid:durableId="918952414">
    <w:abstractNumId w:val="130"/>
  </w:num>
  <w:num w:numId="145" w16cid:durableId="1235697842">
    <w:abstractNumId w:val="1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88635413">
    <w:abstractNumId w:val="146"/>
  </w:num>
  <w:num w:numId="147" w16cid:durableId="2137066256">
    <w:abstractNumId w:val="44"/>
  </w:num>
  <w:num w:numId="148" w16cid:durableId="2030176809">
    <w:abstractNumId w:val="116"/>
  </w:num>
  <w:num w:numId="149" w16cid:durableId="1708217905">
    <w:abstractNumId w:val="46"/>
  </w:num>
  <w:num w:numId="150" w16cid:durableId="1091396208">
    <w:abstractNumId w:val="109"/>
  </w:num>
  <w:num w:numId="151" w16cid:durableId="1643727452">
    <w:abstractNumId w:val="153"/>
  </w:num>
  <w:num w:numId="152" w16cid:durableId="2096171455">
    <w:abstractNumId w:val="27"/>
  </w:num>
  <w:num w:numId="153" w16cid:durableId="1357269574">
    <w:abstractNumId w:val="106"/>
  </w:num>
  <w:num w:numId="154" w16cid:durableId="636881398">
    <w:abstractNumId w:val="54"/>
  </w:num>
  <w:num w:numId="155" w16cid:durableId="979766931">
    <w:abstractNumId w:val="92"/>
  </w:num>
  <w:num w:numId="156" w16cid:durableId="1541939370">
    <w:abstractNumId w:val="14"/>
  </w:num>
  <w:num w:numId="157" w16cid:durableId="719785120">
    <w:abstractNumId w:val="63"/>
  </w:num>
  <w:num w:numId="158" w16cid:durableId="1647928841">
    <w:abstractNumId w:val="21"/>
  </w:num>
  <w:num w:numId="159" w16cid:durableId="659895011">
    <w:abstractNumId w:val="78"/>
  </w:num>
  <w:num w:numId="160" w16cid:durableId="842091169">
    <w:abstractNumId w:val="112"/>
  </w:num>
  <w:num w:numId="161" w16cid:durableId="1307586851">
    <w:abstractNumId w:val="96"/>
  </w:num>
  <w:num w:numId="162" w16cid:durableId="204605982">
    <w:abstractNumId w:val="164"/>
  </w:num>
  <w:num w:numId="163" w16cid:durableId="32583641">
    <w:abstractNumId w:val="127"/>
  </w:num>
  <w:num w:numId="164" w16cid:durableId="244261927">
    <w:abstractNumId w:val="123"/>
  </w:num>
  <w:num w:numId="165" w16cid:durableId="1104617834">
    <w:abstractNumId w:val="135"/>
  </w:num>
  <w:num w:numId="166" w16cid:durableId="274096387">
    <w:abstractNumId w:val="31"/>
  </w:num>
  <w:num w:numId="167" w16cid:durableId="441997467">
    <w:abstractNumId w:val="26"/>
  </w:num>
  <w:num w:numId="168" w16cid:durableId="1914467256">
    <w:abstractNumId w:val="77"/>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349065032">
    <w:abstractNumId w:val="113"/>
  </w:num>
  <w:num w:numId="170" w16cid:durableId="508132848">
    <w:abstractNumId w:val="40"/>
  </w:num>
  <w:num w:numId="171" w16cid:durableId="1704942517">
    <w:abstractNumId w:val="85"/>
  </w:num>
  <w:num w:numId="172" w16cid:durableId="293562107">
    <w:abstractNumId w:val="20"/>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BF8"/>
    <w:rsid w:val="00000172"/>
    <w:rsid w:val="00000254"/>
    <w:rsid w:val="000002AE"/>
    <w:rsid w:val="00000649"/>
    <w:rsid w:val="0000067E"/>
    <w:rsid w:val="000007DE"/>
    <w:rsid w:val="00000818"/>
    <w:rsid w:val="00000965"/>
    <w:rsid w:val="00000B88"/>
    <w:rsid w:val="00000E68"/>
    <w:rsid w:val="00000F30"/>
    <w:rsid w:val="00000F39"/>
    <w:rsid w:val="00001193"/>
    <w:rsid w:val="00001202"/>
    <w:rsid w:val="000012D3"/>
    <w:rsid w:val="00001301"/>
    <w:rsid w:val="0000130E"/>
    <w:rsid w:val="00001358"/>
    <w:rsid w:val="00001444"/>
    <w:rsid w:val="00001663"/>
    <w:rsid w:val="00001928"/>
    <w:rsid w:val="0000196C"/>
    <w:rsid w:val="00001A09"/>
    <w:rsid w:val="00001BD5"/>
    <w:rsid w:val="00001E30"/>
    <w:rsid w:val="00001E60"/>
    <w:rsid w:val="00001E7B"/>
    <w:rsid w:val="00002017"/>
    <w:rsid w:val="0000225C"/>
    <w:rsid w:val="000022A1"/>
    <w:rsid w:val="000022D9"/>
    <w:rsid w:val="0000253D"/>
    <w:rsid w:val="000025B3"/>
    <w:rsid w:val="00002FE7"/>
    <w:rsid w:val="00003131"/>
    <w:rsid w:val="00003231"/>
    <w:rsid w:val="00003271"/>
    <w:rsid w:val="0000373C"/>
    <w:rsid w:val="00003777"/>
    <w:rsid w:val="00003AA5"/>
    <w:rsid w:val="00003B55"/>
    <w:rsid w:val="00003C92"/>
    <w:rsid w:val="00003CB4"/>
    <w:rsid w:val="00004078"/>
    <w:rsid w:val="000040A9"/>
    <w:rsid w:val="00004164"/>
    <w:rsid w:val="0000450C"/>
    <w:rsid w:val="000047EC"/>
    <w:rsid w:val="00004886"/>
    <w:rsid w:val="00004907"/>
    <w:rsid w:val="0000491D"/>
    <w:rsid w:val="00004B9A"/>
    <w:rsid w:val="00004C9E"/>
    <w:rsid w:val="00004E66"/>
    <w:rsid w:val="00005748"/>
    <w:rsid w:val="0000598C"/>
    <w:rsid w:val="00005A3B"/>
    <w:rsid w:val="00005D3B"/>
    <w:rsid w:val="0000601D"/>
    <w:rsid w:val="00006520"/>
    <w:rsid w:val="00006598"/>
    <w:rsid w:val="00006765"/>
    <w:rsid w:val="00006C86"/>
    <w:rsid w:val="00006DA0"/>
    <w:rsid w:val="00006DD7"/>
    <w:rsid w:val="00006E15"/>
    <w:rsid w:val="0000710C"/>
    <w:rsid w:val="000077DD"/>
    <w:rsid w:val="000079BC"/>
    <w:rsid w:val="00007AC9"/>
    <w:rsid w:val="00007BCE"/>
    <w:rsid w:val="00007C34"/>
    <w:rsid w:val="000100B1"/>
    <w:rsid w:val="00010523"/>
    <w:rsid w:val="00010708"/>
    <w:rsid w:val="0001071D"/>
    <w:rsid w:val="000109BA"/>
    <w:rsid w:val="00010F26"/>
    <w:rsid w:val="0001107C"/>
    <w:rsid w:val="00011372"/>
    <w:rsid w:val="00011615"/>
    <w:rsid w:val="00011688"/>
    <w:rsid w:val="00011698"/>
    <w:rsid w:val="00011785"/>
    <w:rsid w:val="00011875"/>
    <w:rsid w:val="000119DE"/>
    <w:rsid w:val="00011C11"/>
    <w:rsid w:val="00012022"/>
    <w:rsid w:val="000120F0"/>
    <w:rsid w:val="000121F5"/>
    <w:rsid w:val="00012235"/>
    <w:rsid w:val="000125D0"/>
    <w:rsid w:val="000128ED"/>
    <w:rsid w:val="000129D0"/>
    <w:rsid w:val="00012A51"/>
    <w:rsid w:val="00012CAA"/>
    <w:rsid w:val="00012D85"/>
    <w:rsid w:val="00012DCA"/>
    <w:rsid w:val="00012E8C"/>
    <w:rsid w:val="00012EB1"/>
    <w:rsid w:val="0001322C"/>
    <w:rsid w:val="00013230"/>
    <w:rsid w:val="00013236"/>
    <w:rsid w:val="000132BF"/>
    <w:rsid w:val="0001337D"/>
    <w:rsid w:val="000134FF"/>
    <w:rsid w:val="000136F7"/>
    <w:rsid w:val="0001376B"/>
    <w:rsid w:val="00013822"/>
    <w:rsid w:val="000138B9"/>
    <w:rsid w:val="00013A8F"/>
    <w:rsid w:val="00013EDB"/>
    <w:rsid w:val="00013F3A"/>
    <w:rsid w:val="00013F86"/>
    <w:rsid w:val="00014090"/>
    <w:rsid w:val="000140DB"/>
    <w:rsid w:val="000141EE"/>
    <w:rsid w:val="000144B3"/>
    <w:rsid w:val="000149E7"/>
    <w:rsid w:val="00014C96"/>
    <w:rsid w:val="00014CAF"/>
    <w:rsid w:val="00014F19"/>
    <w:rsid w:val="00014F35"/>
    <w:rsid w:val="000150B5"/>
    <w:rsid w:val="000152AA"/>
    <w:rsid w:val="000153B6"/>
    <w:rsid w:val="00015482"/>
    <w:rsid w:val="00015505"/>
    <w:rsid w:val="000155F1"/>
    <w:rsid w:val="00015603"/>
    <w:rsid w:val="00015679"/>
    <w:rsid w:val="000157A1"/>
    <w:rsid w:val="00015AA7"/>
    <w:rsid w:val="00015AE4"/>
    <w:rsid w:val="00015C47"/>
    <w:rsid w:val="00015DB9"/>
    <w:rsid w:val="00015DEB"/>
    <w:rsid w:val="00015EDC"/>
    <w:rsid w:val="000161A0"/>
    <w:rsid w:val="000165CC"/>
    <w:rsid w:val="0001668C"/>
    <w:rsid w:val="00016B59"/>
    <w:rsid w:val="00016BDE"/>
    <w:rsid w:val="00016E44"/>
    <w:rsid w:val="0001719F"/>
    <w:rsid w:val="00017DB6"/>
    <w:rsid w:val="00017DBE"/>
    <w:rsid w:val="00017E63"/>
    <w:rsid w:val="00017E92"/>
    <w:rsid w:val="00017F33"/>
    <w:rsid w:val="0002065C"/>
    <w:rsid w:val="000206C2"/>
    <w:rsid w:val="00020896"/>
    <w:rsid w:val="00020AEA"/>
    <w:rsid w:val="00020D66"/>
    <w:rsid w:val="00020DA6"/>
    <w:rsid w:val="00020DDD"/>
    <w:rsid w:val="0002101F"/>
    <w:rsid w:val="000210E6"/>
    <w:rsid w:val="0002118F"/>
    <w:rsid w:val="0002149B"/>
    <w:rsid w:val="00021A12"/>
    <w:rsid w:val="00021B45"/>
    <w:rsid w:val="00021BB0"/>
    <w:rsid w:val="00021BE5"/>
    <w:rsid w:val="00021C0F"/>
    <w:rsid w:val="00021E7E"/>
    <w:rsid w:val="00021E92"/>
    <w:rsid w:val="00021FF0"/>
    <w:rsid w:val="00022159"/>
    <w:rsid w:val="00022197"/>
    <w:rsid w:val="00022436"/>
    <w:rsid w:val="0002259E"/>
    <w:rsid w:val="0002277A"/>
    <w:rsid w:val="00022A08"/>
    <w:rsid w:val="00022BF0"/>
    <w:rsid w:val="00022F8E"/>
    <w:rsid w:val="00023017"/>
    <w:rsid w:val="00023079"/>
    <w:rsid w:val="0002322C"/>
    <w:rsid w:val="00023292"/>
    <w:rsid w:val="000237A5"/>
    <w:rsid w:val="000238F7"/>
    <w:rsid w:val="000239B1"/>
    <w:rsid w:val="000239C8"/>
    <w:rsid w:val="00023A1D"/>
    <w:rsid w:val="00023CED"/>
    <w:rsid w:val="00023FC0"/>
    <w:rsid w:val="0002406C"/>
    <w:rsid w:val="0002423C"/>
    <w:rsid w:val="000245A0"/>
    <w:rsid w:val="0002472B"/>
    <w:rsid w:val="0002474D"/>
    <w:rsid w:val="0002476C"/>
    <w:rsid w:val="000248FA"/>
    <w:rsid w:val="00024D6B"/>
    <w:rsid w:val="00024DB9"/>
    <w:rsid w:val="00024F19"/>
    <w:rsid w:val="00024FA1"/>
    <w:rsid w:val="0002515B"/>
    <w:rsid w:val="000252F8"/>
    <w:rsid w:val="000254E4"/>
    <w:rsid w:val="00025586"/>
    <w:rsid w:val="00025736"/>
    <w:rsid w:val="00025C5E"/>
    <w:rsid w:val="00025D52"/>
    <w:rsid w:val="00025E14"/>
    <w:rsid w:val="00025E46"/>
    <w:rsid w:val="0002654D"/>
    <w:rsid w:val="000265B5"/>
    <w:rsid w:val="000266DE"/>
    <w:rsid w:val="00026745"/>
    <w:rsid w:val="00026918"/>
    <w:rsid w:val="00026B41"/>
    <w:rsid w:val="00026BE0"/>
    <w:rsid w:val="00026CE2"/>
    <w:rsid w:val="00026F5C"/>
    <w:rsid w:val="00026F73"/>
    <w:rsid w:val="00027079"/>
    <w:rsid w:val="000271E0"/>
    <w:rsid w:val="000272E2"/>
    <w:rsid w:val="000272F5"/>
    <w:rsid w:val="00027426"/>
    <w:rsid w:val="00027581"/>
    <w:rsid w:val="000278F9"/>
    <w:rsid w:val="000279C6"/>
    <w:rsid w:val="00027B27"/>
    <w:rsid w:val="00027BAF"/>
    <w:rsid w:val="00027E67"/>
    <w:rsid w:val="000300ED"/>
    <w:rsid w:val="000302FD"/>
    <w:rsid w:val="00030424"/>
    <w:rsid w:val="00030456"/>
    <w:rsid w:val="0003054F"/>
    <w:rsid w:val="00030620"/>
    <w:rsid w:val="00030804"/>
    <w:rsid w:val="000309CA"/>
    <w:rsid w:val="00030ABC"/>
    <w:rsid w:val="00030BF1"/>
    <w:rsid w:val="00030C7B"/>
    <w:rsid w:val="00030CA3"/>
    <w:rsid w:val="00030D53"/>
    <w:rsid w:val="00030DC9"/>
    <w:rsid w:val="00030F69"/>
    <w:rsid w:val="0003102F"/>
    <w:rsid w:val="00031558"/>
    <w:rsid w:val="000315A4"/>
    <w:rsid w:val="00031792"/>
    <w:rsid w:val="000317FC"/>
    <w:rsid w:val="00031BEA"/>
    <w:rsid w:val="00031D5D"/>
    <w:rsid w:val="00031D61"/>
    <w:rsid w:val="00031DEF"/>
    <w:rsid w:val="00032059"/>
    <w:rsid w:val="000320B3"/>
    <w:rsid w:val="00032521"/>
    <w:rsid w:val="00032612"/>
    <w:rsid w:val="0003274D"/>
    <w:rsid w:val="000327A6"/>
    <w:rsid w:val="00032984"/>
    <w:rsid w:val="00032AA3"/>
    <w:rsid w:val="00032B18"/>
    <w:rsid w:val="00032B2F"/>
    <w:rsid w:val="00032D2F"/>
    <w:rsid w:val="00032DA6"/>
    <w:rsid w:val="00032E24"/>
    <w:rsid w:val="000332DD"/>
    <w:rsid w:val="000333BC"/>
    <w:rsid w:val="0003355C"/>
    <w:rsid w:val="0003363E"/>
    <w:rsid w:val="000336C0"/>
    <w:rsid w:val="00033738"/>
    <w:rsid w:val="000338E0"/>
    <w:rsid w:val="00033924"/>
    <w:rsid w:val="00033BE6"/>
    <w:rsid w:val="00033DD5"/>
    <w:rsid w:val="00033F34"/>
    <w:rsid w:val="0003403B"/>
    <w:rsid w:val="00034268"/>
    <w:rsid w:val="00034332"/>
    <w:rsid w:val="0003439D"/>
    <w:rsid w:val="000343E1"/>
    <w:rsid w:val="0003463A"/>
    <w:rsid w:val="000346E1"/>
    <w:rsid w:val="000348EB"/>
    <w:rsid w:val="00034A0D"/>
    <w:rsid w:val="00034A47"/>
    <w:rsid w:val="00034B58"/>
    <w:rsid w:val="00034BF7"/>
    <w:rsid w:val="00034C5C"/>
    <w:rsid w:val="00034CB7"/>
    <w:rsid w:val="00034CD8"/>
    <w:rsid w:val="00034CE2"/>
    <w:rsid w:val="00034FE9"/>
    <w:rsid w:val="00035107"/>
    <w:rsid w:val="0003516B"/>
    <w:rsid w:val="00035366"/>
    <w:rsid w:val="00035683"/>
    <w:rsid w:val="0003577E"/>
    <w:rsid w:val="000359FB"/>
    <w:rsid w:val="00035C28"/>
    <w:rsid w:val="00035D55"/>
    <w:rsid w:val="00035E7E"/>
    <w:rsid w:val="0003615F"/>
    <w:rsid w:val="00036292"/>
    <w:rsid w:val="00036370"/>
    <w:rsid w:val="00036488"/>
    <w:rsid w:val="000366F2"/>
    <w:rsid w:val="000367E7"/>
    <w:rsid w:val="00036CB9"/>
    <w:rsid w:val="00036E36"/>
    <w:rsid w:val="0003706D"/>
    <w:rsid w:val="00037296"/>
    <w:rsid w:val="000373C0"/>
    <w:rsid w:val="00037451"/>
    <w:rsid w:val="0003756A"/>
    <w:rsid w:val="000376E6"/>
    <w:rsid w:val="00037806"/>
    <w:rsid w:val="000378A5"/>
    <w:rsid w:val="000378E6"/>
    <w:rsid w:val="0003793A"/>
    <w:rsid w:val="00037B33"/>
    <w:rsid w:val="00037BDC"/>
    <w:rsid w:val="00037CD4"/>
    <w:rsid w:val="00037D00"/>
    <w:rsid w:val="00037DC7"/>
    <w:rsid w:val="00037E2E"/>
    <w:rsid w:val="00037EA0"/>
    <w:rsid w:val="00037FD3"/>
    <w:rsid w:val="000401CE"/>
    <w:rsid w:val="000401F7"/>
    <w:rsid w:val="000402D4"/>
    <w:rsid w:val="000404D1"/>
    <w:rsid w:val="00040534"/>
    <w:rsid w:val="000406F1"/>
    <w:rsid w:val="0004077F"/>
    <w:rsid w:val="00040DB8"/>
    <w:rsid w:val="000410C6"/>
    <w:rsid w:val="000413F2"/>
    <w:rsid w:val="000413FF"/>
    <w:rsid w:val="00041428"/>
    <w:rsid w:val="000414EB"/>
    <w:rsid w:val="000417D0"/>
    <w:rsid w:val="0004180E"/>
    <w:rsid w:val="000418A1"/>
    <w:rsid w:val="000418C9"/>
    <w:rsid w:val="00041D1D"/>
    <w:rsid w:val="00042094"/>
    <w:rsid w:val="00042123"/>
    <w:rsid w:val="00042137"/>
    <w:rsid w:val="00042295"/>
    <w:rsid w:val="000423DD"/>
    <w:rsid w:val="00042474"/>
    <w:rsid w:val="000425FD"/>
    <w:rsid w:val="00042A38"/>
    <w:rsid w:val="00042ACD"/>
    <w:rsid w:val="00042B0A"/>
    <w:rsid w:val="00043300"/>
    <w:rsid w:val="00043465"/>
    <w:rsid w:val="00043549"/>
    <w:rsid w:val="000435BF"/>
    <w:rsid w:val="00043980"/>
    <w:rsid w:val="000439D1"/>
    <w:rsid w:val="000439DD"/>
    <w:rsid w:val="00043BA2"/>
    <w:rsid w:val="00043C78"/>
    <w:rsid w:val="00044034"/>
    <w:rsid w:val="000444E3"/>
    <w:rsid w:val="000445F4"/>
    <w:rsid w:val="000446A5"/>
    <w:rsid w:val="000446A9"/>
    <w:rsid w:val="00044732"/>
    <w:rsid w:val="00044898"/>
    <w:rsid w:val="00044900"/>
    <w:rsid w:val="00044B46"/>
    <w:rsid w:val="00044C60"/>
    <w:rsid w:val="00044C61"/>
    <w:rsid w:val="00044EF6"/>
    <w:rsid w:val="000450F6"/>
    <w:rsid w:val="00045463"/>
    <w:rsid w:val="000454CF"/>
    <w:rsid w:val="000456CE"/>
    <w:rsid w:val="000459DC"/>
    <w:rsid w:val="00045B80"/>
    <w:rsid w:val="00045DDC"/>
    <w:rsid w:val="00045F21"/>
    <w:rsid w:val="0004612C"/>
    <w:rsid w:val="00046BAF"/>
    <w:rsid w:val="00046BE5"/>
    <w:rsid w:val="00046D2D"/>
    <w:rsid w:val="00046DF3"/>
    <w:rsid w:val="0004705F"/>
    <w:rsid w:val="000470B4"/>
    <w:rsid w:val="000474E2"/>
    <w:rsid w:val="00047538"/>
    <w:rsid w:val="0004758A"/>
    <w:rsid w:val="00047830"/>
    <w:rsid w:val="00047A97"/>
    <w:rsid w:val="00047B65"/>
    <w:rsid w:val="00047D41"/>
    <w:rsid w:val="00047E9B"/>
    <w:rsid w:val="00047FDB"/>
    <w:rsid w:val="00050403"/>
    <w:rsid w:val="000506CA"/>
    <w:rsid w:val="00050977"/>
    <w:rsid w:val="00050A32"/>
    <w:rsid w:val="00050A36"/>
    <w:rsid w:val="00050E07"/>
    <w:rsid w:val="00051445"/>
    <w:rsid w:val="000516EC"/>
    <w:rsid w:val="00051B4F"/>
    <w:rsid w:val="00051D2F"/>
    <w:rsid w:val="00051E86"/>
    <w:rsid w:val="00052357"/>
    <w:rsid w:val="0005261A"/>
    <w:rsid w:val="0005272C"/>
    <w:rsid w:val="00052756"/>
    <w:rsid w:val="0005295C"/>
    <w:rsid w:val="00052C79"/>
    <w:rsid w:val="00052D32"/>
    <w:rsid w:val="00052DD1"/>
    <w:rsid w:val="00052E43"/>
    <w:rsid w:val="000530B6"/>
    <w:rsid w:val="000531C3"/>
    <w:rsid w:val="00053295"/>
    <w:rsid w:val="00053477"/>
    <w:rsid w:val="0005364E"/>
    <w:rsid w:val="00053736"/>
    <w:rsid w:val="0005373C"/>
    <w:rsid w:val="00053A2C"/>
    <w:rsid w:val="00053A32"/>
    <w:rsid w:val="00053B02"/>
    <w:rsid w:val="00053B51"/>
    <w:rsid w:val="00053F58"/>
    <w:rsid w:val="00054071"/>
    <w:rsid w:val="000540D7"/>
    <w:rsid w:val="0005436C"/>
    <w:rsid w:val="00054440"/>
    <w:rsid w:val="000546C3"/>
    <w:rsid w:val="000549A2"/>
    <w:rsid w:val="00054B10"/>
    <w:rsid w:val="00054C01"/>
    <w:rsid w:val="00054C05"/>
    <w:rsid w:val="00054DAC"/>
    <w:rsid w:val="00054E20"/>
    <w:rsid w:val="00055012"/>
    <w:rsid w:val="000550DC"/>
    <w:rsid w:val="00055261"/>
    <w:rsid w:val="00055290"/>
    <w:rsid w:val="00055333"/>
    <w:rsid w:val="000554AF"/>
    <w:rsid w:val="000554B6"/>
    <w:rsid w:val="0005561D"/>
    <w:rsid w:val="0005570D"/>
    <w:rsid w:val="00055755"/>
    <w:rsid w:val="0005577A"/>
    <w:rsid w:val="000557B2"/>
    <w:rsid w:val="000557B8"/>
    <w:rsid w:val="000559D8"/>
    <w:rsid w:val="000559EA"/>
    <w:rsid w:val="00055A37"/>
    <w:rsid w:val="00055A7C"/>
    <w:rsid w:val="00055ADD"/>
    <w:rsid w:val="00055DB9"/>
    <w:rsid w:val="0005605F"/>
    <w:rsid w:val="0005623B"/>
    <w:rsid w:val="000563EB"/>
    <w:rsid w:val="00056712"/>
    <w:rsid w:val="00056978"/>
    <w:rsid w:val="0005698A"/>
    <w:rsid w:val="00056B47"/>
    <w:rsid w:val="00056BF9"/>
    <w:rsid w:val="00056CB8"/>
    <w:rsid w:val="00056DBD"/>
    <w:rsid w:val="00056E25"/>
    <w:rsid w:val="00056E6D"/>
    <w:rsid w:val="00057153"/>
    <w:rsid w:val="0005721C"/>
    <w:rsid w:val="0005727F"/>
    <w:rsid w:val="000573A7"/>
    <w:rsid w:val="00057687"/>
    <w:rsid w:val="00057787"/>
    <w:rsid w:val="00057A6D"/>
    <w:rsid w:val="00057BE0"/>
    <w:rsid w:val="00057CE4"/>
    <w:rsid w:val="00057E1D"/>
    <w:rsid w:val="00057F0E"/>
    <w:rsid w:val="00060172"/>
    <w:rsid w:val="000602FE"/>
    <w:rsid w:val="000609DE"/>
    <w:rsid w:val="00060A11"/>
    <w:rsid w:val="00060B2C"/>
    <w:rsid w:val="00060C00"/>
    <w:rsid w:val="00060D36"/>
    <w:rsid w:val="00060E25"/>
    <w:rsid w:val="00061035"/>
    <w:rsid w:val="0006104A"/>
    <w:rsid w:val="000613C6"/>
    <w:rsid w:val="0006162D"/>
    <w:rsid w:val="00061838"/>
    <w:rsid w:val="00061933"/>
    <w:rsid w:val="0006194C"/>
    <w:rsid w:val="00061AD0"/>
    <w:rsid w:val="00061B10"/>
    <w:rsid w:val="00061BBF"/>
    <w:rsid w:val="00061BD1"/>
    <w:rsid w:val="00061CB3"/>
    <w:rsid w:val="00061F5E"/>
    <w:rsid w:val="00061FC3"/>
    <w:rsid w:val="00062280"/>
    <w:rsid w:val="00062507"/>
    <w:rsid w:val="00062539"/>
    <w:rsid w:val="0006277D"/>
    <w:rsid w:val="000627A9"/>
    <w:rsid w:val="00062CDC"/>
    <w:rsid w:val="00062D30"/>
    <w:rsid w:val="00063134"/>
    <w:rsid w:val="000632B1"/>
    <w:rsid w:val="0006349D"/>
    <w:rsid w:val="00063765"/>
    <w:rsid w:val="00063782"/>
    <w:rsid w:val="00063783"/>
    <w:rsid w:val="0006393C"/>
    <w:rsid w:val="00063CC3"/>
    <w:rsid w:val="00063D53"/>
    <w:rsid w:val="00063E7E"/>
    <w:rsid w:val="00063EA1"/>
    <w:rsid w:val="00063F06"/>
    <w:rsid w:val="000641B5"/>
    <w:rsid w:val="0006446C"/>
    <w:rsid w:val="000645D0"/>
    <w:rsid w:val="0006467A"/>
    <w:rsid w:val="00064684"/>
    <w:rsid w:val="000646B4"/>
    <w:rsid w:val="0006471D"/>
    <w:rsid w:val="00064837"/>
    <w:rsid w:val="00064839"/>
    <w:rsid w:val="00064922"/>
    <w:rsid w:val="000649EA"/>
    <w:rsid w:val="00064AF3"/>
    <w:rsid w:val="00064C4B"/>
    <w:rsid w:val="00064DAC"/>
    <w:rsid w:val="00064DE4"/>
    <w:rsid w:val="00064E1B"/>
    <w:rsid w:val="00064E42"/>
    <w:rsid w:val="00065030"/>
    <w:rsid w:val="0006504D"/>
    <w:rsid w:val="0006512D"/>
    <w:rsid w:val="0006548E"/>
    <w:rsid w:val="000654BE"/>
    <w:rsid w:val="000656B1"/>
    <w:rsid w:val="00065744"/>
    <w:rsid w:val="0006593C"/>
    <w:rsid w:val="00065DDF"/>
    <w:rsid w:val="00065E6B"/>
    <w:rsid w:val="00066321"/>
    <w:rsid w:val="00066823"/>
    <w:rsid w:val="00066917"/>
    <w:rsid w:val="00066A7F"/>
    <w:rsid w:val="00066D16"/>
    <w:rsid w:val="00066D8C"/>
    <w:rsid w:val="00066E0F"/>
    <w:rsid w:val="00066E49"/>
    <w:rsid w:val="00066F14"/>
    <w:rsid w:val="00066F55"/>
    <w:rsid w:val="0006701F"/>
    <w:rsid w:val="000671C0"/>
    <w:rsid w:val="000675C8"/>
    <w:rsid w:val="0006769E"/>
    <w:rsid w:val="00067E5B"/>
    <w:rsid w:val="00067FE0"/>
    <w:rsid w:val="0007020D"/>
    <w:rsid w:val="00070303"/>
    <w:rsid w:val="00070438"/>
    <w:rsid w:val="000705BD"/>
    <w:rsid w:val="000705D9"/>
    <w:rsid w:val="00070671"/>
    <w:rsid w:val="000707FA"/>
    <w:rsid w:val="00070AA7"/>
    <w:rsid w:val="00070E45"/>
    <w:rsid w:val="00071027"/>
    <w:rsid w:val="0007104F"/>
    <w:rsid w:val="00071143"/>
    <w:rsid w:val="000711ED"/>
    <w:rsid w:val="0007133B"/>
    <w:rsid w:val="0007136D"/>
    <w:rsid w:val="000713FA"/>
    <w:rsid w:val="00071414"/>
    <w:rsid w:val="0007151D"/>
    <w:rsid w:val="000715CA"/>
    <w:rsid w:val="000718DC"/>
    <w:rsid w:val="00071941"/>
    <w:rsid w:val="00071B94"/>
    <w:rsid w:val="000720FC"/>
    <w:rsid w:val="000721BE"/>
    <w:rsid w:val="0007231F"/>
    <w:rsid w:val="0007236F"/>
    <w:rsid w:val="000723B5"/>
    <w:rsid w:val="00072698"/>
    <w:rsid w:val="00072BFB"/>
    <w:rsid w:val="00072DE8"/>
    <w:rsid w:val="00072E6A"/>
    <w:rsid w:val="00072F84"/>
    <w:rsid w:val="00072F89"/>
    <w:rsid w:val="00072FE3"/>
    <w:rsid w:val="000731FD"/>
    <w:rsid w:val="0007320D"/>
    <w:rsid w:val="00073398"/>
    <w:rsid w:val="000735F6"/>
    <w:rsid w:val="00073746"/>
    <w:rsid w:val="00073896"/>
    <w:rsid w:val="00073969"/>
    <w:rsid w:val="00073C0A"/>
    <w:rsid w:val="00073C2D"/>
    <w:rsid w:val="00073E8E"/>
    <w:rsid w:val="00074190"/>
    <w:rsid w:val="0007427F"/>
    <w:rsid w:val="000744B9"/>
    <w:rsid w:val="00074506"/>
    <w:rsid w:val="0007492B"/>
    <w:rsid w:val="00074DF6"/>
    <w:rsid w:val="00074EAD"/>
    <w:rsid w:val="00074F3D"/>
    <w:rsid w:val="00074F87"/>
    <w:rsid w:val="00075185"/>
    <w:rsid w:val="000751C9"/>
    <w:rsid w:val="00075402"/>
    <w:rsid w:val="000759C5"/>
    <w:rsid w:val="00075C82"/>
    <w:rsid w:val="00075CB7"/>
    <w:rsid w:val="00075FD4"/>
    <w:rsid w:val="0007604B"/>
    <w:rsid w:val="00076115"/>
    <w:rsid w:val="00076253"/>
    <w:rsid w:val="000764B3"/>
    <w:rsid w:val="000766B8"/>
    <w:rsid w:val="0007673B"/>
    <w:rsid w:val="00076E6C"/>
    <w:rsid w:val="00077001"/>
    <w:rsid w:val="000770AF"/>
    <w:rsid w:val="000772A2"/>
    <w:rsid w:val="000774FF"/>
    <w:rsid w:val="0007755E"/>
    <w:rsid w:val="00077937"/>
    <w:rsid w:val="00077B11"/>
    <w:rsid w:val="00077C2A"/>
    <w:rsid w:val="00077CA9"/>
    <w:rsid w:val="00080025"/>
    <w:rsid w:val="000801AC"/>
    <w:rsid w:val="000801C5"/>
    <w:rsid w:val="00080590"/>
    <w:rsid w:val="00080658"/>
    <w:rsid w:val="0008067C"/>
    <w:rsid w:val="00080887"/>
    <w:rsid w:val="00080B54"/>
    <w:rsid w:val="00080BE5"/>
    <w:rsid w:val="00080DA3"/>
    <w:rsid w:val="000810C1"/>
    <w:rsid w:val="00081114"/>
    <w:rsid w:val="00081394"/>
    <w:rsid w:val="000813A2"/>
    <w:rsid w:val="00081427"/>
    <w:rsid w:val="000814CB"/>
    <w:rsid w:val="000814DD"/>
    <w:rsid w:val="0008154C"/>
    <w:rsid w:val="000815F3"/>
    <w:rsid w:val="00081683"/>
    <w:rsid w:val="00081726"/>
    <w:rsid w:val="00081A42"/>
    <w:rsid w:val="00081D67"/>
    <w:rsid w:val="000824E4"/>
    <w:rsid w:val="000826A1"/>
    <w:rsid w:val="00082937"/>
    <w:rsid w:val="00082A40"/>
    <w:rsid w:val="00082B0C"/>
    <w:rsid w:val="00082B16"/>
    <w:rsid w:val="00082E72"/>
    <w:rsid w:val="00083183"/>
    <w:rsid w:val="000834DC"/>
    <w:rsid w:val="00083765"/>
    <w:rsid w:val="00083F42"/>
    <w:rsid w:val="00083FF8"/>
    <w:rsid w:val="00084048"/>
    <w:rsid w:val="00084072"/>
    <w:rsid w:val="0008411E"/>
    <w:rsid w:val="00084177"/>
    <w:rsid w:val="0008422C"/>
    <w:rsid w:val="00084267"/>
    <w:rsid w:val="00084536"/>
    <w:rsid w:val="000845A6"/>
    <w:rsid w:val="0008477E"/>
    <w:rsid w:val="000847F6"/>
    <w:rsid w:val="00084989"/>
    <w:rsid w:val="000849AF"/>
    <w:rsid w:val="00084C59"/>
    <w:rsid w:val="00084E9D"/>
    <w:rsid w:val="00084FF4"/>
    <w:rsid w:val="0008506E"/>
    <w:rsid w:val="00085186"/>
    <w:rsid w:val="000852D8"/>
    <w:rsid w:val="000855D8"/>
    <w:rsid w:val="0008581E"/>
    <w:rsid w:val="00085B07"/>
    <w:rsid w:val="00085BCC"/>
    <w:rsid w:val="00085C17"/>
    <w:rsid w:val="00085CDD"/>
    <w:rsid w:val="00085D37"/>
    <w:rsid w:val="00085E77"/>
    <w:rsid w:val="00085F28"/>
    <w:rsid w:val="00085F9D"/>
    <w:rsid w:val="0008608E"/>
    <w:rsid w:val="000862BC"/>
    <w:rsid w:val="000863A5"/>
    <w:rsid w:val="00086496"/>
    <w:rsid w:val="000864B2"/>
    <w:rsid w:val="0008660A"/>
    <w:rsid w:val="000866B9"/>
    <w:rsid w:val="00086983"/>
    <w:rsid w:val="00086DBA"/>
    <w:rsid w:val="00086DFC"/>
    <w:rsid w:val="00086E60"/>
    <w:rsid w:val="00086ED8"/>
    <w:rsid w:val="00086F58"/>
    <w:rsid w:val="00087402"/>
    <w:rsid w:val="000875EC"/>
    <w:rsid w:val="0008762D"/>
    <w:rsid w:val="00087831"/>
    <w:rsid w:val="00087852"/>
    <w:rsid w:val="000878D1"/>
    <w:rsid w:val="00087E24"/>
    <w:rsid w:val="00087E8D"/>
    <w:rsid w:val="00087F48"/>
    <w:rsid w:val="0009013E"/>
    <w:rsid w:val="000901BC"/>
    <w:rsid w:val="000901FE"/>
    <w:rsid w:val="000904D6"/>
    <w:rsid w:val="000904F8"/>
    <w:rsid w:val="00090661"/>
    <w:rsid w:val="0009072F"/>
    <w:rsid w:val="000907CC"/>
    <w:rsid w:val="000907D0"/>
    <w:rsid w:val="0009090B"/>
    <w:rsid w:val="000909E5"/>
    <w:rsid w:val="00090D22"/>
    <w:rsid w:val="00090DFD"/>
    <w:rsid w:val="000914F0"/>
    <w:rsid w:val="0009154D"/>
    <w:rsid w:val="0009155B"/>
    <w:rsid w:val="00091588"/>
    <w:rsid w:val="000917F0"/>
    <w:rsid w:val="00091848"/>
    <w:rsid w:val="00091B18"/>
    <w:rsid w:val="00091D01"/>
    <w:rsid w:val="00091E82"/>
    <w:rsid w:val="00091F7C"/>
    <w:rsid w:val="0009216A"/>
    <w:rsid w:val="00092471"/>
    <w:rsid w:val="00092474"/>
    <w:rsid w:val="000924E4"/>
    <w:rsid w:val="000925BD"/>
    <w:rsid w:val="000925E2"/>
    <w:rsid w:val="00092654"/>
    <w:rsid w:val="00092A49"/>
    <w:rsid w:val="00092AF4"/>
    <w:rsid w:val="00092B14"/>
    <w:rsid w:val="00092B5A"/>
    <w:rsid w:val="00092C43"/>
    <w:rsid w:val="00092D1E"/>
    <w:rsid w:val="00092ED3"/>
    <w:rsid w:val="00093069"/>
    <w:rsid w:val="0009308C"/>
    <w:rsid w:val="0009353C"/>
    <w:rsid w:val="000936AE"/>
    <w:rsid w:val="000936C0"/>
    <w:rsid w:val="00093798"/>
    <w:rsid w:val="000937CF"/>
    <w:rsid w:val="000938A9"/>
    <w:rsid w:val="00093B54"/>
    <w:rsid w:val="00093C9A"/>
    <w:rsid w:val="00093CE9"/>
    <w:rsid w:val="00094088"/>
    <w:rsid w:val="000940F8"/>
    <w:rsid w:val="00094125"/>
    <w:rsid w:val="00094181"/>
    <w:rsid w:val="00094217"/>
    <w:rsid w:val="00094313"/>
    <w:rsid w:val="0009448A"/>
    <w:rsid w:val="0009455D"/>
    <w:rsid w:val="00094702"/>
    <w:rsid w:val="00094BB3"/>
    <w:rsid w:val="00094C20"/>
    <w:rsid w:val="00094C4A"/>
    <w:rsid w:val="00094D88"/>
    <w:rsid w:val="00094F5D"/>
    <w:rsid w:val="00094FFA"/>
    <w:rsid w:val="00095265"/>
    <w:rsid w:val="00095366"/>
    <w:rsid w:val="00095382"/>
    <w:rsid w:val="000957F2"/>
    <w:rsid w:val="0009598F"/>
    <w:rsid w:val="00095AC7"/>
    <w:rsid w:val="00095C73"/>
    <w:rsid w:val="00095D93"/>
    <w:rsid w:val="00095FE5"/>
    <w:rsid w:val="00096022"/>
    <w:rsid w:val="00096142"/>
    <w:rsid w:val="0009614F"/>
    <w:rsid w:val="000962A7"/>
    <w:rsid w:val="00096AE2"/>
    <w:rsid w:val="00096B73"/>
    <w:rsid w:val="00096D8B"/>
    <w:rsid w:val="00096E71"/>
    <w:rsid w:val="00096FF9"/>
    <w:rsid w:val="00097010"/>
    <w:rsid w:val="000970E5"/>
    <w:rsid w:val="000971CF"/>
    <w:rsid w:val="00097643"/>
    <w:rsid w:val="000976AC"/>
    <w:rsid w:val="0009787F"/>
    <w:rsid w:val="00097997"/>
    <w:rsid w:val="00097B0B"/>
    <w:rsid w:val="00097B1C"/>
    <w:rsid w:val="00097BBA"/>
    <w:rsid w:val="00097D7E"/>
    <w:rsid w:val="00097EEF"/>
    <w:rsid w:val="00097F6D"/>
    <w:rsid w:val="000A02E7"/>
    <w:rsid w:val="000A02FA"/>
    <w:rsid w:val="000A0567"/>
    <w:rsid w:val="000A056D"/>
    <w:rsid w:val="000A0593"/>
    <w:rsid w:val="000A0678"/>
    <w:rsid w:val="000A076D"/>
    <w:rsid w:val="000A0AA2"/>
    <w:rsid w:val="000A0BEA"/>
    <w:rsid w:val="000A0DD4"/>
    <w:rsid w:val="000A1171"/>
    <w:rsid w:val="000A1411"/>
    <w:rsid w:val="000A1447"/>
    <w:rsid w:val="000A1831"/>
    <w:rsid w:val="000A1973"/>
    <w:rsid w:val="000A1A7F"/>
    <w:rsid w:val="000A1BE1"/>
    <w:rsid w:val="000A1E53"/>
    <w:rsid w:val="000A1E8A"/>
    <w:rsid w:val="000A2148"/>
    <w:rsid w:val="000A221E"/>
    <w:rsid w:val="000A274D"/>
    <w:rsid w:val="000A27A3"/>
    <w:rsid w:val="000A27EC"/>
    <w:rsid w:val="000A29F1"/>
    <w:rsid w:val="000A2D38"/>
    <w:rsid w:val="000A2D83"/>
    <w:rsid w:val="000A2F91"/>
    <w:rsid w:val="000A3029"/>
    <w:rsid w:val="000A3059"/>
    <w:rsid w:val="000A3221"/>
    <w:rsid w:val="000A34B4"/>
    <w:rsid w:val="000A3621"/>
    <w:rsid w:val="000A3A98"/>
    <w:rsid w:val="000A3CE0"/>
    <w:rsid w:val="000A3D1D"/>
    <w:rsid w:val="000A3DC3"/>
    <w:rsid w:val="000A3FDF"/>
    <w:rsid w:val="000A4132"/>
    <w:rsid w:val="000A41E9"/>
    <w:rsid w:val="000A427A"/>
    <w:rsid w:val="000A44B9"/>
    <w:rsid w:val="000A46D8"/>
    <w:rsid w:val="000A4AA3"/>
    <w:rsid w:val="000A4B49"/>
    <w:rsid w:val="000A4BE8"/>
    <w:rsid w:val="000A4C0D"/>
    <w:rsid w:val="000A4CC1"/>
    <w:rsid w:val="000A4F6E"/>
    <w:rsid w:val="000A513F"/>
    <w:rsid w:val="000A5193"/>
    <w:rsid w:val="000A56DB"/>
    <w:rsid w:val="000A585D"/>
    <w:rsid w:val="000A586A"/>
    <w:rsid w:val="000A589D"/>
    <w:rsid w:val="000A5980"/>
    <w:rsid w:val="000A5B3D"/>
    <w:rsid w:val="000A5D0F"/>
    <w:rsid w:val="000A5D62"/>
    <w:rsid w:val="000A5DAC"/>
    <w:rsid w:val="000A5DB7"/>
    <w:rsid w:val="000A5EA6"/>
    <w:rsid w:val="000A60C3"/>
    <w:rsid w:val="000A6B7F"/>
    <w:rsid w:val="000A6CA3"/>
    <w:rsid w:val="000A6E36"/>
    <w:rsid w:val="000A6E6F"/>
    <w:rsid w:val="000A6F39"/>
    <w:rsid w:val="000A7036"/>
    <w:rsid w:val="000A730C"/>
    <w:rsid w:val="000A7331"/>
    <w:rsid w:val="000A75D1"/>
    <w:rsid w:val="000A78D9"/>
    <w:rsid w:val="000A7B99"/>
    <w:rsid w:val="000A7C00"/>
    <w:rsid w:val="000A7CE5"/>
    <w:rsid w:val="000A7D1A"/>
    <w:rsid w:val="000B057E"/>
    <w:rsid w:val="000B07AF"/>
    <w:rsid w:val="000B07B5"/>
    <w:rsid w:val="000B0A90"/>
    <w:rsid w:val="000B0DBC"/>
    <w:rsid w:val="000B0DD7"/>
    <w:rsid w:val="000B0E6A"/>
    <w:rsid w:val="000B0EFB"/>
    <w:rsid w:val="000B0F81"/>
    <w:rsid w:val="000B1085"/>
    <w:rsid w:val="000B12B3"/>
    <w:rsid w:val="000B12FE"/>
    <w:rsid w:val="000B15CB"/>
    <w:rsid w:val="000B177C"/>
    <w:rsid w:val="000B1816"/>
    <w:rsid w:val="000B1829"/>
    <w:rsid w:val="000B1838"/>
    <w:rsid w:val="000B18E1"/>
    <w:rsid w:val="000B2315"/>
    <w:rsid w:val="000B24F8"/>
    <w:rsid w:val="000B2513"/>
    <w:rsid w:val="000B2536"/>
    <w:rsid w:val="000B2675"/>
    <w:rsid w:val="000B26DD"/>
    <w:rsid w:val="000B2CF7"/>
    <w:rsid w:val="000B2E9C"/>
    <w:rsid w:val="000B3090"/>
    <w:rsid w:val="000B32C0"/>
    <w:rsid w:val="000B346B"/>
    <w:rsid w:val="000B34B7"/>
    <w:rsid w:val="000B34BA"/>
    <w:rsid w:val="000B378C"/>
    <w:rsid w:val="000B3A7A"/>
    <w:rsid w:val="000B3BAE"/>
    <w:rsid w:val="000B3E1C"/>
    <w:rsid w:val="000B3E97"/>
    <w:rsid w:val="000B403F"/>
    <w:rsid w:val="000B41D2"/>
    <w:rsid w:val="000B438D"/>
    <w:rsid w:val="000B4395"/>
    <w:rsid w:val="000B4456"/>
    <w:rsid w:val="000B44B3"/>
    <w:rsid w:val="000B4531"/>
    <w:rsid w:val="000B4AF6"/>
    <w:rsid w:val="000B4B9A"/>
    <w:rsid w:val="000B4CFF"/>
    <w:rsid w:val="000B4D02"/>
    <w:rsid w:val="000B5029"/>
    <w:rsid w:val="000B5338"/>
    <w:rsid w:val="000B5533"/>
    <w:rsid w:val="000B5886"/>
    <w:rsid w:val="000B58EC"/>
    <w:rsid w:val="000B59A7"/>
    <w:rsid w:val="000B5A61"/>
    <w:rsid w:val="000B5CF1"/>
    <w:rsid w:val="000B63FF"/>
    <w:rsid w:val="000B66B9"/>
    <w:rsid w:val="000B67F0"/>
    <w:rsid w:val="000B689D"/>
    <w:rsid w:val="000B69FC"/>
    <w:rsid w:val="000B6A29"/>
    <w:rsid w:val="000B6C74"/>
    <w:rsid w:val="000B6C8B"/>
    <w:rsid w:val="000B6CD2"/>
    <w:rsid w:val="000B6E6C"/>
    <w:rsid w:val="000B7087"/>
    <w:rsid w:val="000B70F8"/>
    <w:rsid w:val="000B71A4"/>
    <w:rsid w:val="000B71A8"/>
    <w:rsid w:val="000B71C4"/>
    <w:rsid w:val="000B72E0"/>
    <w:rsid w:val="000B7336"/>
    <w:rsid w:val="000B740A"/>
    <w:rsid w:val="000B796D"/>
    <w:rsid w:val="000C002B"/>
    <w:rsid w:val="000C00CC"/>
    <w:rsid w:val="000C00E0"/>
    <w:rsid w:val="000C01A5"/>
    <w:rsid w:val="000C01D5"/>
    <w:rsid w:val="000C0327"/>
    <w:rsid w:val="000C03B8"/>
    <w:rsid w:val="000C03FF"/>
    <w:rsid w:val="000C0600"/>
    <w:rsid w:val="000C094F"/>
    <w:rsid w:val="000C0983"/>
    <w:rsid w:val="000C0C0E"/>
    <w:rsid w:val="000C0D5E"/>
    <w:rsid w:val="000C0F70"/>
    <w:rsid w:val="000C105C"/>
    <w:rsid w:val="000C1127"/>
    <w:rsid w:val="000C113C"/>
    <w:rsid w:val="000C12F3"/>
    <w:rsid w:val="000C137F"/>
    <w:rsid w:val="000C14F5"/>
    <w:rsid w:val="000C1597"/>
    <w:rsid w:val="000C17ED"/>
    <w:rsid w:val="000C1B08"/>
    <w:rsid w:val="000C1BA3"/>
    <w:rsid w:val="000C2148"/>
    <w:rsid w:val="000C21D6"/>
    <w:rsid w:val="000C228D"/>
    <w:rsid w:val="000C23CE"/>
    <w:rsid w:val="000C23D6"/>
    <w:rsid w:val="000C2700"/>
    <w:rsid w:val="000C2E1B"/>
    <w:rsid w:val="000C2F82"/>
    <w:rsid w:val="000C33A4"/>
    <w:rsid w:val="000C33D4"/>
    <w:rsid w:val="000C3530"/>
    <w:rsid w:val="000C35BC"/>
    <w:rsid w:val="000C3723"/>
    <w:rsid w:val="000C39F6"/>
    <w:rsid w:val="000C3A3A"/>
    <w:rsid w:val="000C3DEB"/>
    <w:rsid w:val="000C3EBA"/>
    <w:rsid w:val="000C4152"/>
    <w:rsid w:val="000C440B"/>
    <w:rsid w:val="000C4428"/>
    <w:rsid w:val="000C44AC"/>
    <w:rsid w:val="000C4870"/>
    <w:rsid w:val="000C4A28"/>
    <w:rsid w:val="000C4B4D"/>
    <w:rsid w:val="000C4C01"/>
    <w:rsid w:val="000C4FE2"/>
    <w:rsid w:val="000C5101"/>
    <w:rsid w:val="000C51A6"/>
    <w:rsid w:val="000C51D4"/>
    <w:rsid w:val="000C52DC"/>
    <w:rsid w:val="000C5516"/>
    <w:rsid w:val="000C551D"/>
    <w:rsid w:val="000C5622"/>
    <w:rsid w:val="000C5756"/>
    <w:rsid w:val="000C5A37"/>
    <w:rsid w:val="000C5D1E"/>
    <w:rsid w:val="000C5F18"/>
    <w:rsid w:val="000C6077"/>
    <w:rsid w:val="000C60EB"/>
    <w:rsid w:val="000C60FA"/>
    <w:rsid w:val="000C63EC"/>
    <w:rsid w:val="000C6499"/>
    <w:rsid w:val="000C6575"/>
    <w:rsid w:val="000C6707"/>
    <w:rsid w:val="000C67A2"/>
    <w:rsid w:val="000C6874"/>
    <w:rsid w:val="000C6A70"/>
    <w:rsid w:val="000C6AD0"/>
    <w:rsid w:val="000C6BA2"/>
    <w:rsid w:val="000C6C8D"/>
    <w:rsid w:val="000C6D97"/>
    <w:rsid w:val="000C70FA"/>
    <w:rsid w:val="000C714B"/>
    <w:rsid w:val="000C7250"/>
    <w:rsid w:val="000C757D"/>
    <w:rsid w:val="000C75C0"/>
    <w:rsid w:val="000C764F"/>
    <w:rsid w:val="000C7B82"/>
    <w:rsid w:val="000C7D29"/>
    <w:rsid w:val="000C7DA5"/>
    <w:rsid w:val="000C7F34"/>
    <w:rsid w:val="000D0103"/>
    <w:rsid w:val="000D03B1"/>
    <w:rsid w:val="000D056F"/>
    <w:rsid w:val="000D05E0"/>
    <w:rsid w:val="000D0745"/>
    <w:rsid w:val="000D0A48"/>
    <w:rsid w:val="000D0A5A"/>
    <w:rsid w:val="000D0A8B"/>
    <w:rsid w:val="000D0ABE"/>
    <w:rsid w:val="000D0BFD"/>
    <w:rsid w:val="000D0CB4"/>
    <w:rsid w:val="000D0EDC"/>
    <w:rsid w:val="000D0FC0"/>
    <w:rsid w:val="000D1082"/>
    <w:rsid w:val="000D1318"/>
    <w:rsid w:val="000D1480"/>
    <w:rsid w:val="000D17A2"/>
    <w:rsid w:val="000D19D0"/>
    <w:rsid w:val="000D1E73"/>
    <w:rsid w:val="000D1F27"/>
    <w:rsid w:val="000D1FF2"/>
    <w:rsid w:val="000D2053"/>
    <w:rsid w:val="000D2193"/>
    <w:rsid w:val="000D22AF"/>
    <w:rsid w:val="000D2417"/>
    <w:rsid w:val="000D26EA"/>
    <w:rsid w:val="000D2745"/>
    <w:rsid w:val="000D2801"/>
    <w:rsid w:val="000D2930"/>
    <w:rsid w:val="000D2A37"/>
    <w:rsid w:val="000D2A9B"/>
    <w:rsid w:val="000D2F00"/>
    <w:rsid w:val="000D2FE8"/>
    <w:rsid w:val="000D3231"/>
    <w:rsid w:val="000D3279"/>
    <w:rsid w:val="000D3522"/>
    <w:rsid w:val="000D364B"/>
    <w:rsid w:val="000D3BF3"/>
    <w:rsid w:val="000D3DA3"/>
    <w:rsid w:val="000D3EA0"/>
    <w:rsid w:val="000D3F4E"/>
    <w:rsid w:val="000D3FB6"/>
    <w:rsid w:val="000D4379"/>
    <w:rsid w:val="000D460C"/>
    <w:rsid w:val="000D46F3"/>
    <w:rsid w:val="000D4B1B"/>
    <w:rsid w:val="000D4E28"/>
    <w:rsid w:val="000D51BE"/>
    <w:rsid w:val="000D5259"/>
    <w:rsid w:val="000D5975"/>
    <w:rsid w:val="000D59F0"/>
    <w:rsid w:val="000D5C23"/>
    <w:rsid w:val="000D5C28"/>
    <w:rsid w:val="000D5F36"/>
    <w:rsid w:val="000D604E"/>
    <w:rsid w:val="000D6410"/>
    <w:rsid w:val="000D65CE"/>
    <w:rsid w:val="000D6690"/>
    <w:rsid w:val="000D6A24"/>
    <w:rsid w:val="000D6C96"/>
    <w:rsid w:val="000D6CAB"/>
    <w:rsid w:val="000D6CC5"/>
    <w:rsid w:val="000D6E98"/>
    <w:rsid w:val="000D70D5"/>
    <w:rsid w:val="000D71F3"/>
    <w:rsid w:val="000D74CA"/>
    <w:rsid w:val="000D750A"/>
    <w:rsid w:val="000D75A2"/>
    <w:rsid w:val="000D75DA"/>
    <w:rsid w:val="000D7649"/>
    <w:rsid w:val="000D77DD"/>
    <w:rsid w:val="000D7BA3"/>
    <w:rsid w:val="000D7C4F"/>
    <w:rsid w:val="000D7CAA"/>
    <w:rsid w:val="000D7DEC"/>
    <w:rsid w:val="000D7E4B"/>
    <w:rsid w:val="000D7F54"/>
    <w:rsid w:val="000E0005"/>
    <w:rsid w:val="000E0587"/>
    <w:rsid w:val="000E06E9"/>
    <w:rsid w:val="000E07E2"/>
    <w:rsid w:val="000E093F"/>
    <w:rsid w:val="000E0975"/>
    <w:rsid w:val="000E097C"/>
    <w:rsid w:val="000E1832"/>
    <w:rsid w:val="000E18F9"/>
    <w:rsid w:val="000E1EF2"/>
    <w:rsid w:val="000E1F2E"/>
    <w:rsid w:val="000E2047"/>
    <w:rsid w:val="000E2344"/>
    <w:rsid w:val="000E2356"/>
    <w:rsid w:val="000E23F6"/>
    <w:rsid w:val="000E26D4"/>
    <w:rsid w:val="000E2854"/>
    <w:rsid w:val="000E2A01"/>
    <w:rsid w:val="000E2E92"/>
    <w:rsid w:val="000E2FBB"/>
    <w:rsid w:val="000E35FA"/>
    <w:rsid w:val="000E364C"/>
    <w:rsid w:val="000E3BAF"/>
    <w:rsid w:val="000E3DA5"/>
    <w:rsid w:val="000E3DBB"/>
    <w:rsid w:val="000E4050"/>
    <w:rsid w:val="000E4334"/>
    <w:rsid w:val="000E44C8"/>
    <w:rsid w:val="000E456B"/>
    <w:rsid w:val="000E4656"/>
    <w:rsid w:val="000E46BA"/>
    <w:rsid w:val="000E4799"/>
    <w:rsid w:val="000E487B"/>
    <w:rsid w:val="000E4885"/>
    <w:rsid w:val="000E4894"/>
    <w:rsid w:val="000E49ED"/>
    <w:rsid w:val="000E4A1F"/>
    <w:rsid w:val="000E4AB4"/>
    <w:rsid w:val="000E4C34"/>
    <w:rsid w:val="000E4C76"/>
    <w:rsid w:val="000E4CCE"/>
    <w:rsid w:val="000E5010"/>
    <w:rsid w:val="000E508D"/>
    <w:rsid w:val="000E53D3"/>
    <w:rsid w:val="000E53FF"/>
    <w:rsid w:val="000E54CF"/>
    <w:rsid w:val="000E569A"/>
    <w:rsid w:val="000E573A"/>
    <w:rsid w:val="000E57CB"/>
    <w:rsid w:val="000E594E"/>
    <w:rsid w:val="000E59EA"/>
    <w:rsid w:val="000E5A4A"/>
    <w:rsid w:val="000E5BB4"/>
    <w:rsid w:val="000E5D77"/>
    <w:rsid w:val="000E5ED1"/>
    <w:rsid w:val="000E5FDD"/>
    <w:rsid w:val="000E60F6"/>
    <w:rsid w:val="000E6298"/>
    <w:rsid w:val="000E67B2"/>
    <w:rsid w:val="000E680E"/>
    <w:rsid w:val="000E6E03"/>
    <w:rsid w:val="000E6F49"/>
    <w:rsid w:val="000E7168"/>
    <w:rsid w:val="000E71E8"/>
    <w:rsid w:val="000E78C7"/>
    <w:rsid w:val="000E79A5"/>
    <w:rsid w:val="000E7C05"/>
    <w:rsid w:val="000E7C0D"/>
    <w:rsid w:val="000E7FA3"/>
    <w:rsid w:val="000F00C2"/>
    <w:rsid w:val="000F03F6"/>
    <w:rsid w:val="000F060E"/>
    <w:rsid w:val="000F0804"/>
    <w:rsid w:val="000F0975"/>
    <w:rsid w:val="000F0D5B"/>
    <w:rsid w:val="000F0DED"/>
    <w:rsid w:val="000F0E32"/>
    <w:rsid w:val="000F0E55"/>
    <w:rsid w:val="000F0F62"/>
    <w:rsid w:val="000F0F98"/>
    <w:rsid w:val="000F1112"/>
    <w:rsid w:val="000F13EE"/>
    <w:rsid w:val="000F148B"/>
    <w:rsid w:val="000F15D3"/>
    <w:rsid w:val="000F1734"/>
    <w:rsid w:val="000F1A04"/>
    <w:rsid w:val="000F1ABE"/>
    <w:rsid w:val="000F1ADA"/>
    <w:rsid w:val="000F1DDF"/>
    <w:rsid w:val="000F2006"/>
    <w:rsid w:val="000F22B7"/>
    <w:rsid w:val="000F22DA"/>
    <w:rsid w:val="000F255D"/>
    <w:rsid w:val="000F2845"/>
    <w:rsid w:val="000F2853"/>
    <w:rsid w:val="000F28CC"/>
    <w:rsid w:val="000F2969"/>
    <w:rsid w:val="000F2C3E"/>
    <w:rsid w:val="000F2E96"/>
    <w:rsid w:val="000F2F9F"/>
    <w:rsid w:val="000F31B0"/>
    <w:rsid w:val="000F324E"/>
    <w:rsid w:val="000F339B"/>
    <w:rsid w:val="000F34CA"/>
    <w:rsid w:val="000F3670"/>
    <w:rsid w:val="000F371B"/>
    <w:rsid w:val="000F3AA2"/>
    <w:rsid w:val="000F3C6D"/>
    <w:rsid w:val="000F3C87"/>
    <w:rsid w:val="000F40E2"/>
    <w:rsid w:val="000F42C5"/>
    <w:rsid w:val="000F44A4"/>
    <w:rsid w:val="000F4720"/>
    <w:rsid w:val="000F478C"/>
    <w:rsid w:val="000F49CE"/>
    <w:rsid w:val="000F4B98"/>
    <w:rsid w:val="000F4BD2"/>
    <w:rsid w:val="000F4F2A"/>
    <w:rsid w:val="000F5369"/>
    <w:rsid w:val="000F5385"/>
    <w:rsid w:val="000F5450"/>
    <w:rsid w:val="000F565C"/>
    <w:rsid w:val="000F58E2"/>
    <w:rsid w:val="000F59C2"/>
    <w:rsid w:val="000F5DBF"/>
    <w:rsid w:val="000F6068"/>
    <w:rsid w:val="000F609A"/>
    <w:rsid w:val="000F60ED"/>
    <w:rsid w:val="000F6293"/>
    <w:rsid w:val="000F62F1"/>
    <w:rsid w:val="000F6426"/>
    <w:rsid w:val="000F6543"/>
    <w:rsid w:val="000F669A"/>
    <w:rsid w:val="000F67AC"/>
    <w:rsid w:val="000F695F"/>
    <w:rsid w:val="000F6A27"/>
    <w:rsid w:val="000F6AD2"/>
    <w:rsid w:val="000F6BC1"/>
    <w:rsid w:val="000F73E9"/>
    <w:rsid w:val="000F74A7"/>
    <w:rsid w:val="000F7554"/>
    <w:rsid w:val="000F7663"/>
    <w:rsid w:val="000F766C"/>
    <w:rsid w:val="000F78D1"/>
    <w:rsid w:val="000F792E"/>
    <w:rsid w:val="000F7932"/>
    <w:rsid w:val="000F79D3"/>
    <w:rsid w:val="000F7CBD"/>
    <w:rsid w:val="000F7CD8"/>
    <w:rsid w:val="000F7D75"/>
    <w:rsid w:val="000F7E8B"/>
    <w:rsid w:val="000F7F9D"/>
    <w:rsid w:val="001003D8"/>
    <w:rsid w:val="00100504"/>
    <w:rsid w:val="0010050F"/>
    <w:rsid w:val="00100733"/>
    <w:rsid w:val="0010092A"/>
    <w:rsid w:val="0010092B"/>
    <w:rsid w:val="00100971"/>
    <w:rsid w:val="00100D24"/>
    <w:rsid w:val="00101104"/>
    <w:rsid w:val="00101190"/>
    <w:rsid w:val="00101337"/>
    <w:rsid w:val="001013AC"/>
    <w:rsid w:val="0010157D"/>
    <w:rsid w:val="00101628"/>
    <w:rsid w:val="001019BE"/>
    <w:rsid w:val="00101A65"/>
    <w:rsid w:val="00101EEC"/>
    <w:rsid w:val="00102548"/>
    <w:rsid w:val="001026EA"/>
    <w:rsid w:val="0010279D"/>
    <w:rsid w:val="001027E4"/>
    <w:rsid w:val="001028FD"/>
    <w:rsid w:val="001029D3"/>
    <w:rsid w:val="00102D37"/>
    <w:rsid w:val="00102EDC"/>
    <w:rsid w:val="00103313"/>
    <w:rsid w:val="001033AF"/>
    <w:rsid w:val="00103843"/>
    <w:rsid w:val="00103A48"/>
    <w:rsid w:val="00103A97"/>
    <w:rsid w:val="00103B3C"/>
    <w:rsid w:val="00103CBF"/>
    <w:rsid w:val="00103CEF"/>
    <w:rsid w:val="00103D1B"/>
    <w:rsid w:val="00103D4A"/>
    <w:rsid w:val="00103E53"/>
    <w:rsid w:val="00103E91"/>
    <w:rsid w:val="00104304"/>
    <w:rsid w:val="00104371"/>
    <w:rsid w:val="00104454"/>
    <w:rsid w:val="001044F4"/>
    <w:rsid w:val="00104760"/>
    <w:rsid w:val="00104864"/>
    <w:rsid w:val="00104B14"/>
    <w:rsid w:val="00104C46"/>
    <w:rsid w:val="00104CB5"/>
    <w:rsid w:val="00104CE6"/>
    <w:rsid w:val="00105036"/>
    <w:rsid w:val="001050BC"/>
    <w:rsid w:val="00105247"/>
    <w:rsid w:val="00105638"/>
    <w:rsid w:val="00105641"/>
    <w:rsid w:val="001057F1"/>
    <w:rsid w:val="00105A4B"/>
    <w:rsid w:val="00105A51"/>
    <w:rsid w:val="00105CD9"/>
    <w:rsid w:val="00105F16"/>
    <w:rsid w:val="00106286"/>
    <w:rsid w:val="001062B8"/>
    <w:rsid w:val="00106593"/>
    <w:rsid w:val="001065AD"/>
    <w:rsid w:val="001068B5"/>
    <w:rsid w:val="00106AA5"/>
    <w:rsid w:val="00106BF4"/>
    <w:rsid w:val="00106E46"/>
    <w:rsid w:val="00106F00"/>
    <w:rsid w:val="00106FD1"/>
    <w:rsid w:val="001071DB"/>
    <w:rsid w:val="00107329"/>
    <w:rsid w:val="00107457"/>
    <w:rsid w:val="001074E6"/>
    <w:rsid w:val="001075CE"/>
    <w:rsid w:val="00107615"/>
    <w:rsid w:val="00107667"/>
    <w:rsid w:val="001078B8"/>
    <w:rsid w:val="00107CDA"/>
    <w:rsid w:val="00107E34"/>
    <w:rsid w:val="00107ED5"/>
    <w:rsid w:val="0011046F"/>
    <w:rsid w:val="0011047E"/>
    <w:rsid w:val="001108F6"/>
    <w:rsid w:val="00110A56"/>
    <w:rsid w:val="00110DF7"/>
    <w:rsid w:val="00110F23"/>
    <w:rsid w:val="00111184"/>
    <w:rsid w:val="00111262"/>
    <w:rsid w:val="00111474"/>
    <w:rsid w:val="001114B1"/>
    <w:rsid w:val="001114FC"/>
    <w:rsid w:val="0011161C"/>
    <w:rsid w:val="00111672"/>
    <w:rsid w:val="001118D5"/>
    <w:rsid w:val="00111ABD"/>
    <w:rsid w:val="00111BA4"/>
    <w:rsid w:val="00111BFF"/>
    <w:rsid w:val="00111F09"/>
    <w:rsid w:val="00112007"/>
    <w:rsid w:val="001124B4"/>
    <w:rsid w:val="00112623"/>
    <w:rsid w:val="00112979"/>
    <w:rsid w:val="00112AD1"/>
    <w:rsid w:val="00112BBE"/>
    <w:rsid w:val="00112D2D"/>
    <w:rsid w:val="00112D32"/>
    <w:rsid w:val="001133FE"/>
    <w:rsid w:val="00113558"/>
    <w:rsid w:val="0011357E"/>
    <w:rsid w:val="001135BA"/>
    <w:rsid w:val="0011371F"/>
    <w:rsid w:val="00113740"/>
    <w:rsid w:val="001137F9"/>
    <w:rsid w:val="00113835"/>
    <w:rsid w:val="001139DC"/>
    <w:rsid w:val="00113B35"/>
    <w:rsid w:val="00113B99"/>
    <w:rsid w:val="00113C07"/>
    <w:rsid w:val="00113EFB"/>
    <w:rsid w:val="00113F1C"/>
    <w:rsid w:val="00113FA0"/>
    <w:rsid w:val="001140EE"/>
    <w:rsid w:val="00114408"/>
    <w:rsid w:val="00114545"/>
    <w:rsid w:val="00114740"/>
    <w:rsid w:val="00114DB2"/>
    <w:rsid w:val="0011525A"/>
    <w:rsid w:val="00115372"/>
    <w:rsid w:val="0011548C"/>
    <w:rsid w:val="001155A6"/>
    <w:rsid w:val="00115A0D"/>
    <w:rsid w:val="00115BB8"/>
    <w:rsid w:val="00115D94"/>
    <w:rsid w:val="001161F4"/>
    <w:rsid w:val="00116618"/>
    <w:rsid w:val="0011662A"/>
    <w:rsid w:val="0011667F"/>
    <w:rsid w:val="00116876"/>
    <w:rsid w:val="001168DB"/>
    <w:rsid w:val="00116C42"/>
    <w:rsid w:val="00116DF6"/>
    <w:rsid w:val="00116EE7"/>
    <w:rsid w:val="00116F46"/>
    <w:rsid w:val="00116FC0"/>
    <w:rsid w:val="0011737D"/>
    <w:rsid w:val="001174C1"/>
    <w:rsid w:val="00117977"/>
    <w:rsid w:val="00117BC4"/>
    <w:rsid w:val="00117C31"/>
    <w:rsid w:val="00117C68"/>
    <w:rsid w:val="001200F7"/>
    <w:rsid w:val="0012010A"/>
    <w:rsid w:val="00120125"/>
    <w:rsid w:val="001205AE"/>
    <w:rsid w:val="001205F0"/>
    <w:rsid w:val="0012063D"/>
    <w:rsid w:val="00120AE5"/>
    <w:rsid w:val="00120B02"/>
    <w:rsid w:val="00120D29"/>
    <w:rsid w:val="00120DAB"/>
    <w:rsid w:val="00120ECA"/>
    <w:rsid w:val="00121000"/>
    <w:rsid w:val="00121596"/>
    <w:rsid w:val="00121AC0"/>
    <w:rsid w:val="00121CA8"/>
    <w:rsid w:val="00121E7E"/>
    <w:rsid w:val="00121F79"/>
    <w:rsid w:val="00122117"/>
    <w:rsid w:val="0012214B"/>
    <w:rsid w:val="00122168"/>
    <w:rsid w:val="00122173"/>
    <w:rsid w:val="0012242C"/>
    <w:rsid w:val="00122467"/>
    <w:rsid w:val="001226F7"/>
    <w:rsid w:val="00122A50"/>
    <w:rsid w:val="00122B34"/>
    <w:rsid w:val="00122B76"/>
    <w:rsid w:val="00122D70"/>
    <w:rsid w:val="00122EEF"/>
    <w:rsid w:val="00122EFF"/>
    <w:rsid w:val="00122FBE"/>
    <w:rsid w:val="001231DD"/>
    <w:rsid w:val="00123401"/>
    <w:rsid w:val="00123522"/>
    <w:rsid w:val="00123844"/>
    <w:rsid w:val="00123A7A"/>
    <w:rsid w:val="00123C53"/>
    <w:rsid w:val="00123FBD"/>
    <w:rsid w:val="0012487B"/>
    <w:rsid w:val="00124AA5"/>
    <w:rsid w:val="00124B9E"/>
    <w:rsid w:val="00124CC2"/>
    <w:rsid w:val="00124DD0"/>
    <w:rsid w:val="00125090"/>
    <w:rsid w:val="001253F8"/>
    <w:rsid w:val="00125587"/>
    <w:rsid w:val="001255D0"/>
    <w:rsid w:val="0012578D"/>
    <w:rsid w:val="001257A4"/>
    <w:rsid w:val="00125A8B"/>
    <w:rsid w:val="00125AFB"/>
    <w:rsid w:val="00125B0E"/>
    <w:rsid w:val="00125B81"/>
    <w:rsid w:val="00125D26"/>
    <w:rsid w:val="00125FE4"/>
    <w:rsid w:val="001262A2"/>
    <w:rsid w:val="001267E1"/>
    <w:rsid w:val="0012686F"/>
    <w:rsid w:val="001268F1"/>
    <w:rsid w:val="0012714A"/>
    <w:rsid w:val="0012734C"/>
    <w:rsid w:val="0012740F"/>
    <w:rsid w:val="0012756A"/>
    <w:rsid w:val="00127A6A"/>
    <w:rsid w:val="00127A9F"/>
    <w:rsid w:val="00127AB4"/>
    <w:rsid w:val="001300ED"/>
    <w:rsid w:val="00130734"/>
    <w:rsid w:val="0013081B"/>
    <w:rsid w:val="00130B9E"/>
    <w:rsid w:val="00130C60"/>
    <w:rsid w:val="00130C8D"/>
    <w:rsid w:val="00130EC3"/>
    <w:rsid w:val="00130F25"/>
    <w:rsid w:val="00130FBA"/>
    <w:rsid w:val="0013101A"/>
    <w:rsid w:val="0013126E"/>
    <w:rsid w:val="001317F3"/>
    <w:rsid w:val="0013185C"/>
    <w:rsid w:val="00131BF3"/>
    <w:rsid w:val="00131C17"/>
    <w:rsid w:val="00131CA2"/>
    <w:rsid w:val="00131E2F"/>
    <w:rsid w:val="00131E6D"/>
    <w:rsid w:val="001320D4"/>
    <w:rsid w:val="001321D1"/>
    <w:rsid w:val="001323D0"/>
    <w:rsid w:val="001323D2"/>
    <w:rsid w:val="001324D5"/>
    <w:rsid w:val="001327D1"/>
    <w:rsid w:val="001328EF"/>
    <w:rsid w:val="001329FF"/>
    <w:rsid w:val="00132A32"/>
    <w:rsid w:val="00132AE8"/>
    <w:rsid w:val="0013307A"/>
    <w:rsid w:val="00133082"/>
    <w:rsid w:val="00133116"/>
    <w:rsid w:val="0013348D"/>
    <w:rsid w:val="0013381B"/>
    <w:rsid w:val="0013396A"/>
    <w:rsid w:val="00133A93"/>
    <w:rsid w:val="00133AC2"/>
    <w:rsid w:val="00133BE1"/>
    <w:rsid w:val="00133E47"/>
    <w:rsid w:val="00133E50"/>
    <w:rsid w:val="00133EE7"/>
    <w:rsid w:val="00134147"/>
    <w:rsid w:val="00134218"/>
    <w:rsid w:val="00134505"/>
    <w:rsid w:val="001349F6"/>
    <w:rsid w:val="00134C7C"/>
    <w:rsid w:val="00134E3D"/>
    <w:rsid w:val="00134EF0"/>
    <w:rsid w:val="001350EC"/>
    <w:rsid w:val="00135163"/>
    <w:rsid w:val="00135193"/>
    <w:rsid w:val="001351F2"/>
    <w:rsid w:val="00135266"/>
    <w:rsid w:val="00135314"/>
    <w:rsid w:val="001353E6"/>
    <w:rsid w:val="0013544C"/>
    <w:rsid w:val="00135870"/>
    <w:rsid w:val="00135A7C"/>
    <w:rsid w:val="00135AE0"/>
    <w:rsid w:val="00135B4A"/>
    <w:rsid w:val="00135BF2"/>
    <w:rsid w:val="00135C57"/>
    <w:rsid w:val="00135C88"/>
    <w:rsid w:val="00135D39"/>
    <w:rsid w:val="0013606B"/>
    <w:rsid w:val="00136204"/>
    <w:rsid w:val="0013630C"/>
    <w:rsid w:val="00136321"/>
    <w:rsid w:val="00136379"/>
    <w:rsid w:val="00136701"/>
    <w:rsid w:val="0013679F"/>
    <w:rsid w:val="00136814"/>
    <w:rsid w:val="00136933"/>
    <w:rsid w:val="00136B03"/>
    <w:rsid w:val="00136BCD"/>
    <w:rsid w:val="00136C7B"/>
    <w:rsid w:val="00136DAE"/>
    <w:rsid w:val="00136E50"/>
    <w:rsid w:val="00136EA2"/>
    <w:rsid w:val="00136F86"/>
    <w:rsid w:val="0013719E"/>
    <w:rsid w:val="001371FF"/>
    <w:rsid w:val="0013723E"/>
    <w:rsid w:val="00137476"/>
    <w:rsid w:val="00137594"/>
    <w:rsid w:val="0013787A"/>
    <w:rsid w:val="00137D63"/>
    <w:rsid w:val="00137E6A"/>
    <w:rsid w:val="00137F1D"/>
    <w:rsid w:val="0014016A"/>
    <w:rsid w:val="0014023C"/>
    <w:rsid w:val="00140B1E"/>
    <w:rsid w:val="00140BDF"/>
    <w:rsid w:val="00140D03"/>
    <w:rsid w:val="00140EAE"/>
    <w:rsid w:val="0014100F"/>
    <w:rsid w:val="00141768"/>
    <w:rsid w:val="0014176C"/>
    <w:rsid w:val="00141844"/>
    <w:rsid w:val="00141940"/>
    <w:rsid w:val="00141BE7"/>
    <w:rsid w:val="00141C41"/>
    <w:rsid w:val="00141F56"/>
    <w:rsid w:val="00141FEA"/>
    <w:rsid w:val="00142104"/>
    <w:rsid w:val="0014248E"/>
    <w:rsid w:val="0014249B"/>
    <w:rsid w:val="0014250D"/>
    <w:rsid w:val="0014266A"/>
    <w:rsid w:val="001426F7"/>
    <w:rsid w:val="0014272F"/>
    <w:rsid w:val="00142865"/>
    <w:rsid w:val="00142937"/>
    <w:rsid w:val="00142939"/>
    <w:rsid w:val="001429C8"/>
    <w:rsid w:val="00142CE8"/>
    <w:rsid w:val="001431F4"/>
    <w:rsid w:val="0014324E"/>
    <w:rsid w:val="0014363D"/>
    <w:rsid w:val="00143798"/>
    <w:rsid w:val="0014396E"/>
    <w:rsid w:val="00143D8D"/>
    <w:rsid w:val="00143DCE"/>
    <w:rsid w:val="00143E5D"/>
    <w:rsid w:val="00143EC4"/>
    <w:rsid w:val="00143FBE"/>
    <w:rsid w:val="001441BF"/>
    <w:rsid w:val="00144202"/>
    <w:rsid w:val="00144204"/>
    <w:rsid w:val="0014427B"/>
    <w:rsid w:val="00144639"/>
    <w:rsid w:val="00144811"/>
    <w:rsid w:val="00144BC7"/>
    <w:rsid w:val="00144C0A"/>
    <w:rsid w:val="00144E6B"/>
    <w:rsid w:val="0014522C"/>
    <w:rsid w:val="00145235"/>
    <w:rsid w:val="00145A14"/>
    <w:rsid w:val="001460BB"/>
    <w:rsid w:val="00146115"/>
    <w:rsid w:val="00146134"/>
    <w:rsid w:val="00146288"/>
    <w:rsid w:val="001462D3"/>
    <w:rsid w:val="001469E1"/>
    <w:rsid w:val="00146DDA"/>
    <w:rsid w:val="00146F95"/>
    <w:rsid w:val="00147101"/>
    <w:rsid w:val="001471A1"/>
    <w:rsid w:val="001471EE"/>
    <w:rsid w:val="00147754"/>
    <w:rsid w:val="001477AE"/>
    <w:rsid w:val="001477DA"/>
    <w:rsid w:val="00147AB4"/>
    <w:rsid w:val="00147B05"/>
    <w:rsid w:val="00147B18"/>
    <w:rsid w:val="00147E95"/>
    <w:rsid w:val="0015015B"/>
    <w:rsid w:val="00150224"/>
    <w:rsid w:val="00150295"/>
    <w:rsid w:val="001502E0"/>
    <w:rsid w:val="0015039B"/>
    <w:rsid w:val="001505F4"/>
    <w:rsid w:val="00150717"/>
    <w:rsid w:val="00150734"/>
    <w:rsid w:val="0015076A"/>
    <w:rsid w:val="0015080A"/>
    <w:rsid w:val="001509FC"/>
    <w:rsid w:val="00150A11"/>
    <w:rsid w:val="00150BF8"/>
    <w:rsid w:val="00150D07"/>
    <w:rsid w:val="00150E02"/>
    <w:rsid w:val="00150F37"/>
    <w:rsid w:val="00151079"/>
    <w:rsid w:val="00151129"/>
    <w:rsid w:val="001515F0"/>
    <w:rsid w:val="0015175F"/>
    <w:rsid w:val="001517DE"/>
    <w:rsid w:val="001517FD"/>
    <w:rsid w:val="001517FF"/>
    <w:rsid w:val="001518AA"/>
    <w:rsid w:val="001518CF"/>
    <w:rsid w:val="00151990"/>
    <w:rsid w:val="001519C6"/>
    <w:rsid w:val="00151A1E"/>
    <w:rsid w:val="00151BBE"/>
    <w:rsid w:val="00151C4F"/>
    <w:rsid w:val="00151DAB"/>
    <w:rsid w:val="00151DCF"/>
    <w:rsid w:val="00151E40"/>
    <w:rsid w:val="00151F49"/>
    <w:rsid w:val="001522AD"/>
    <w:rsid w:val="001523F2"/>
    <w:rsid w:val="001526FF"/>
    <w:rsid w:val="00152766"/>
    <w:rsid w:val="0015293E"/>
    <w:rsid w:val="00152B3A"/>
    <w:rsid w:val="00152C56"/>
    <w:rsid w:val="00152D3B"/>
    <w:rsid w:val="00152E09"/>
    <w:rsid w:val="00153028"/>
    <w:rsid w:val="00153150"/>
    <w:rsid w:val="0015316B"/>
    <w:rsid w:val="0015321B"/>
    <w:rsid w:val="00153298"/>
    <w:rsid w:val="001532EF"/>
    <w:rsid w:val="00153516"/>
    <w:rsid w:val="001536BD"/>
    <w:rsid w:val="001537A2"/>
    <w:rsid w:val="0015382A"/>
    <w:rsid w:val="00153AFB"/>
    <w:rsid w:val="00153DAE"/>
    <w:rsid w:val="00153E88"/>
    <w:rsid w:val="0015422D"/>
    <w:rsid w:val="001542C1"/>
    <w:rsid w:val="001543DF"/>
    <w:rsid w:val="0015448A"/>
    <w:rsid w:val="001546C7"/>
    <w:rsid w:val="001547DD"/>
    <w:rsid w:val="00154D01"/>
    <w:rsid w:val="00154EC4"/>
    <w:rsid w:val="00154FD2"/>
    <w:rsid w:val="0015508B"/>
    <w:rsid w:val="001550CD"/>
    <w:rsid w:val="00155249"/>
    <w:rsid w:val="001552A4"/>
    <w:rsid w:val="0015533B"/>
    <w:rsid w:val="00155611"/>
    <w:rsid w:val="0015572B"/>
    <w:rsid w:val="001558F4"/>
    <w:rsid w:val="00155AF6"/>
    <w:rsid w:val="001561A0"/>
    <w:rsid w:val="00156371"/>
    <w:rsid w:val="001567B2"/>
    <w:rsid w:val="00156ACB"/>
    <w:rsid w:val="00156E39"/>
    <w:rsid w:val="00156F11"/>
    <w:rsid w:val="0015719F"/>
    <w:rsid w:val="0015727F"/>
    <w:rsid w:val="0015735A"/>
    <w:rsid w:val="0015739D"/>
    <w:rsid w:val="0015750F"/>
    <w:rsid w:val="001578CC"/>
    <w:rsid w:val="00157A0D"/>
    <w:rsid w:val="00157E3F"/>
    <w:rsid w:val="00157F83"/>
    <w:rsid w:val="001600E7"/>
    <w:rsid w:val="001601D8"/>
    <w:rsid w:val="00160202"/>
    <w:rsid w:val="00160280"/>
    <w:rsid w:val="00160742"/>
    <w:rsid w:val="00160795"/>
    <w:rsid w:val="00160810"/>
    <w:rsid w:val="0016084B"/>
    <w:rsid w:val="00160939"/>
    <w:rsid w:val="00160CBE"/>
    <w:rsid w:val="00160E61"/>
    <w:rsid w:val="00160E79"/>
    <w:rsid w:val="00160FF2"/>
    <w:rsid w:val="001610B0"/>
    <w:rsid w:val="001613EC"/>
    <w:rsid w:val="001614F3"/>
    <w:rsid w:val="0016162D"/>
    <w:rsid w:val="001617DF"/>
    <w:rsid w:val="00161C49"/>
    <w:rsid w:val="00161C7F"/>
    <w:rsid w:val="00161D33"/>
    <w:rsid w:val="00161D95"/>
    <w:rsid w:val="00161F11"/>
    <w:rsid w:val="00161F1C"/>
    <w:rsid w:val="001623A6"/>
    <w:rsid w:val="001625E6"/>
    <w:rsid w:val="00162D67"/>
    <w:rsid w:val="00162E34"/>
    <w:rsid w:val="0016310D"/>
    <w:rsid w:val="00163244"/>
    <w:rsid w:val="001635C6"/>
    <w:rsid w:val="00163675"/>
    <w:rsid w:val="00163860"/>
    <w:rsid w:val="00163D0D"/>
    <w:rsid w:val="00163D1D"/>
    <w:rsid w:val="0016409F"/>
    <w:rsid w:val="0016443F"/>
    <w:rsid w:val="001644CE"/>
    <w:rsid w:val="00164553"/>
    <w:rsid w:val="001645AC"/>
    <w:rsid w:val="001645E3"/>
    <w:rsid w:val="001646AB"/>
    <w:rsid w:val="001648B3"/>
    <w:rsid w:val="001648D7"/>
    <w:rsid w:val="00164C46"/>
    <w:rsid w:val="00164C52"/>
    <w:rsid w:val="00164CFA"/>
    <w:rsid w:val="00164D2D"/>
    <w:rsid w:val="001650D6"/>
    <w:rsid w:val="001651F4"/>
    <w:rsid w:val="001652E2"/>
    <w:rsid w:val="0016541C"/>
    <w:rsid w:val="00165469"/>
    <w:rsid w:val="0016562F"/>
    <w:rsid w:val="0016595E"/>
    <w:rsid w:val="00165964"/>
    <w:rsid w:val="00165A09"/>
    <w:rsid w:val="00165B0D"/>
    <w:rsid w:val="00165F4A"/>
    <w:rsid w:val="001662DB"/>
    <w:rsid w:val="00166318"/>
    <w:rsid w:val="0016649A"/>
    <w:rsid w:val="00166B86"/>
    <w:rsid w:val="00166CF9"/>
    <w:rsid w:val="00167511"/>
    <w:rsid w:val="00167537"/>
    <w:rsid w:val="00167552"/>
    <w:rsid w:val="00167813"/>
    <w:rsid w:val="001678F4"/>
    <w:rsid w:val="001678FE"/>
    <w:rsid w:val="00167C83"/>
    <w:rsid w:val="00167DD1"/>
    <w:rsid w:val="00167E62"/>
    <w:rsid w:val="00167E9D"/>
    <w:rsid w:val="001701F4"/>
    <w:rsid w:val="00170597"/>
    <w:rsid w:val="00170604"/>
    <w:rsid w:val="00170621"/>
    <w:rsid w:val="0017075F"/>
    <w:rsid w:val="00170913"/>
    <w:rsid w:val="00170A62"/>
    <w:rsid w:val="00170D2B"/>
    <w:rsid w:val="00170F4B"/>
    <w:rsid w:val="001713E2"/>
    <w:rsid w:val="00171635"/>
    <w:rsid w:val="001717A5"/>
    <w:rsid w:val="001718CB"/>
    <w:rsid w:val="00171900"/>
    <w:rsid w:val="001719FD"/>
    <w:rsid w:val="00171B0E"/>
    <w:rsid w:val="00171B3F"/>
    <w:rsid w:val="00171BD9"/>
    <w:rsid w:val="00171C33"/>
    <w:rsid w:val="00171D1A"/>
    <w:rsid w:val="00171D23"/>
    <w:rsid w:val="00171EEA"/>
    <w:rsid w:val="00171F56"/>
    <w:rsid w:val="00171FF8"/>
    <w:rsid w:val="001720E2"/>
    <w:rsid w:val="0017219A"/>
    <w:rsid w:val="00172298"/>
    <w:rsid w:val="00172604"/>
    <w:rsid w:val="00172611"/>
    <w:rsid w:val="0017273A"/>
    <w:rsid w:val="00172810"/>
    <w:rsid w:val="00172938"/>
    <w:rsid w:val="00172BF1"/>
    <w:rsid w:val="00172C26"/>
    <w:rsid w:val="00172C70"/>
    <w:rsid w:val="00172DCA"/>
    <w:rsid w:val="00172DF4"/>
    <w:rsid w:val="0017310B"/>
    <w:rsid w:val="001734A7"/>
    <w:rsid w:val="001734C0"/>
    <w:rsid w:val="00173548"/>
    <w:rsid w:val="00173649"/>
    <w:rsid w:val="001738EF"/>
    <w:rsid w:val="00173960"/>
    <w:rsid w:val="00173965"/>
    <w:rsid w:val="00173D29"/>
    <w:rsid w:val="00173E93"/>
    <w:rsid w:val="0017405A"/>
    <w:rsid w:val="0017464E"/>
    <w:rsid w:val="001746AA"/>
    <w:rsid w:val="001750A0"/>
    <w:rsid w:val="001750F2"/>
    <w:rsid w:val="00175188"/>
    <w:rsid w:val="0017564B"/>
    <w:rsid w:val="0017575E"/>
    <w:rsid w:val="001758A7"/>
    <w:rsid w:val="00175A49"/>
    <w:rsid w:val="00175A67"/>
    <w:rsid w:val="00175C55"/>
    <w:rsid w:val="00175D28"/>
    <w:rsid w:val="00175ECA"/>
    <w:rsid w:val="001760F8"/>
    <w:rsid w:val="001761D2"/>
    <w:rsid w:val="001762B2"/>
    <w:rsid w:val="0017644C"/>
    <w:rsid w:val="001764B4"/>
    <w:rsid w:val="0017681B"/>
    <w:rsid w:val="0017694F"/>
    <w:rsid w:val="0017696D"/>
    <w:rsid w:val="00176B61"/>
    <w:rsid w:val="00176B74"/>
    <w:rsid w:val="00176D9D"/>
    <w:rsid w:val="00176DCC"/>
    <w:rsid w:val="00176EF4"/>
    <w:rsid w:val="001770A8"/>
    <w:rsid w:val="0017731E"/>
    <w:rsid w:val="001776D7"/>
    <w:rsid w:val="0017783E"/>
    <w:rsid w:val="00177973"/>
    <w:rsid w:val="00177AC6"/>
    <w:rsid w:val="00177BA1"/>
    <w:rsid w:val="00177BF4"/>
    <w:rsid w:val="00177C62"/>
    <w:rsid w:val="00177E9E"/>
    <w:rsid w:val="001803D5"/>
    <w:rsid w:val="00180546"/>
    <w:rsid w:val="0018094E"/>
    <w:rsid w:val="00180976"/>
    <w:rsid w:val="00180985"/>
    <w:rsid w:val="00180AF4"/>
    <w:rsid w:val="00180BA8"/>
    <w:rsid w:val="00180F3C"/>
    <w:rsid w:val="0018115D"/>
    <w:rsid w:val="00181212"/>
    <w:rsid w:val="0018122A"/>
    <w:rsid w:val="001814ED"/>
    <w:rsid w:val="001817FA"/>
    <w:rsid w:val="00181844"/>
    <w:rsid w:val="001818DF"/>
    <w:rsid w:val="00181CCE"/>
    <w:rsid w:val="00182082"/>
    <w:rsid w:val="0018220B"/>
    <w:rsid w:val="001824B8"/>
    <w:rsid w:val="00182681"/>
    <w:rsid w:val="001827E1"/>
    <w:rsid w:val="001828B5"/>
    <w:rsid w:val="001828F2"/>
    <w:rsid w:val="00182BA0"/>
    <w:rsid w:val="0018344A"/>
    <w:rsid w:val="00183708"/>
    <w:rsid w:val="00183841"/>
    <w:rsid w:val="00183861"/>
    <w:rsid w:val="00183871"/>
    <w:rsid w:val="00183BD0"/>
    <w:rsid w:val="00183CB8"/>
    <w:rsid w:val="00183E29"/>
    <w:rsid w:val="00183F4B"/>
    <w:rsid w:val="001840D0"/>
    <w:rsid w:val="001840F3"/>
    <w:rsid w:val="0018418F"/>
    <w:rsid w:val="0018423A"/>
    <w:rsid w:val="001843C2"/>
    <w:rsid w:val="00184462"/>
    <w:rsid w:val="00184510"/>
    <w:rsid w:val="001845DC"/>
    <w:rsid w:val="00184637"/>
    <w:rsid w:val="001846F5"/>
    <w:rsid w:val="00184951"/>
    <w:rsid w:val="00184B3C"/>
    <w:rsid w:val="00184CD4"/>
    <w:rsid w:val="00184D4D"/>
    <w:rsid w:val="00184F06"/>
    <w:rsid w:val="00185002"/>
    <w:rsid w:val="001857D5"/>
    <w:rsid w:val="001858A4"/>
    <w:rsid w:val="00185CEF"/>
    <w:rsid w:val="00185F2E"/>
    <w:rsid w:val="0018623D"/>
    <w:rsid w:val="00186878"/>
    <w:rsid w:val="001868D6"/>
    <w:rsid w:val="00186A5E"/>
    <w:rsid w:val="00186AB7"/>
    <w:rsid w:val="00186B9B"/>
    <w:rsid w:val="00186C78"/>
    <w:rsid w:val="00186DAB"/>
    <w:rsid w:val="0018703B"/>
    <w:rsid w:val="001870C7"/>
    <w:rsid w:val="0018716D"/>
    <w:rsid w:val="0018746E"/>
    <w:rsid w:val="00187883"/>
    <w:rsid w:val="001878EA"/>
    <w:rsid w:val="001879CE"/>
    <w:rsid w:val="00187A4F"/>
    <w:rsid w:val="00187F69"/>
    <w:rsid w:val="00187F84"/>
    <w:rsid w:val="0019037A"/>
    <w:rsid w:val="0019069D"/>
    <w:rsid w:val="00190895"/>
    <w:rsid w:val="00190AB5"/>
    <w:rsid w:val="00190DAE"/>
    <w:rsid w:val="00190EC3"/>
    <w:rsid w:val="00190F25"/>
    <w:rsid w:val="0019120E"/>
    <w:rsid w:val="00191755"/>
    <w:rsid w:val="0019184E"/>
    <w:rsid w:val="00191856"/>
    <w:rsid w:val="00191906"/>
    <w:rsid w:val="0019196B"/>
    <w:rsid w:val="00191991"/>
    <w:rsid w:val="00192004"/>
    <w:rsid w:val="0019257C"/>
    <w:rsid w:val="00192586"/>
    <w:rsid w:val="001927AB"/>
    <w:rsid w:val="001927F3"/>
    <w:rsid w:val="00192A11"/>
    <w:rsid w:val="00192A64"/>
    <w:rsid w:val="00192C3B"/>
    <w:rsid w:val="00192D7B"/>
    <w:rsid w:val="00192E09"/>
    <w:rsid w:val="00192F23"/>
    <w:rsid w:val="00193073"/>
    <w:rsid w:val="00193207"/>
    <w:rsid w:val="001933D2"/>
    <w:rsid w:val="001935C7"/>
    <w:rsid w:val="00193737"/>
    <w:rsid w:val="0019380F"/>
    <w:rsid w:val="001938D0"/>
    <w:rsid w:val="00193A0A"/>
    <w:rsid w:val="00193A33"/>
    <w:rsid w:val="00193AB2"/>
    <w:rsid w:val="00193D40"/>
    <w:rsid w:val="001942BE"/>
    <w:rsid w:val="00194541"/>
    <w:rsid w:val="001947F4"/>
    <w:rsid w:val="0019490E"/>
    <w:rsid w:val="00194923"/>
    <w:rsid w:val="00194956"/>
    <w:rsid w:val="001949D8"/>
    <w:rsid w:val="00194BDB"/>
    <w:rsid w:val="00194E13"/>
    <w:rsid w:val="001950F2"/>
    <w:rsid w:val="00195131"/>
    <w:rsid w:val="0019530B"/>
    <w:rsid w:val="00195795"/>
    <w:rsid w:val="001958EB"/>
    <w:rsid w:val="001959C8"/>
    <w:rsid w:val="00195A6E"/>
    <w:rsid w:val="00195B73"/>
    <w:rsid w:val="00195DF4"/>
    <w:rsid w:val="00196325"/>
    <w:rsid w:val="001963E6"/>
    <w:rsid w:val="00196540"/>
    <w:rsid w:val="00196D5F"/>
    <w:rsid w:val="0019700E"/>
    <w:rsid w:val="0019707E"/>
    <w:rsid w:val="001971E5"/>
    <w:rsid w:val="0019721F"/>
    <w:rsid w:val="001974B2"/>
    <w:rsid w:val="00197556"/>
    <w:rsid w:val="0019761F"/>
    <w:rsid w:val="0019781F"/>
    <w:rsid w:val="00197A04"/>
    <w:rsid w:val="00197A06"/>
    <w:rsid w:val="00197B28"/>
    <w:rsid w:val="00197E39"/>
    <w:rsid w:val="00197E72"/>
    <w:rsid w:val="00197EE5"/>
    <w:rsid w:val="001A0139"/>
    <w:rsid w:val="001A0360"/>
    <w:rsid w:val="001A03D1"/>
    <w:rsid w:val="001A03E9"/>
    <w:rsid w:val="001A0B20"/>
    <w:rsid w:val="001A0BA2"/>
    <w:rsid w:val="001A0C24"/>
    <w:rsid w:val="001A0C5D"/>
    <w:rsid w:val="001A0C64"/>
    <w:rsid w:val="001A0CFC"/>
    <w:rsid w:val="001A0F1E"/>
    <w:rsid w:val="001A0F1F"/>
    <w:rsid w:val="001A12D9"/>
    <w:rsid w:val="001A1527"/>
    <w:rsid w:val="001A15DB"/>
    <w:rsid w:val="001A1795"/>
    <w:rsid w:val="001A190E"/>
    <w:rsid w:val="001A1A93"/>
    <w:rsid w:val="001A1BD3"/>
    <w:rsid w:val="001A1C3F"/>
    <w:rsid w:val="001A1DEE"/>
    <w:rsid w:val="001A1F88"/>
    <w:rsid w:val="001A210C"/>
    <w:rsid w:val="001A2163"/>
    <w:rsid w:val="001A21DB"/>
    <w:rsid w:val="001A2532"/>
    <w:rsid w:val="001A272F"/>
    <w:rsid w:val="001A2886"/>
    <w:rsid w:val="001A28DB"/>
    <w:rsid w:val="001A29ED"/>
    <w:rsid w:val="001A2E6E"/>
    <w:rsid w:val="001A2FB1"/>
    <w:rsid w:val="001A2FF6"/>
    <w:rsid w:val="001A3095"/>
    <w:rsid w:val="001A3275"/>
    <w:rsid w:val="001A32BF"/>
    <w:rsid w:val="001A335E"/>
    <w:rsid w:val="001A3616"/>
    <w:rsid w:val="001A3730"/>
    <w:rsid w:val="001A3877"/>
    <w:rsid w:val="001A3BA0"/>
    <w:rsid w:val="001A3BB2"/>
    <w:rsid w:val="001A3C77"/>
    <w:rsid w:val="001A3E5B"/>
    <w:rsid w:val="001A3F5B"/>
    <w:rsid w:val="001A3FCA"/>
    <w:rsid w:val="001A40ED"/>
    <w:rsid w:val="001A42AC"/>
    <w:rsid w:val="001A42FB"/>
    <w:rsid w:val="001A43C4"/>
    <w:rsid w:val="001A4402"/>
    <w:rsid w:val="001A4413"/>
    <w:rsid w:val="001A487D"/>
    <w:rsid w:val="001A4C8C"/>
    <w:rsid w:val="001A4F0F"/>
    <w:rsid w:val="001A50AC"/>
    <w:rsid w:val="001A521F"/>
    <w:rsid w:val="001A52BD"/>
    <w:rsid w:val="001A5484"/>
    <w:rsid w:val="001A54F4"/>
    <w:rsid w:val="001A550D"/>
    <w:rsid w:val="001A559B"/>
    <w:rsid w:val="001A55E4"/>
    <w:rsid w:val="001A5767"/>
    <w:rsid w:val="001A5944"/>
    <w:rsid w:val="001A5A0A"/>
    <w:rsid w:val="001A5B99"/>
    <w:rsid w:val="001A5C10"/>
    <w:rsid w:val="001A5F90"/>
    <w:rsid w:val="001A6179"/>
    <w:rsid w:val="001A6255"/>
    <w:rsid w:val="001A638A"/>
    <w:rsid w:val="001A6469"/>
    <w:rsid w:val="001A64D7"/>
    <w:rsid w:val="001A660D"/>
    <w:rsid w:val="001A68BF"/>
    <w:rsid w:val="001A6B50"/>
    <w:rsid w:val="001A6CC0"/>
    <w:rsid w:val="001A70A5"/>
    <w:rsid w:val="001A782C"/>
    <w:rsid w:val="001A7837"/>
    <w:rsid w:val="001A7AB4"/>
    <w:rsid w:val="001A7C06"/>
    <w:rsid w:val="001A7EAD"/>
    <w:rsid w:val="001B003C"/>
    <w:rsid w:val="001B007A"/>
    <w:rsid w:val="001B019A"/>
    <w:rsid w:val="001B01D7"/>
    <w:rsid w:val="001B02E0"/>
    <w:rsid w:val="001B0588"/>
    <w:rsid w:val="001B079A"/>
    <w:rsid w:val="001B07BD"/>
    <w:rsid w:val="001B0891"/>
    <w:rsid w:val="001B09F6"/>
    <w:rsid w:val="001B0A05"/>
    <w:rsid w:val="001B0A86"/>
    <w:rsid w:val="001B0BA1"/>
    <w:rsid w:val="001B0C98"/>
    <w:rsid w:val="001B0E4C"/>
    <w:rsid w:val="001B0E93"/>
    <w:rsid w:val="001B0F63"/>
    <w:rsid w:val="001B0F89"/>
    <w:rsid w:val="001B11C3"/>
    <w:rsid w:val="001B1473"/>
    <w:rsid w:val="001B1480"/>
    <w:rsid w:val="001B15C1"/>
    <w:rsid w:val="001B15D8"/>
    <w:rsid w:val="001B16BB"/>
    <w:rsid w:val="001B1913"/>
    <w:rsid w:val="001B1918"/>
    <w:rsid w:val="001B1B57"/>
    <w:rsid w:val="001B2106"/>
    <w:rsid w:val="001B222C"/>
    <w:rsid w:val="001B2467"/>
    <w:rsid w:val="001B2473"/>
    <w:rsid w:val="001B2497"/>
    <w:rsid w:val="001B25CD"/>
    <w:rsid w:val="001B2968"/>
    <w:rsid w:val="001B2B97"/>
    <w:rsid w:val="001B2CD1"/>
    <w:rsid w:val="001B304F"/>
    <w:rsid w:val="001B30B1"/>
    <w:rsid w:val="001B30E9"/>
    <w:rsid w:val="001B323C"/>
    <w:rsid w:val="001B3726"/>
    <w:rsid w:val="001B37D0"/>
    <w:rsid w:val="001B398B"/>
    <w:rsid w:val="001B3CA1"/>
    <w:rsid w:val="001B3D02"/>
    <w:rsid w:val="001B3DB8"/>
    <w:rsid w:val="001B3F38"/>
    <w:rsid w:val="001B42B4"/>
    <w:rsid w:val="001B42C7"/>
    <w:rsid w:val="001B44CA"/>
    <w:rsid w:val="001B4590"/>
    <w:rsid w:val="001B471A"/>
    <w:rsid w:val="001B4872"/>
    <w:rsid w:val="001B4B8C"/>
    <w:rsid w:val="001B4C41"/>
    <w:rsid w:val="001B4C69"/>
    <w:rsid w:val="001B4DC5"/>
    <w:rsid w:val="001B4DF7"/>
    <w:rsid w:val="001B4EA4"/>
    <w:rsid w:val="001B4F12"/>
    <w:rsid w:val="001B51A7"/>
    <w:rsid w:val="001B56D9"/>
    <w:rsid w:val="001B5726"/>
    <w:rsid w:val="001B5788"/>
    <w:rsid w:val="001B598F"/>
    <w:rsid w:val="001B59BC"/>
    <w:rsid w:val="001B5DD7"/>
    <w:rsid w:val="001B6738"/>
    <w:rsid w:val="001B6A4D"/>
    <w:rsid w:val="001B6BF5"/>
    <w:rsid w:val="001B6F20"/>
    <w:rsid w:val="001B7151"/>
    <w:rsid w:val="001B729B"/>
    <w:rsid w:val="001B7319"/>
    <w:rsid w:val="001B73D7"/>
    <w:rsid w:val="001B766D"/>
    <w:rsid w:val="001B77A5"/>
    <w:rsid w:val="001B78F2"/>
    <w:rsid w:val="001B7A50"/>
    <w:rsid w:val="001B7B92"/>
    <w:rsid w:val="001B7CB6"/>
    <w:rsid w:val="001B7D9E"/>
    <w:rsid w:val="001C0050"/>
    <w:rsid w:val="001C04D5"/>
    <w:rsid w:val="001C04E5"/>
    <w:rsid w:val="001C06BA"/>
    <w:rsid w:val="001C08FB"/>
    <w:rsid w:val="001C0940"/>
    <w:rsid w:val="001C0A63"/>
    <w:rsid w:val="001C0B33"/>
    <w:rsid w:val="001C0E83"/>
    <w:rsid w:val="001C0EDF"/>
    <w:rsid w:val="001C0FAD"/>
    <w:rsid w:val="001C0FB2"/>
    <w:rsid w:val="001C0FDC"/>
    <w:rsid w:val="001C118F"/>
    <w:rsid w:val="001C124A"/>
    <w:rsid w:val="001C16FA"/>
    <w:rsid w:val="001C1FEA"/>
    <w:rsid w:val="001C203A"/>
    <w:rsid w:val="001C22BD"/>
    <w:rsid w:val="001C24D8"/>
    <w:rsid w:val="001C254B"/>
    <w:rsid w:val="001C26CA"/>
    <w:rsid w:val="001C2726"/>
    <w:rsid w:val="001C273F"/>
    <w:rsid w:val="001C29F0"/>
    <w:rsid w:val="001C2DA9"/>
    <w:rsid w:val="001C2E7C"/>
    <w:rsid w:val="001C2EEA"/>
    <w:rsid w:val="001C3216"/>
    <w:rsid w:val="001C3225"/>
    <w:rsid w:val="001C32CA"/>
    <w:rsid w:val="001C3319"/>
    <w:rsid w:val="001C3329"/>
    <w:rsid w:val="001C3365"/>
    <w:rsid w:val="001C3570"/>
    <w:rsid w:val="001C3842"/>
    <w:rsid w:val="001C3C45"/>
    <w:rsid w:val="001C3D58"/>
    <w:rsid w:val="001C3FEE"/>
    <w:rsid w:val="001C42E6"/>
    <w:rsid w:val="001C449F"/>
    <w:rsid w:val="001C4619"/>
    <w:rsid w:val="001C46EF"/>
    <w:rsid w:val="001C4A92"/>
    <w:rsid w:val="001C4B06"/>
    <w:rsid w:val="001C50A3"/>
    <w:rsid w:val="001C5257"/>
    <w:rsid w:val="001C5365"/>
    <w:rsid w:val="001C53A5"/>
    <w:rsid w:val="001C55CA"/>
    <w:rsid w:val="001C5619"/>
    <w:rsid w:val="001C583F"/>
    <w:rsid w:val="001C5DB1"/>
    <w:rsid w:val="001C5EDC"/>
    <w:rsid w:val="001C631B"/>
    <w:rsid w:val="001C63CD"/>
    <w:rsid w:val="001C6480"/>
    <w:rsid w:val="001C66D3"/>
    <w:rsid w:val="001C6799"/>
    <w:rsid w:val="001C689E"/>
    <w:rsid w:val="001C689F"/>
    <w:rsid w:val="001C6A79"/>
    <w:rsid w:val="001C6B2F"/>
    <w:rsid w:val="001C6BC8"/>
    <w:rsid w:val="001C6C52"/>
    <w:rsid w:val="001C6ECA"/>
    <w:rsid w:val="001C7048"/>
    <w:rsid w:val="001C728D"/>
    <w:rsid w:val="001C732F"/>
    <w:rsid w:val="001C7512"/>
    <w:rsid w:val="001C7642"/>
    <w:rsid w:val="001C78F3"/>
    <w:rsid w:val="001C7F51"/>
    <w:rsid w:val="001C7F9B"/>
    <w:rsid w:val="001C7FFC"/>
    <w:rsid w:val="001D0043"/>
    <w:rsid w:val="001D0456"/>
    <w:rsid w:val="001D0666"/>
    <w:rsid w:val="001D0925"/>
    <w:rsid w:val="001D0B18"/>
    <w:rsid w:val="001D0C7D"/>
    <w:rsid w:val="001D0DCC"/>
    <w:rsid w:val="001D0E54"/>
    <w:rsid w:val="001D0E95"/>
    <w:rsid w:val="001D0F1B"/>
    <w:rsid w:val="001D0FE8"/>
    <w:rsid w:val="001D1065"/>
    <w:rsid w:val="001D10A3"/>
    <w:rsid w:val="001D1171"/>
    <w:rsid w:val="001D134D"/>
    <w:rsid w:val="001D1362"/>
    <w:rsid w:val="001D13E6"/>
    <w:rsid w:val="001D13FF"/>
    <w:rsid w:val="001D1463"/>
    <w:rsid w:val="001D14C3"/>
    <w:rsid w:val="001D15C1"/>
    <w:rsid w:val="001D171D"/>
    <w:rsid w:val="001D184B"/>
    <w:rsid w:val="001D18D3"/>
    <w:rsid w:val="001D1A46"/>
    <w:rsid w:val="001D1F4A"/>
    <w:rsid w:val="001D1F4D"/>
    <w:rsid w:val="001D2066"/>
    <w:rsid w:val="001D236C"/>
    <w:rsid w:val="001D2599"/>
    <w:rsid w:val="001D280D"/>
    <w:rsid w:val="001D2861"/>
    <w:rsid w:val="001D30CA"/>
    <w:rsid w:val="001D3222"/>
    <w:rsid w:val="001D35F3"/>
    <w:rsid w:val="001D361E"/>
    <w:rsid w:val="001D3812"/>
    <w:rsid w:val="001D3BE9"/>
    <w:rsid w:val="001D3FAD"/>
    <w:rsid w:val="001D4074"/>
    <w:rsid w:val="001D40B3"/>
    <w:rsid w:val="001D40E3"/>
    <w:rsid w:val="001D4317"/>
    <w:rsid w:val="001D4478"/>
    <w:rsid w:val="001D448D"/>
    <w:rsid w:val="001D458B"/>
    <w:rsid w:val="001D479E"/>
    <w:rsid w:val="001D47E2"/>
    <w:rsid w:val="001D4870"/>
    <w:rsid w:val="001D49D7"/>
    <w:rsid w:val="001D4E6F"/>
    <w:rsid w:val="001D4FA5"/>
    <w:rsid w:val="001D5032"/>
    <w:rsid w:val="001D50E5"/>
    <w:rsid w:val="001D512D"/>
    <w:rsid w:val="001D55C2"/>
    <w:rsid w:val="001D56C0"/>
    <w:rsid w:val="001D573E"/>
    <w:rsid w:val="001D57C7"/>
    <w:rsid w:val="001D5902"/>
    <w:rsid w:val="001D5AD2"/>
    <w:rsid w:val="001D5C96"/>
    <w:rsid w:val="001D616B"/>
    <w:rsid w:val="001D6343"/>
    <w:rsid w:val="001D6428"/>
    <w:rsid w:val="001D6696"/>
    <w:rsid w:val="001D6A54"/>
    <w:rsid w:val="001D6B9A"/>
    <w:rsid w:val="001D6D75"/>
    <w:rsid w:val="001D6F50"/>
    <w:rsid w:val="001D6F6F"/>
    <w:rsid w:val="001D6F8E"/>
    <w:rsid w:val="001D7138"/>
    <w:rsid w:val="001D7168"/>
    <w:rsid w:val="001D734B"/>
    <w:rsid w:val="001D76EE"/>
    <w:rsid w:val="001D789D"/>
    <w:rsid w:val="001D7ABB"/>
    <w:rsid w:val="001D7D33"/>
    <w:rsid w:val="001D7DDC"/>
    <w:rsid w:val="001D7EAE"/>
    <w:rsid w:val="001E005C"/>
    <w:rsid w:val="001E006A"/>
    <w:rsid w:val="001E01B3"/>
    <w:rsid w:val="001E0249"/>
    <w:rsid w:val="001E04B1"/>
    <w:rsid w:val="001E0725"/>
    <w:rsid w:val="001E07DC"/>
    <w:rsid w:val="001E0CEB"/>
    <w:rsid w:val="001E0DB7"/>
    <w:rsid w:val="001E11F9"/>
    <w:rsid w:val="001E145B"/>
    <w:rsid w:val="001E1557"/>
    <w:rsid w:val="001E15F1"/>
    <w:rsid w:val="001E17E4"/>
    <w:rsid w:val="001E1864"/>
    <w:rsid w:val="001E18D4"/>
    <w:rsid w:val="001E19D7"/>
    <w:rsid w:val="001E1B1F"/>
    <w:rsid w:val="001E1BBD"/>
    <w:rsid w:val="001E1C99"/>
    <w:rsid w:val="001E1CB8"/>
    <w:rsid w:val="001E23CE"/>
    <w:rsid w:val="001E24AC"/>
    <w:rsid w:val="001E250A"/>
    <w:rsid w:val="001E2603"/>
    <w:rsid w:val="001E26F3"/>
    <w:rsid w:val="001E27C4"/>
    <w:rsid w:val="001E2A26"/>
    <w:rsid w:val="001E30E5"/>
    <w:rsid w:val="001E3373"/>
    <w:rsid w:val="001E3378"/>
    <w:rsid w:val="001E34D1"/>
    <w:rsid w:val="001E3538"/>
    <w:rsid w:val="001E3743"/>
    <w:rsid w:val="001E37D7"/>
    <w:rsid w:val="001E388B"/>
    <w:rsid w:val="001E39B5"/>
    <w:rsid w:val="001E39E0"/>
    <w:rsid w:val="001E3A84"/>
    <w:rsid w:val="001E3FCE"/>
    <w:rsid w:val="001E4088"/>
    <w:rsid w:val="001E45A9"/>
    <w:rsid w:val="001E45F8"/>
    <w:rsid w:val="001E4910"/>
    <w:rsid w:val="001E4A35"/>
    <w:rsid w:val="001E4A40"/>
    <w:rsid w:val="001E4B11"/>
    <w:rsid w:val="001E4BA6"/>
    <w:rsid w:val="001E4D33"/>
    <w:rsid w:val="001E4D7F"/>
    <w:rsid w:val="001E4DFB"/>
    <w:rsid w:val="001E50A8"/>
    <w:rsid w:val="001E510F"/>
    <w:rsid w:val="001E5573"/>
    <w:rsid w:val="001E5B67"/>
    <w:rsid w:val="001E5BE7"/>
    <w:rsid w:val="001E5CD3"/>
    <w:rsid w:val="001E5E35"/>
    <w:rsid w:val="001E5E50"/>
    <w:rsid w:val="001E5ECF"/>
    <w:rsid w:val="001E5F02"/>
    <w:rsid w:val="001E618D"/>
    <w:rsid w:val="001E61AE"/>
    <w:rsid w:val="001E61E6"/>
    <w:rsid w:val="001E61F6"/>
    <w:rsid w:val="001E6232"/>
    <w:rsid w:val="001E6373"/>
    <w:rsid w:val="001E6481"/>
    <w:rsid w:val="001E6573"/>
    <w:rsid w:val="001E6736"/>
    <w:rsid w:val="001E6B58"/>
    <w:rsid w:val="001E6C62"/>
    <w:rsid w:val="001E6E1C"/>
    <w:rsid w:val="001E7222"/>
    <w:rsid w:val="001E741D"/>
    <w:rsid w:val="001E7596"/>
    <w:rsid w:val="001E79D0"/>
    <w:rsid w:val="001E7BF6"/>
    <w:rsid w:val="001E7C12"/>
    <w:rsid w:val="001E7C80"/>
    <w:rsid w:val="001E7CBF"/>
    <w:rsid w:val="001E7CFB"/>
    <w:rsid w:val="001E7D66"/>
    <w:rsid w:val="001E7E4B"/>
    <w:rsid w:val="001E7EA2"/>
    <w:rsid w:val="001F0250"/>
    <w:rsid w:val="001F0341"/>
    <w:rsid w:val="001F0432"/>
    <w:rsid w:val="001F0635"/>
    <w:rsid w:val="001F0780"/>
    <w:rsid w:val="001F0842"/>
    <w:rsid w:val="001F0881"/>
    <w:rsid w:val="001F0A1E"/>
    <w:rsid w:val="001F0CBD"/>
    <w:rsid w:val="001F0FBA"/>
    <w:rsid w:val="001F1128"/>
    <w:rsid w:val="001F119C"/>
    <w:rsid w:val="001F1413"/>
    <w:rsid w:val="001F142E"/>
    <w:rsid w:val="001F14D2"/>
    <w:rsid w:val="001F154C"/>
    <w:rsid w:val="001F169D"/>
    <w:rsid w:val="001F1C34"/>
    <w:rsid w:val="001F1CB3"/>
    <w:rsid w:val="001F1CB6"/>
    <w:rsid w:val="001F1DAA"/>
    <w:rsid w:val="001F2127"/>
    <w:rsid w:val="001F24ED"/>
    <w:rsid w:val="001F2553"/>
    <w:rsid w:val="001F2580"/>
    <w:rsid w:val="001F2708"/>
    <w:rsid w:val="001F29CC"/>
    <w:rsid w:val="001F2E86"/>
    <w:rsid w:val="001F2EF8"/>
    <w:rsid w:val="001F2F56"/>
    <w:rsid w:val="001F3015"/>
    <w:rsid w:val="001F3067"/>
    <w:rsid w:val="001F31A8"/>
    <w:rsid w:val="001F357C"/>
    <w:rsid w:val="001F35E5"/>
    <w:rsid w:val="001F3C54"/>
    <w:rsid w:val="001F4265"/>
    <w:rsid w:val="001F46EE"/>
    <w:rsid w:val="001F4863"/>
    <w:rsid w:val="001F49C4"/>
    <w:rsid w:val="001F4C0B"/>
    <w:rsid w:val="001F4E4D"/>
    <w:rsid w:val="001F4F13"/>
    <w:rsid w:val="001F4FB1"/>
    <w:rsid w:val="001F4FCF"/>
    <w:rsid w:val="001F50DC"/>
    <w:rsid w:val="001F527D"/>
    <w:rsid w:val="001F5444"/>
    <w:rsid w:val="001F54D1"/>
    <w:rsid w:val="001F5643"/>
    <w:rsid w:val="001F5832"/>
    <w:rsid w:val="001F5913"/>
    <w:rsid w:val="001F5A4C"/>
    <w:rsid w:val="001F5C35"/>
    <w:rsid w:val="001F5E69"/>
    <w:rsid w:val="001F602D"/>
    <w:rsid w:val="001F6080"/>
    <w:rsid w:val="001F6242"/>
    <w:rsid w:val="001F63AB"/>
    <w:rsid w:val="001F6463"/>
    <w:rsid w:val="001F6612"/>
    <w:rsid w:val="001F6709"/>
    <w:rsid w:val="001F6A18"/>
    <w:rsid w:val="001F6AFF"/>
    <w:rsid w:val="001F6BC4"/>
    <w:rsid w:val="001F6C60"/>
    <w:rsid w:val="001F712D"/>
    <w:rsid w:val="001F7135"/>
    <w:rsid w:val="001F72E8"/>
    <w:rsid w:val="001F7378"/>
    <w:rsid w:val="001F73FC"/>
    <w:rsid w:val="001F78CA"/>
    <w:rsid w:val="001F7AC3"/>
    <w:rsid w:val="001F7BB9"/>
    <w:rsid w:val="001F7C17"/>
    <w:rsid w:val="001F7CB1"/>
    <w:rsid w:val="001F7DB8"/>
    <w:rsid w:val="001F7DD9"/>
    <w:rsid w:val="001F7EBC"/>
    <w:rsid w:val="00200086"/>
    <w:rsid w:val="002001B7"/>
    <w:rsid w:val="0020036A"/>
    <w:rsid w:val="002005A6"/>
    <w:rsid w:val="0020074C"/>
    <w:rsid w:val="00200872"/>
    <w:rsid w:val="00200B22"/>
    <w:rsid w:val="00200C50"/>
    <w:rsid w:val="00200D12"/>
    <w:rsid w:val="00200E1B"/>
    <w:rsid w:val="00200E55"/>
    <w:rsid w:val="00200F5B"/>
    <w:rsid w:val="00201253"/>
    <w:rsid w:val="00201269"/>
    <w:rsid w:val="00201273"/>
    <w:rsid w:val="002013F1"/>
    <w:rsid w:val="00201492"/>
    <w:rsid w:val="002017CE"/>
    <w:rsid w:val="00201ABF"/>
    <w:rsid w:val="00201B62"/>
    <w:rsid w:val="00201F13"/>
    <w:rsid w:val="00201FA5"/>
    <w:rsid w:val="002020A3"/>
    <w:rsid w:val="00202333"/>
    <w:rsid w:val="00202347"/>
    <w:rsid w:val="0020259C"/>
    <w:rsid w:val="00202746"/>
    <w:rsid w:val="00202A79"/>
    <w:rsid w:val="00202AB4"/>
    <w:rsid w:val="00202AE8"/>
    <w:rsid w:val="0020345C"/>
    <w:rsid w:val="0020358C"/>
    <w:rsid w:val="00203966"/>
    <w:rsid w:val="002039BF"/>
    <w:rsid w:val="002039F3"/>
    <w:rsid w:val="00203A33"/>
    <w:rsid w:val="00203A56"/>
    <w:rsid w:val="00203BB9"/>
    <w:rsid w:val="00203D67"/>
    <w:rsid w:val="00204023"/>
    <w:rsid w:val="002041A3"/>
    <w:rsid w:val="002043AB"/>
    <w:rsid w:val="002045B3"/>
    <w:rsid w:val="00204F31"/>
    <w:rsid w:val="0020501D"/>
    <w:rsid w:val="002051B9"/>
    <w:rsid w:val="00205752"/>
    <w:rsid w:val="002059A3"/>
    <w:rsid w:val="00205B83"/>
    <w:rsid w:val="00205D0B"/>
    <w:rsid w:val="00205F92"/>
    <w:rsid w:val="00206125"/>
    <w:rsid w:val="002061C4"/>
    <w:rsid w:val="0020629A"/>
    <w:rsid w:val="00206C7F"/>
    <w:rsid w:val="00206D2D"/>
    <w:rsid w:val="00206DAD"/>
    <w:rsid w:val="00206DD3"/>
    <w:rsid w:val="00206FF6"/>
    <w:rsid w:val="0020704D"/>
    <w:rsid w:val="00207163"/>
    <w:rsid w:val="002073E7"/>
    <w:rsid w:val="00207591"/>
    <w:rsid w:val="002076CF"/>
    <w:rsid w:val="00207821"/>
    <w:rsid w:val="00207B04"/>
    <w:rsid w:val="00207E0F"/>
    <w:rsid w:val="00207FF1"/>
    <w:rsid w:val="00210144"/>
    <w:rsid w:val="00210154"/>
    <w:rsid w:val="00210317"/>
    <w:rsid w:val="002103C7"/>
    <w:rsid w:val="002103DE"/>
    <w:rsid w:val="0021062F"/>
    <w:rsid w:val="002107AD"/>
    <w:rsid w:val="00210901"/>
    <w:rsid w:val="00210CE4"/>
    <w:rsid w:val="00210DF8"/>
    <w:rsid w:val="00210E85"/>
    <w:rsid w:val="00211147"/>
    <w:rsid w:val="00211306"/>
    <w:rsid w:val="002113D2"/>
    <w:rsid w:val="00211446"/>
    <w:rsid w:val="00211718"/>
    <w:rsid w:val="0021176C"/>
    <w:rsid w:val="002117A5"/>
    <w:rsid w:val="0021180A"/>
    <w:rsid w:val="00211B2A"/>
    <w:rsid w:val="00211DE4"/>
    <w:rsid w:val="00211E98"/>
    <w:rsid w:val="0021254D"/>
    <w:rsid w:val="00212585"/>
    <w:rsid w:val="002125D3"/>
    <w:rsid w:val="0021262F"/>
    <w:rsid w:val="00212722"/>
    <w:rsid w:val="00212725"/>
    <w:rsid w:val="002128D8"/>
    <w:rsid w:val="00212B2A"/>
    <w:rsid w:val="00212BA4"/>
    <w:rsid w:val="00212D6F"/>
    <w:rsid w:val="00212D76"/>
    <w:rsid w:val="00212EBE"/>
    <w:rsid w:val="0021316E"/>
    <w:rsid w:val="0021326F"/>
    <w:rsid w:val="00213512"/>
    <w:rsid w:val="00213712"/>
    <w:rsid w:val="002137C2"/>
    <w:rsid w:val="00213A9B"/>
    <w:rsid w:val="00213B12"/>
    <w:rsid w:val="00213E02"/>
    <w:rsid w:val="00213EF1"/>
    <w:rsid w:val="00213F2B"/>
    <w:rsid w:val="00214544"/>
    <w:rsid w:val="0021482D"/>
    <w:rsid w:val="00214867"/>
    <w:rsid w:val="00214E00"/>
    <w:rsid w:val="00214E17"/>
    <w:rsid w:val="00214EE7"/>
    <w:rsid w:val="00214F6E"/>
    <w:rsid w:val="002151A9"/>
    <w:rsid w:val="00215454"/>
    <w:rsid w:val="002156AD"/>
    <w:rsid w:val="002158D5"/>
    <w:rsid w:val="00215921"/>
    <w:rsid w:val="00215930"/>
    <w:rsid w:val="00215F0F"/>
    <w:rsid w:val="00215F84"/>
    <w:rsid w:val="00216012"/>
    <w:rsid w:val="0021662B"/>
    <w:rsid w:val="00216706"/>
    <w:rsid w:val="00216946"/>
    <w:rsid w:val="00216ACA"/>
    <w:rsid w:val="00216B8A"/>
    <w:rsid w:val="0021707B"/>
    <w:rsid w:val="0021714C"/>
    <w:rsid w:val="00217169"/>
    <w:rsid w:val="00217207"/>
    <w:rsid w:val="00217293"/>
    <w:rsid w:val="0021752A"/>
    <w:rsid w:val="002178AB"/>
    <w:rsid w:val="002178CC"/>
    <w:rsid w:val="00217A1F"/>
    <w:rsid w:val="00217C75"/>
    <w:rsid w:val="00217D8A"/>
    <w:rsid w:val="0022054A"/>
    <w:rsid w:val="00220568"/>
    <w:rsid w:val="00220827"/>
    <w:rsid w:val="00220980"/>
    <w:rsid w:val="00220A69"/>
    <w:rsid w:val="00220B8D"/>
    <w:rsid w:val="0022102C"/>
    <w:rsid w:val="002214B8"/>
    <w:rsid w:val="0022150C"/>
    <w:rsid w:val="00221634"/>
    <w:rsid w:val="002216F2"/>
    <w:rsid w:val="00221754"/>
    <w:rsid w:val="00221C2B"/>
    <w:rsid w:val="00221D36"/>
    <w:rsid w:val="00221DB0"/>
    <w:rsid w:val="00222122"/>
    <w:rsid w:val="00222573"/>
    <w:rsid w:val="00222678"/>
    <w:rsid w:val="0022289C"/>
    <w:rsid w:val="00222BF5"/>
    <w:rsid w:val="0022324C"/>
    <w:rsid w:val="0022332D"/>
    <w:rsid w:val="002235D4"/>
    <w:rsid w:val="00223864"/>
    <w:rsid w:val="0022396B"/>
    <w:rsid w:val="002239EB"/>
    <w:rsid w:val="00223D87"/>
    <w:rsid w:val="00224010"/>
    <w:rsid w:val="002241FF"/>
    <w:rsid w:val="002242F1"/>
    <w:rsid w:val="00224319"/>
    <w:rsid w:val="0022446A"/>
    <w:rsid w:val="00224510"/>
    <w:rsid w:val="002246B0"/>
    <w:rsid w:val="0022479D"/>
    <w:rsid w:val="00224BDD"/>
    <w:rsid w:val="00224DF2"/>
    <w:rsid w:val="00224EAF"/>
    <w:rsid w:val="00224EB9"/>
    <w:rsid w:val="00225168"/>
    <w:rsid w:val="002254D0"/>
    <w:rsid w:val="002255A2"/>
    <w:rsid w:val="00225697"/>
    <w:rsid w:val="00225C35"/>
    <w:rsid w:val="0022608B"/>
    <w:rsid w:val="002262A2"/>
    <w:rsid w:val="00226359"/>
    <w:rsid w:val="00226526"/>
    <w:rsid w:val="00226597"/>
    <w:rsid w:val="002267E1"/>
    <w:rsid w:val="0022681C"/>
    <w:rsid w:val="002268F4"/>
    <w:rsid w:val="0022691B"/>
    <w:rsid w:val="00226A3C"/>
    <w:rsid w:val="00226A84"/>
    <w:rsid w:val="00226CDF"/>
    <w:rsid w:val="00226F9F"/>
    <w:rsid w:val="002270AB"/>
    <w:rsid w:val="00227590"/>
    <w:rsid w:val="002276F8"/>
    <w:rsid w:val="00227716"/>
    <w:rsid w:val="002277E4"/>
    <w:rsid w:val="00227904"/>
    <w:rsid w:val="002279ED"/>
    <w:rsid w:val="00227C62"/>
    <w:rsid w:val="00227F3F"/>
    <w:rsid w:val="00230266"/>
    <w:rsid w:val="0023026B"/>
    <w:rsid w:val="002302CE"/>
    <w:rsid w:val="002302DC"/>
    <w:rsid w:val="002304D2"/>
    <w:rsid w:val="00230519"/>
    <w:rsid w:val="002309DD"/>
    <w:rsid w:val="00230CDD"/>
    <w:rsid w:val="00230D24"/>
    <w:rsid w:val="00230D74"/>
    <w:rsid w:val="00230F8B"/>
    <w:rsid w:val="00230F90"/>
    <w:rsid w:val="0023115D"/>
    <w:rsid w:val="0023115E"/>
    <w:rsid w:val="0023119E"/>
    <w:rsid w:val="00231769"/>
    <w:rsid w:val="0023179A"/>
    <w:rsid w:val="00231A04"/>
    <w:rsid w:val="00231DB3"/>
    <w:rsid w:val="00231F5E"/>
    <w:rsid w:val="002322D6"/>
    <w:rsid w:val="00232595"/>
    <w:rsid w:val="00232850"/>
    <w:rsid w:val="00232A0B"/>
    <w:rsid w:val="00232A85"/>
    <w:rsid w:val="00232AF7"/>
    <w:rsid w:val="00232B86"/>
    <w:rsid w:val="00232DA7"/>
    <w:rsid w:val="00232FA8"/>
    <w:rsid w:val="0023310E"/>
    <w:rsid w:val="00233154"/>
    <w:rsid w:val="0023353E"/>
    <w:rsid w:val="00233AF5"/>
    <w:rsid w:val="00233CAF"/>
    <w:rsid w:val="00234000"/>
    <w:rsid w:val="002340EE"/>
    <w:rsid w:val="00234446"/>
    <w:rsid w:val="00234656"/>
    <w:rsid w:val="0023465D"/>
    <w:rsid w:val="00234703"/>
    <w:rsid w:val="002347AE"/>
    <w:rsid w:val="00234B13"/>
    <w:rsid w:val="00234BE0"/>
    <w:rsid w:val="00234E24"/>
    <w:rsid w:val="002350C4"/>
    <w:rsid w:val="00235157"/>
    <w:rsid w:val="00235325"/>
    <w:rsid w:val="0023540D"/>
    <w:rsid w:val="00235451"/>
    <w:rsid w:val="0023547B"/>
    <w:rsid w:val="0023560A"/>
    <w:rsid w:val="0023588E"/>
    <w:rsid w:val="00235898"/>
    <w:rsid w:val="00235C26"/>
    <w:rsid w:val="00235C55"/>
    <w:rsid w:val="00235DB1"/>
    <w:rsid w:val="00235FB7"/>
    <w:rsid w:val="002360F1"/>
    <w:rsid w:val="00236294"/>
    <w:rsid w:val="002362DD"/>
    <w:rsid w:val="002362F8"/>
    <w:rsid w:val="002364B3"/>
    <w:rsid w:val="002364CF"/>
    <w:rsid w:val="002364DD"/>
    <w:rsid w:val="00236583"/>
    <w:rsid w:val="00236765"/>
    <w:rsid w:val="00236CDC"/>
    <w:rsid w:val="00236D19"/>
    <w:rsid w:val="00236DDA"/>
    <w:rsid w:val="00237466"/>
    <w:rsid w:val="002374CD"/>
    <w:rsid w:val="002375F8"/>
    <w:rsid w:val="0023772F"/>
    <w:rsid w:val="002377CF"/>
    <w:rsid w:val="002400A8"/>
    <w:rsid w:val="0024026B"/>
    <w:rsid w:val="002402DF"/>
    <w:rsid w:val="00240481"/>
    <w:rsid w:val="0024070D"/>
    <w:rsid w:val="00240B54"/>
    <w:rsid w:val="00240E98"/>
    <w:rsid w:val="00240FBC"/>
    <w:rsid w:val="00241176"/>
    <w:rsid w:val="00241315"/>
    <w:rsid w:val="0024176C"/>
    <w:rsid w:val="00241875"/>
    <w:rsid w:val="002418D0"/>
    <w:rsid w:val="00241ACC"/>
    <w:rsid w:val="00241B62"/>
    <w:rsid w:val="00241D33"/>
    <w:rsid w:val="00242286"/>
    <w:rsid w:val="002423D2"/>
    <w:rsid w:val="0024240E"/>
    <w:rsid w:val="0024277F"/>
    <w:rsid w:val="00242FBC"/>
    <w:rsid w:val="002430BD"/>
    <w:rsid w:val="002430C0"/>
    <w:rsid w:val="00243148"/>
    <w:rsid w:val="002434C1"/>
    <w:rsid w:val="002435BB"/>
    <w:rsid w:val="002435C5"/>
    <w:rsid w:val="00243757"/>
    <w:rsid w:val="002437B1"/>
    <w:rsid w:val="00243994"/>
    <w:rsid w:val="00243A8F"/>
    <w:rsid w:val="00243AA6"/>
    <w:rsid w:val="00243CA2"/>
    <w:rsid w:val="00243F4D"/>
    <w:rsid w:val="002440F5"/>
    <w:rsid w:val="002444C0"/>
    <w:rsid w:val="00244595"/>
    <w:rsid w:val="0024469B"/>
    <w:rsid w:val="002448DB"/>
    <w:rsid w:val="00244954"/>
    <w:rsid w:val="00244992"/>
    <w:rsid w:val="00244CD1"/>
    <w:rsid w:val="00244E2F"/>
    <w:rsid w:val="00245071"/>
    <w:rsid w:val="002451A6"/>
    <w:rsid w:val="002451CA"/>
    <w:rsid w:val="0024524A"/>
    <w:rsid w:val="00245426"/>
    <w:rsid w:val="00245535"/>
    <w:rsid w:val="002455EB"/>
    <w:rsid w:val="00245712"/>
    <w:rsid w:val="00245D6A"/>
    <w:rsid w:val="00245E35"/>
    <w:rsid w:val="00245F63"/>
    <w:rsid w:val="00246436"/>
    <w:rsid w:val="002465CF"/>
    <w:rsid w:val="002465DF"/>
    <w:rsid w:val="0024665E"/>
    <w:rsid w:val="00246804"/>
    <w:rsid w:val="00246A26"/>
    <w:rsid w:val="00246AAF"/>
    <w:rsid w:val="00246B01"/>
    <w:rsid w:val="00246BB4"/>
    <w:rsid w:val="00246D16"/>
    <w:rsid w:val="00246E12"/>
    <w:rsid w:val="002471F5"/>
    <w:rsid w:val="00247297"/>
    <w:rsid w:val="00247307"/>
    <w:rsid w:val="002473B4"/>
    <w:rsid w:val="002473FA"/>
    <w:rsid w:val="0024764B"/>
    <w:rsid w:val="00247B06"/>
    <w:rsid w:val="00247B45"/>
    <w:rsid w:val="00247CAD"/>
    <w:rsid w:val="00247D57"/>
    <w:rsid w:val="00250129"/>
    <w:rsid w:val="002501C0"/>
    <w:rsid w:val="002507F4"/>
    <w:rsid w:val="0025096A"/>
    <w:rsid w:val="00250B88"/>
    <w:rsid w:val="00250C40"/>
    <w:rsid w:val="00250CF9"/>
    <w:rsid w:val="00250EBC"/>
    <w:rsid w:val="00250ECB"/>
    <w:rsid w:val="00251013"/>
    <w:rsid w:val="00251087"/>
    <w:rsid w:val="002510F7"/>
    <w:rsid w:val="002513F3"/>
    <w:rsid w:val="00251565"/>
    <w:rsid w:val="0025197A"/>
    <w:rsid w:val="00251C89"/>
    <w:rsid w:val="00251D4C"/>
    <w:rsid w:val="00251E84"/>
    <w:rsid w:val="002524A0"/>
    <w:rsid w:val="002524AF"/>
    <w:rsid w:val="002524B6"/>
    <w:rsid w:val="002525B5"/>
    <w:rsid w:val="0025261B"/>
    <w:rsid w:val="00252774"/>
    <w:rsid w:val="002527B7"/>
    <w:rsid w:val="00252960"/>
    <w:rsid w:val="00252C4C"/>
    <w:rsid w:val="00252E76"/>
    <w:rsid w:val="00252F58"/>
    <w:rsid w:val="002530F3"/>
    <w:rsid w:val="002531C6"/>
    <w:rsid w:val="0025329F"/>
    <w:rsid w:val="00253326"/>
    <w:rsid w:val="00253496"/>
    <w:rsid w:val="0025373A"/>
    <w:rsid w:val="00253ACA"/>
    <w:rsid w:val="00253B1B"/>
    <w:rsid w:val="00253C83"/>
    <w:rsid w:val="00253D1A"/>
    <w:rsid w:val="00253D32"/>
    <w:rsid w:val="00253F70"/>
    <w:rsid w:val="002540BF"/>
    <w:rsid w:val="0025425D"/>
    <w:rsid w:val="0025431D"/>
    <w:rsid w:val="00254491"/>
    <w:rsid w:val="002545E0"/>
    <w:rsid w:val="0025461C"/>
    <w:rsid w:val="0025463A"/>
    <w:rsid w:val="00254A65"/>
    <w:rsid w:val="00254C57"/>
    <w:rsid w:val="00254E65"/>
    <w:rsid w:val="00254EEC"/>
    <w:rsid w:val="002552F3"/>
    <w:rsid w:val="00255482"/>
    <w:rsid w:val="002558BF"/>
    <w:rsid w:val="002559CE"/>
    <w:rsid w:val="002559DA"/>
    <w:rsid w:val="00255A5C"/>
    <w:rsid w:val="00255BB1"/>
    <w:rsid w:val="00255BBC"/>
    <w:rsid w:val="00255C5C"/>
    <w:rsid w:val="00255CBE"/>
    <w:rsid w:val="00255DB7"/>
    <w:rsid w:val="00255E52"/>
    <w:rsid w:val="00255EBC"/>
    <w:rsid w:val="002560EA"/>
    <w:rsid w:val="002560F5"/>
    <w:rsid w:val="002560FE"/>
    <w:rsid w:val="002561C9"/>
    <w:rsid w:val="002564FD"/>
    <w:rsid w:val="002565FB"/>
    <w:rsid w:val="00256712"/>
    <w:rsid w:val="00256CCE"/>
    <w:rsid w:val="00256D75"/>
    <w:rsid w:val="00256D88"/>
    <w:rsid w:val="0025726C"/>
    <w:rsid w:val="00257627"/>
    <w:rsid w:val="002577D2"/>
    <w:rsid w:val="00257872"/>
    <w:rsid w:val="002578EE"/>
    <w:rsid w:val="00257D37"/>
    <w:rsid w:val="00257D71"/>
    <w:rsid w:val="00257E88"/>
    <w:rsid w:val="00257FB1"/>
    <w:rsid w:val="002600F9"/>
    <w:rsid w:val="00260102"/>
    <w:rsid w:val="0026010A"/>
    <w:rsid w:val="00260164"/>
    <w:rsid w:val="00260273"/>
    <w:rsid w:val="002603A0"/>
    <w:rsid w:val="00260712"/>
    <w:rsid w:val="00260948"/>
    <w:rsid w:val="002609D1"/>
    <w:rsid w:val="00260D1C"/>
    <w:rsid w:val="00260F96"/>
    <w:rsid w:val="00261079"/>
    <w:rsid w:val="0026111F"/>
    <w:rsid w:val="00261306"/>
    <w:rsid w:val="002613C9"/>
    <w:rsid w:val="00261C14"/>
    <w:rsid w:val="00261D2D"/>
    <w:rsid w:val="00261DF2"/>
    <w:rsid w:val="00262056"/>
    <w:rsid w:val="00262181"/>
    <w:rsid w:val="00262203"/>
    <w:rsid w:val="002623C8"/>
    <w:rsid w:val="0026240B"/>
    <w:rsid w:val="0026246D"/>
    <w:rsid w:val="00262638"/>
    <w:rsid w:val="00262952"/>
    <w:rsid w:val="00262971"/>
    <w:rsid w:val="00262A85"/>
    <w:rsid w:val="00262A93"/>
    <w:rsid w:val="00262B69"/>
    <w:rsid w:val="00262CEC"/>
    <w:rsid w:val="00262CF0"/>
    <w:rsid w:val="00262D48"/>
    <w:rsid w:val="00262EDA"/>
    <w:rsid w:val="0026309A"/>
    <w:rsid w:val="0026320D"/>
    <w:rsid w:val="0026325F"/>
    <w:rsid w:val="0026342A"/>
    <w:rsid w:val="00263585"/>
    <w:rsid w:val="002635F4"/>
    <w:rsid w:val="00263965"/>
    <w:rsid w:val="00263A38"/>
    <w:rsid w:val="00263B15"/>
    <w:rsid w:val="00263BB6"/>
    <w:rsid w:val="00263BD1"/>
    <w:rsid w:val="00263F1C"/>
    <w:rsid w:val="0026404C"/>
    <w:rsid w:val="0026421B"/>
    <w:rsid w:val="002644A5"/>
    <w:rsid w:val="00264583"/>
    <w:rsid w:val="00264A18"/>
    <w:rsid w:val="00264AB3"/>
    <w:rsid w:val="00264D2E"/>
    <w:rsid w:val="0026505C"/>
    <w:rsid w:val="00265269"/>
    <w:rsid w:val="00265270"/>
    <w:rsid w:val="002656FA"/>
    <w:rsid w:val="0026573F"/>
    <w:rsid w:val="00265824"/>
    <w:rsid w:val="00265C21"/>
    <w:rsid w:val="00265C9B"/>
    <w:rsid w:val="00265EBC"/>
    <w:rsid w:val="00265F66"/>
    <w:rsid w:val="00265FE4"/>
    <w:rsid w:val="002660FB"/>
    <w:rsid w:val="00266237"/>
    <w:rsid w:val="00266654"/>
    <w:rsid w:val="00266677"/>
    <w:rsid w:val="00266694"/>
    <w:rsid w:val="002666CF"/>
    <w:rsid w:val="00266754"/>
    <w:rsid w:val="00266790"/>
    <w:rsid w:val="002667FF"/>
    <w:rsid w:val="0026686A"/>
    <w:rsid w:val="0026695A"/>
    <w:rsid w:val="00266A8E"/>
    <w:rsid w:val="00266AC3"/>
    <w:rsid w:val="00266B90"/>
    <w:rsid w:val="00266BD1"/>
    <w:rsid w:val="00266C28"/>
    <w:rsid w:val="00266D83"/>
    <w:rsid w:val="00266EE7"/>
    <w:rsid w:val="0026709C"/>
    <w:rsid w:val="00267720"/>
    <w:rsid w:val="002677C2"/>
    <w:rsid w:val="002677FD"/>
    <w:rsid w:val="00267851"/>
    <w:rsid w:val="002679AF"/>
    <w:rsid w:val="00267E66"/>
    <w:rsid w:val="00267EDB"/>
    <w:rsid w:val="00267F3C"/>
    <w:rsid w:val="002700B9"/>
    <w:rsid w:val="0027036C"/>
    <w:rsid w:val="002704FD"/>
    <w:rsid w:val="00270504"/>
    <w:rsid w:val="00270573"/>
    <w:rsid w:val="00270878"/>
    <w:rsid w:val="00270A24"/>
    <w:rsid w:val="00270D5A"/>
    <w:rsid w:val="002712EB"/>
    <w:rsid w:val="0027130A"/>
    <w:rsid w:val="00271337"/>
    <w:rsid w:val="002715D9"/>
    <w:rsid w:val="002717E6"/>
    <w:rsid w:val="0027189A"/>
    <w:rsid w:val="00271D69"/>
    <w:rsid w:val="00271ED2"/>
    <w:rsid w:val="00271FED"/>
    <w:rsid w:val="0027209D"/>
    <w:rsid w:val="0027242E"/>
    <w:rsid w:val="0027242F"/>
    <w:rsid w:val="00272614"/>
    <w:rsid w:val="00272B8D"/>
    <w:rsid w:val="002730A8"/>
    <w:rsid w:val="0027329D"/>
    <w:rsid w:val="002732DA"/>
    <w:rsid w:val="00273325"/>
    <w:rsid w:val="00273594"/>
    <w:rsid w:val="00273666"/>
    <w:rsid w:val="00273833"/>
    <w:rsid w:val="00273F55"/>
    <w:rsid w:val="00274036"/>
    <w:rsid w:val="00274247"/>
    <w:rsid w:val="0027443C"/>
    <w:rsid w:val="00274819"/>
    <w:rsid w:val="00274866"/>
    <w:rsid w:val="00274A76"/>
    <w:rsid w:val="00274BE7"/>
    <w:rsid w:val="00274E99"/>
    <w:rsid w:val="00274EE0"/>
    <w:rsid w:val="00274F3E"/>
    <w:rsid w:val="00274FEB"/>
    <w:rsid w:val="0027560E"/>
    <w:rsid w:val="00275694"/>
    <w:rsid w:val="002759D2"/>
    <w:rsid w:val="00275BC2"/>
    <w:rsid w:val="00275CE7"/>
    <w:rsid w:val="00275E36"/>
    <w:rsid w:val="00275F92"/>
    <w:rsid w:val="002764BC"/>
    <w:rsid w:val="002768E6"/>
    <w:rsid w:val="0027690A"/>
    <w:rsid w:val="002769EA"/>
    <w:rsid w:val="00276B32"/>
    <w:rsid w:val="00276E06"/>
    <w:rsid w:val="002770E6"/>
    <w:rsid w:val="00277321"/>
    <w:rsid w:val="00277412"/>
    <w:rsid w:val="002774C8"/>
    <w:rsid w:val="002775A3"/>
    <w:rsid w:val="002776F3"/>
    <w:rsid w:val="002777F7"/>
    <w:rsid w:val="00277A9F"/>
    <w:rsid w:val="00277D7D"/>
    <w:rsid w:val="00277FC3"/>
    <w:rsid w:val="00277FC7"/>
    <w:rsid w:val="002800CA"/>
    <w:rsid w:val="0028013D"/>
    <w:rsid w:val="0028051B"/>
    <w:rsid w:val="00280929"/>
    <w:rsid w:val="00280945"/>
    <w:rsid w:val="00280C4E"/>
    <w:rsid w:val="00280CF4"/>
    <w:rsid w:val="00280E52"/>
    <w:rsid w:val="002810CF"/>
    <w:rsid w:val="0028112A"/>
    <w:rsid w:val="0028114C"/>
    <w:rsid w:val="0028117C"/>
    <w:rsid w:val="00281220"/>
    <w:rsid w:val="00281404"/>
    <w:rsid w:val="00281461"/>
    <w:rsid w:val="0028157A"/>
    <w:rsid w:val="00281632"/>
    <w:rsid w:val="002816E2"/>
    <w:rsid w:val="00281B56"/>
    <w:rsid w:val="00281BAC"/>
    <w:rsid w:val="00281D2E"/>
    <w:rsid w:val="00281D58"/>
    <w:rsid w:val="00281EAC"/>
    <w:rsid w:val="00282135"/>
    <w:rsid w:val="002821EF"/>
    <w:rsid w:val="00282241"/>
    <w:rsid w:val="00282281"/>
    <w:rsid w:val="00282523"/>
    <w:rsid w:val="002825AF"/>
    <w:rsid w:val="0028268E"/>
    <w:rsid w:val="002826E5"/>
    <w:rsid w:val="00282BF8"/>
    <w:rsid w:val="00282C9D"/>
    <w:rsid w:val="00282F0B"/>
    <w:rsid w:val="00283090"/>
    <w:rsid w:val="002830AF"/>
    <w:rsid w:val="0028326F"/>
    <w:rsid w:val="002832A0"/>
    <w:rsid w:val="002833AC"/>
    <w:rsid w:val="002833E3"/>
    <w:rsid w:val="00283813"/>
    <w:rsid w:val="00283C33"/>
    <w:rsid w:val="00283C9B"/>
    <w:rsid w:val="00283CA1"/>
    <w:rsid w:val="00283D04"/>
    <w:rsid w:val="00283D9C"/>
    <w:rsid w:val="00283EE4"/>
    <w:rsid w:val="0028419D"/>
    <w:rsid w:val="0028472F"/>
    <w:rsid w:val="00284843"/>
    <w:rsid w:val="00284A0F"/>
    <w:rsid w:val="00284A1B"/>
    <w:rsid w:val="00284AD7"/>
    <w:rsid w:val="00284B22"/>
    <w:rsid w:val="00285192"/>
    <w:rsid w:val="002855AD"/>
    <w:rsid w:val="002858DA"/>
    <w:rsid w:val="00285AD0"/>
    <w:rsid w:val="00285E16"/>
    <w:rsid w:val="0028639E"/>
    <w:rsid w:val="0028659F"/>
    <w:rsid w:val="0028662D"/>
    <w:rsid w:val="002866B1"/>
    <w:rsid w:val="002869DC"/>
    <w:rsid w:val="00286AB3"/>
    <w:rsid w:val="00286F5D"/>
    <w:rsid w:val="002870D0"/>
    <w:rsid w:val="002871D1"/>
    <w:rsid w:val="0028723C"/>
    <w:rsid w:val="00287575"/>
    <w:rsid w:val="0028768C"/>
    <w:rsid w:val="0028789A"/>
    <w:rsid w:val="00287928"/>
    <w:rsid w:val="00287B65"/>
    <w:rsid w:val="00287BED"/>
    <w:rsid w:val="00287D97"/>
    <w:rsid w:val="00287E10"/>
    <w:rsid w:val="00287F63"/>
    <w:rsid w:val="00287F64"/>
    <w:rsid w:val="00287FF3"/>
    <w:rsid w:val="0029054E"/>
    <w:rsid w:val="0029066A"/>
    <w:rsid w:val="00290880"/>
    <w:rsid w:val="00290ABB"/>
    <w:rsid w:val="00290B90"/>
    <w:rsid w:val="00290F5D"/>
    <w:rsid w:val="002914AB"/>
    <w:rsid w:val="00291609"/>
    <w:rsid w:val="0029182C"/>
    <w:rsid w:val="0029183C"/>
    <w:rsid w:val="00291846"/>
    <w:rsid w:val="00291900"/>
    <w:rsid w:val="00291B11"/>
    <w:rsid w:val="00291BED"/>
    <w:rsid w:val="00291C24"/>
    <w:rsid w:val="00292094"/>
    <w:rsid w:val="002921D3"/>
    <w:rsid w:val="002922B1"/>
    <w:rsid w:val="00292481"/>
    <w:rsid w:val="00292513"/>
    <w:rsid w:val="00292626"/>
    <w:rsid w:val="00292692"/>
    <w:rsid w:val="002926B4"/>
    <w:rsid w:val="002927FC"/>
    <w:rsid w:val="00292B0A"/>
    <w:rsid w:val="00292BDB"/>
    <w:rsid w:val="00292E9E"/>
    <w:rsid w:val="00292FA0"/>
    <w:rsid w:val="00293051"/>
    <w:rsid w:val="00293060"/>
    <w:rsid w:val="00293280"/>
    <w:rsid w:val="00293999"/>
    <w:rsid w:val="002939F9"/>
    <w:rsid w:val="00293B09"/>
    <w:rsid w:val="00293B4E"/>
    <w:rsid w:val="00293C2E"/>
    <w:rsid w:val="00293CC4"/>
    <w:rsid w:val="00293D78"/>
    <w:rsid w:val="00293EB6"/>
    <w:rsid w:val="00293EC9"/>
    <w:rsid w:val="00293F73"/>
    <w:rsid w:val="00293FC5"/>
    <w:rsid w:val="002940C0"/>
    <w:rsid w:val="002942E4"/>
    <w:rsid w:val="002945AF"/>
    <w:rsid w:val="002948E2"/>
    <w:rsid w:val="00294AE3"/>
    <w:rsid w:val="00294B40"/>
    <w:rsid w:val="00294BF8"/>
    <w:rsid w:val="00294EE3"/>
    <w:rsid w:val="0029517E"/>
    <w:rsid w:val="002951BA"/>
    <w:rsid w:val="002952FD"/>
    <w:rsid w:val="002953D4"/>
    <w:rsid w:val="00295447"/>
    <w:rsid w:val="002957C9"/>
    <w:rsid w:val="00295A35"/>
    <w:rsid w:val="00296342"/>
    <w:rsid w:val="00296351"/>
    <w:rsid w:val="0029652F"/>
    <w:rsid w:val="00296618"/>
    <w:rsid w:val="0029665F"/>
    <w:rsid w:val="00296689"/>
    <w:rsid w:val="00296865"/>
    <w:rsid w:val="00296883"/>
    <w:rsid w:val="002968EE"/>
    <w:rsid w:val="002968F3"/>
    <w:rsid w:val="00296994"/>
    <w:rsid w:val="00296C17"/>
    <w:rsid w:val="00296EF9"/>
    <w:rsid w:val="00297096"/>
    <w:rsid w:val="002972BD"/>
    <w:rsid w:val="00297367"/>
    <w:rsid w:val="00297455"/>
    <w:rsid w:val="00297464"/>
    <w:rsid w:val="00297522"/>
    <w:rsid w:val="00297728"/>
    <w:rsid w:val="0029786B"/>
    <w:rsid w:val="00297948"/>
    <w:rsid w:val="002979C9"/>
    <w:rsid w:val="00297D9F"/>
    <w:rsid w:val="002A007B"/>
    <w:rsid w:val="002A0131"/>
    <w:rsid w:val="002A01FA"/>
    <w:rsid w:val="002A0228"/>
    <w:rsid w:val="002A0473"/>
    <w:rsid w:val="002A054D"/>
    <w:rsid w:val="002A0678"/>
    <w:rsid w:val="002A0801"/>
    <w:rsid w:val="002A0823"/>
    <w:rsid w:val="002A0927"/>
    <w:rsid w:val="002A0A3F"/>
    <w:rsid w:val="002A0AE7"/>
    <w:rsid w:val="002A0B6A"/>
    <w:rsid w:val="002A0BB3"/>
    <w:rsid w:val="002A0D30"/>
    <w:rsid w:val="002A11C0"/>
    <w:rsid w:val="002A1309"/>
    <w:rsid w:val="002A130B"/>
    <w:rsid w:val="002A1311"/>
    <w:rsid w:val="002A1728"/>
    <w:rsid w:val="002A17A4"/>
    <w:rsid w:val="002A1877"/>
    <w:rsid w:val="002A1A42"/>
    <w:rsid w:val="002A1AB4"/>
    <w:rsid w:val="002A1AFD"/>
    <w:rsid w:val="002A1BF8"/>
    <w:rsid w:val="002A1C41"/>
    <w:rsid w:val="002A1C7E"/>
    <w:rsid w:val="002A2152"/>
    <w:rsid w:val="002A2468"/>
    <w:rsid w:val="002A29FB"/>
    <w:rsid w:val="002A2A6C"/>
    <w:rsid w:val="002A2ABD"/>
    <w:rsid w:val="002A2ADA"/>
    <w:rsid w:val="002A2CA3"/>
    <w:rsid w:val="002A2CC8"/>
    <w:rsid w:val="002A33CA"/>
    <w:rsid w:val="002A33D1"/>
    <w:rsid w:val="002A3528"/>
    <w:rsid w:val="002A3624"/>
    <w:rsid w:val="002A377F"/>
    <w:rsid w:val="002A392D"/>
    <w:rsid w:val="002A395B"/>
    <w:rsid w:val="002A39D8"/>
    <w:rsid w:val="002A3A5B"/>
    <w:rsid w:val="002A3E9E"/>
    <w:rsid w:val="002A3F40"/>
    <w:rsid w:val="002A3FA5"/>
    <w:rsid w:val="002A41CB"/>
    <w:rsid w:val="002A423C"/>
    <w:rsid w:val="002A4240"/>
    <w:rsid w:val="002A42CA"/>
    <w:rsid w:val="002A42D7"/>
    <w:rsid w:val="002A43CD"/>
    <w:rsid w:val="002A461F"/>
    <w:rsid w:val="002A4667"/>
    <w:rsid w:val="002A487E"/>
    <w:rsid w:val="002A4935"/>
    <w:rsid w:val="002A4F3E"/>
    <w:rsid w:val="002A50A1"/>
    <w:rsid w:val="002A516C"/>
    <w:rsid w:val="002A51D9"/>
    <w:rsid w:val="002A52C2"/>
    <w:rsid w:val="002A5427"/>
    <w:rsid w:val="002A544C"/>
    <w:rsid w:val="002A55A8"/>
    <w:rsid w:val="002A55EF"/>
    <w:rsid w:val="002A564E"/>
    <w:rsid w:val="002A577A"/>
    <w:rsid w:val="002A5AA6"/>
    <w:rsid w:val="002A5ABD"/>
    <w:rsid w:val="002A5ACC"/>
    <w:rsid w:val="002A5B6D"/>
    <w:rsid w:val="002A5DF3"/>
    <w:rsid w:val="002A5E6E"/>
    <w:rsid w:val="002A6119"/>
    <w:rsid w:val="002A6153"/>
    <w:rsid w:val="002A6256"/>
    <w:rsid w:val="002A63A0"/>
    <w:rsid w:val="002A6534"/>
    <w:rsid w:val="002A65A2"/>
    <w:rsid w:val="002A6685"/>
    <w:rsid w:val="002A66BB"/>
    <w:rsid w:val="002A6883"/>
    <w:rsid w:val="002A6A96"/>
    <w:rsid w:val="002A6C0B"/>
    <w:rsid w:val="002A7016"/>
    <w:rsid w:val="002A710C"/>
    <w:rsid w:val="002A717C"/>
    <w:rsid w:val="002A71DB"/>
    <w:rsid w:val="002A7269"/>
    <w:rsid w:val="002A756B"/>
    <w:rsid w:val="002A7790"/>
    <w:rsid w:val="002A7A8C"/>
    <w:rsid w:val="002A7C5D"/>
    <w:rsid w:val="002A7E8C"/>
    <w:rsid w:val="002A7F57"/>
    <w:rsid w:val="002B00B8"/>
    <w:rsid w:val="002B0818"/>
    <w:rsid w:val="002B081A"/>
    <w:rsid w:val="002B0879"/>
    <w:rsid w:val="002B08D2"/>
    <w:rsid w:val="002B0A0C"/>
    <w:rsid w:val="002B0D6B"/>
    <w:rsid w:val="002B0E06"/>
    <w:rsid w:val="002B0E16"/>
    <w:rsid w:val="002B11C7"/>
    <w:rsid w:val="002B1776"/>
    <w:rsid w:val="002B1916"/>
    <w:rsid w:val="002B1922"/>
    <w:rsid w:val="002B1B4D"/>
    <w:rsid w:val="002B1D03"/>
    <w:rsid w:val="002B1E62"/>
    <w:rsid w:val="002B2141"/>
    <w:rsid w:val="002B21D4"/>
    <w:rsid w:val="002B22DF"/>
    <w:rsid w:val="002B2942"/>
    <w:rsid w:val="002B2D61"/>
    <w:rsid w:val="002B2ECB"/>
    <w:rsid w:val="002B3326"/>
    <w:rsid w:val="002B3A4E"/>
    <w:rsid w:val="002B4561"/>
    <w:rsid w:val="002B4575"/>
    <w:rsid w:val="002B4699"/>
    <w:rsid w:val="002B4796"/>
    <w:rsid w:val="002B4B1D"/>
    <w:rsid w:val="002B4B4E"/>
    <w:rsid w:val="002B4BA7"/>
    <w:rsid w:val="002B4C78"/>
    <w:rsid w:val="002B4CB8"/>
    <w:rsid w:val="002B4F9E"/>
    <w:rsid w:val="002B50A0"/>
    <w:rsid w:val="002B50E6"/>
    <w:rsid w:val="002B50F3"/>
    <w:rsid w:val="002B51B5"/>
    <w:rsid w:val="002B5458"/>
    <w:rsid w:val="002B5902"/>
    <w:rsid w:val="002B5B70"/>
    <w:rsid w:val="002B5BBF"/>
    <w:rsid w:val="002B5D56"/>
    <w:rsid w:val="002B5D89"/>
    <w:rsid w:val="002B5EB8"/>
    <w:rsid w:val="002B5F0E"/>
    <w:rsid w:val="002B5F54"/>
    <w:rsid w:val="002B61F1"/>
    <w:rsid w:val="002B6363"/>
    <w:rsid w:val="002B6558"/>
    <w:rsid w:val="002B6AF9"/>
    <w:rsid w:val="002B6BA9"/>
    <w:rsid w:val="002B6BB0"/>
    <w:rsid w:val="002B6C1D"/>
    <w:rsid w:val="002B6CA3"/>
    <w:rsid w:val="002B6D30"/>
    <w:rsid w:val="002B6D31"/>
    <w:rsid w:val="002B7041"/>
    <w:rsid w:val="002B705A"/>
    <w:rsid w:val="002B742E"/>
    <w:rsid w:val="002B7601"/>
    <w:rsid w:val="002B76E9"/>
    <w:rsid w:val="002B77FC"/>
    <w:rsid w:val="002B78FD"/>
    <w:rsid w:val="002B7BB3"/>
    <w:rsid w:val="002B7BEE"/>
    <w:rsid w:val="002B7C9E"/>
    <w:rsid w:val="002B7CC0"/>
    <w:rsid w:val="002B7D19"/>
    <w:rsid w:val="002B7E54"/>
    <w:rsid w:val="002C0038"/>
    <w:rsid w:val="002C0064"/>
    <w:rsid w:val="002C029E"/>
    <w:rsid w:val="002C04E1"/>
    <w:rsid w:val="002C05BF"/>
    <w:rsid w:val="002C09A3"/>
    <w:rsid w:val="002C0E2C"/>
    <w:rsid w:val="002C10BD"/>
    <w:rsid w:val="002C13F1"/>
    <w:rsid w:val="002C156A"/>
    <w:rsid w:val="002C17EE"/>
    <w:rsid w:val="002C1A04"/>
    <w:rsid w:val="002C1AF1"/>
    <w:rsid w:val="002C1C39"/>
    <w:rsid w:val="002C1D0D"/>
    <w:rsid w:val="002C1FFB"/>
    <w:rsid w:val="002C20CD"/>
    <w:rsid w:val="002C21EB"/>
    <w:rsid w:val="002C2235"/>
    <w:rsid w:val="002C2363"/>
    <w:rsid w:val="002C23C5"/>
    <w:rsid w:val="002C23D0"/>
    <w:rsid w:val="002C256C"/>
    <w:rsid w:val="002C2589"/>
    <w:rsid w:val="002C26AF"/>
    <w:rsid w:val="002C26D7"/>
    <w:rsid w:val="002C2977"/>
    <w:rsid w:val="002C2A6F"/>
    <w:rsid w:val="002C2D4A"/>
    <w:rsid w:val="002C3078"/>
    <w:rsid w:val="002C318C"/>
    <w:rsid w:val="002C32EB"/>
    <w:rsid w:val="002C332F"/>
    <w:rsid w:val="002C3392"/>
    <w:rsid w:val="002C33AB"/>
    <w:rsid w:val="002C3538"/>
    <w:rsid w:val="002C35B8"/>
    <w:rsid w:val="002C3792"/>
    <w:rsid w:val="002C39D6"/>
    <w:rsid w:val="002C3E72"/>
    <w:rsid w:val="002C3F26"/>
    <w:rsid w:val="002C3F46"/>
    <w:rsid w:val="002C4032"/>
    <w:rsid w:val="002C43B2"/>
    <w:rsid w:val="002C446B"/>
    <w:rsid w:val="002C45C9"/>
    <w:rsid w:val="002C467F"/>
    <w:rsid w:val="002C477B"/>
    <w:rsid w:val="002C4928"/>
    <w:rsid w:val="002C4B19"/>
    <w:rsid w:val="002C4D9C"/>
    <w:rsid w:val="002C4DB4"/>
    <w:rsid w:val="002C4FE7"/>
    <w:rsid w:val="002C4FF1"/>
    <w:rsid w:val="002C5072"/>
    <w:rsid w:val="002C50A9"/>
    <w:rsid w:val="002C53E9"/>
    <w:rsid w:val="002C5463"/>
    <w:rsid w:val="002C58B8"/>
    <w:rsid w:val="002C5929"/>
    <w:rsid w:val="002C5CD6"/>
    <w:rsid w:val="002C5D98"/>
    <w:rsid w:val="002C6209"/>
    <w:rsid w:val="002C622C"/>
    <w:rsid w:val="002C643A"/>
    <w:rsid w:val="002C653A"/>
    <w:rsid w:val="002C6632"/>
    <w:rsid w:val="002C68D2"/>
    <w:rsid w:val="002C6CE0"/>
    <w:rsid w:val="002C6E4A"/>
    <w:rsid w:val="002C6EAC"/>
    <w:rsid w:val="002C6ED4"/>
    <w:rsid w:val="002C71CE"/>
    <w:rsid w:val="002C724E"/>
    <w:rsid w:val="002C7273"/>
    <w:rsid w:val="002C7306"/>
    <w:rsid w:val="002C730D"/>
    <w:rsid w:val="002C7721"/>
    <w:rsid w:val="002C78CA"/>
    <w:rsid w:val="002C790F"/>
    <w:rsid w:val="002C79BD"/>
    <w:rsid w:val="002C7A23"/>
    <w:rsid w:val="002C7CE4"/>
    <w:rsid w:val="002C7D64"/>
    <w:rsid w:val="002C7ECB"/>
    <w:rsid w:val="002D020F"/>
    <w:rsid w:val="002D0259"/>
    <w:rsid w:val="002D0330"/>
    <w:rsid w:val="002D087F"/>
    <w:rsid w:val="002D0994"/>
    <w:rsid w:val="002D0A39"/>
    <w:rsid w:val="002D0C33"/>
    <w:rsid w:val="002D0EEC"/>
    <w:rsid w:val="002D0F40"/>
    <w:rsid w:val="002D10B6"/>
    <w:rsid w:val="002D132F"/>
    <w:rsid w:val="002D14C5"/>
    <w:rsid w:val="002D150E"/>
    <w:rsid w:val="002D152A"/>
    <w:rsid w:val="002D189B"/>
    <w:rsid w:val="002D18D2"/>
    <w:rsid w:val="002D19FE"/>
    <w:rsid w:val="002D20C9"/>
    <w:rsid w:val="002D2117"/>
    <w:rsid w:val="002D216E"/>
    <w:rsid w:val="002D21BF"/>
    <w:rsid w:val="002D2662"/>
    <w:rsid w:val="002D295A"/>
    <w:rsid w:val="002D2980"/>
    <w:rsid w:val="002D2B75"/>
    <w:rsid w:val="002D2DA8"/>
    <w:rsid w:val="002D2FF6"/>
    <w:rsid w:val="002D356A"/>
    <w:rsid w:val="002D38DA"/>
    <w:rsid w:val="002D3D3B"/>
    <w:rsid w:val="002D3F31"/>
    <w:rsid w:val="002D4114"/>
    <w:rsid w:val="002D425B"/>
    <w:rsid w:val="002D42F9"/>
    <w:rsid w:val="002D440A"/>
    <w:rsid w:val="002D4524"/>
    <w:rsid w:val="002D4873"/>
    <w:rsid w:val="002D4AC7"/>
    <w:rsid w:val="002D4C37"/>
    <w:rsid w:val="002D4E79"/>
    <w:rsid w:val="002D4FD6"/>
    <w:rsid w:val="002D52DB"/>
    <w:rsid w:val="002D52DD"/>
    <w:rsid w:val="002D5374"/>
    <w:rsid w:val="002D53AF"/>
    <w:rsid w:val="002D5506"/>
    <w:rsid w:val="002D5610"/>
    <w:rsid w:val="002D563B"/>
    <w:rsid w:val="002D59A3"/>
    <w:rsid w:val="002D5C60"/>
    <w:rsid w:val="002D5DC4"/>
    <w:rsid w:val="002D5E5F"/>
    <w:rsid w:val="002D5FFC"/>
    <w:rsid w:val="002D6014"/>
    <w:rsid w:val="002D6247"/>
    <w:rsid w:val="002D6730"/>
    <w:rsid w:val="002D676C"/>
    <w:rsid w:val="002D6938"/>
    <w:rsid w:val="002D6A1F"/>
    <w:rsid w:val="002D6A7D"/>
    <w:rsid w:val="002D6BB1"/>
    <w:rsid w:val="002D6DDD"/>
    <w:rsid w:val="002D6E58"/>
    <w:rsid w:val="002D712E"/>
    <w:rsid w:val="002D727A"/>
    <w:rsid w:val="002D738D"/>
    <w:rsid w:val="002D742C"/>
    <w:rsid w:val="002D75DB"/>
    <w:rsid w:val="002D7716"/>
    <w:rsid w:val="002D7FC7"/>
    <w:rsid w:val="002D7FEF"/>
    <w:rsid w:val="002E0538"/>
    <w:rsid w:val="002E057A"/>
    <w:rsid w:val="002E05CA"/>
    <w:rsid w:val="002E0AFE"/>
    <w:rsid w:val="002E0C9B"/>
    <w:rsid w:val="002E0D24"/>
    <w:rsid w:val="002E0F24"/>
    <w:rsid w:val="002E11DE"/>
    <w:rsid w:val="002E14D2"/>
    <w:rsid w:val="002E1509"/>
    <w:rsid w:val="002E162C"/>
    <w:rsid w:val="002E1635"/>
    <w:rsid w:val="002E1B4F"/>
    <w:rsid w:val="002E1C10"/>
    <w:rsid w:val="002E1D67"/>
    <w:rsid w:val="002E1DE2"/>
    <w:rsid w:val="002E2117"/>
    <w:rsid w:val="002E24F2"/>
    <w:rsid w:val="002E2584"/>
    <w:rsid w:val="002E2778"/>
    <w:rsid w:val="002E28A5"/>
    <w:rsid w:val="002E29BF"/>
    <w:rsid w:val="002E2AB4"/>
    <w:rsid w:val="002E2B3D"/>
    <w:rsid w:val="002E3128"/>
    <w:rsid w:val="002E36BC"/>
    <w:rsid w:val="002E37BC"/>
    <w:rsid w:val="002E37EC"/>
    <w:rsid w:val="002E3910"/>
    <w:rsid w:val="002E3980"/>
    <w:rsid w:val="002E3B55"/>
    <w:rsid w:val="002E3C6D"/>
    <w:rsid w:val="002E40A5"/>
    <w:rsid w:val="002E40FF"/>
    <w:rsid w:val="002E41DD"/>
    <w:rsid w:val="002E43B7"/>
    <w:rsid w:val="002E450E"/>
    <w:rsid w:val="002E456B"/>
    <w:rsid w:val="002E460C"/>
    <w:rsid w:val="002E4637"/>
    <w:rsid w:val="002E463C"/>
    <w:rsid w:val="002E4832"/>
    <w:rsid w:val="002E4880"/>
    <w:rsid w:val="002E48F5"/>
    <w:rsid w:val="002E4EA9"/>
    <w:rsid w:val="002E502E"/>
    <w:rsid w:val="002E5083"/>
    <w:rsid w:val="002E51F6"/>
    <w:rsid w:val="002E5408"/>
    <w:rsid w:val="002E5451"/>
    <w:rsid w:val="002E5868"/>
    <w:rsid w:val="002E5957"/>
    <w:rsid w:val="002E5C39"/>
    <w:rsid w:val="002E5DFB"/>
    <w:rsid w:val="002E5F37"/>
    <w:rsid w:val="002E6109"/>
    <w:rsid w:val="002E610C"/>
    <w:rsid w:val="002E6264"/>
    <w:rsid w:val="002E630D"/>
    <w:rsid w:val="002E632B"/>
    <w:rsid w:val="002E6531"/>
    <w:rsid w:val="002E6556"/>
    <w:rsid w:val="002E65FD"/>
    <w:rsid w:val="002E6634"/>
    <w:rsid w:val="002E671D"/>
    <w:rsid w:val="002E686A"/>
    <w:rsid w:val="002E69BB"/>
    <w:rsid w:val="002E69D5"/>
    <w:rsid w:val="002E6B0A"/>
    <w:rsid w:val="002E6FD1"/>
    <w:rsid w:val="002E72D4"/>
    <w:rsid w:val="002E7343"/>
    <w:rsid w:val="002E7507"/>
    <w:rsid w:val="002E75FC"/>
    <w:rsid w:val="002E76CE"/>
    <w:rsid w:val="002E7737"/>
    <w:rsid w:val="002E77AB"/>
    <w:rsid w:val="002E7855"/>
    <w:rsid w:val="002E786C"/>
    <w:rsid w:val="002E7891"/>
    <w:rsid w:val="002E78D3"/>
    <w:rsid w:val="002E79DC"/>
    <w:rsid w:val="002E7A99"/>
    <w:rsid w:val="002E7B9F"/>
    <w:rsid w:val="002F0078"/>
    <w:rsid w:val="002F00F6"/>
    <w:rsid w:val="002F01A6"/>
    <w:rsid w:val="002F01D5"/>
    <w:rsid w:val="002F03D5"/>
    <w:rsid w:val="002F0528"/>
    <w:rsid w:val="002F0598"/>
    <w:rsid w:val="002F062F"/>
    <w:rsid w:val="002F0763"/>
    <w:rsid w:val="002F0785"/>
    <w:rsid w:val="002F0927"/>
    <w:rsid w:val="002F09CD"/>
    <w:rsid w:val="002F0DB5"/>
    <w:rsid w:val="002F0E48"/>
    <w:rsid w:val="002F11A7"/>
    <w:rsid w:val="002F11A9"/>
    <w:rsid w:val="002F1223"/>
    <w:rsid w:val="002F12DD"/>
    <w:rsid w:val="002F1477"/>
    <w:rsid w:val="002F155A"/>
    <w:rsid w:val="002F1664"/>
    <w:rsid w:val="002F167A"/>
    <w:rsid w:val="002F1889"/>
    <w:rsid w:val="002F1A57"/>
    <w:rsid w:val="002F1A9D"/>
    <w:rsid w:val="002F1B23"/>
    <w:rsid w:val="002F1D86"/>
    <w:rsid w:val="002F1D9F"/>
    <w:rsid w:val="002F20E4"/>
    <w:rsid w:val="002F2728"/>
    <w:rsid w:val="002F27EB"/>
    <w:rsid w:val="002F29C8"/>
    <w:rsid w:val="002F2AFB"/>
    <w:rsid w:val="002F2D04"/>
    <w:rsid w:val="002F2D05"/>
    <w:rsid w:val="002F2DB7"/>
    <w:rsid w:val="002F2E42"/>
    <w:rsid w:val="002F2EA8"/>
    <w:rsid w:val="002F3025"/>
    <w:rsid w:val="002F310D"/>
    <w:rsid w:val="002F34AB"/>
    <w:rsid w:val="002F35A7"/>
    <w:rsid w:val="002F3600"/>
    <w:rsid w:val="002F3AB1"/>
    <w:rsid w:val="002F41D1"/>
    <w:rsid w:val="002F4578"/>
    <w:rsid w:val="002F4707"/>
    <w:rsid w:val="002F474B"/>
    <w:rsid w:val="002F477B"/>
    <w:rsid w:val="002F481C"/>
    <w:rsid w:val="002F487A"/>
    <w:rsid w:val="002F4950"/>
    <w:rsid w:val="002F4984"/>
    <w:rsid w:val="002F4B24"/>
    <w:rsid w:val="002F5205"/>
    <w:rsid w:val="002F526D"/>
    <w:rsid w:val="002F5567"/>
    <w:rsid w:val="002F55A3"/>
    <w:rsid w:val="002F562A"/>
    <w:rsid w:val="002F5758"/>
    <w:rsid w:val="002F5766"/>
    <w:rsid w:val="002F5773"/>
    <w:rsid w:val="002F5817"/>
    <w:rsid w:val="002F581B"/>
    <w:rsid w:val="002F5C02"/>
    <w:rsid w:val="002F5D58"/>
    <w:rsid w:val="002F5E74"/>
    <w:rsid w:val="002F5EF4"/>
    <w:rsid w:val="002F5FF3"/>
    <w:rsid w:val="002F6098"/>
    <w:rsid w:val="002F612D"/>
    <w:rsid w:val="002F62CD"/>
    <w:rsid w:val="002F6518"/>
    <w:rsid w:val="002F6596"/>
    <w:rsid w:val="002F6600"/>
    <w:rsid w:val="002F6891"/>
    <w:rsid w:val="002F68D8"/>
    <w:rsid w:val="002F6D0E"/>
    <w:rsid w:val="002F6E08"/>
    <w:rsid w:val="002F74C1"/>
    <w:rsid w:val="002F7BB8"/>
    <w:rsid w:val="002F7C0D"/>
    <w:rsid w:val="002F7C5B"/>
    <w:rsid w:val="002F7CFF"/>
    <w:rsid w:val="002F7E0A"/>
    <w:rsid w:val="002F7FD4"/>
    <w:rsid w:val="00300261"/>
    <w:rsid w:val="003002FD"/>
    <w:rsid w:val="00300425"/>
    <w:rsid w:val="0030053C"/>
    <w:rsid w:val="00300750"/>
    <w:rsid w:val="003007F5"/>
    <w:rsid w:val="003008AC"/>
    <w:rsid w:val="003009AE"/>
    <w:rsid w:val="00300A06"/>
    <w:rsid w:val="00300C1A"/>
    <w:rsid w:val="00300ED6"/>
    <w:rsid w:val="00300F05"/>
    <w:rsid w:val="003010BC"/>
    <w:rsid w:val="00301193"/>
    <w:rsid w:val="003014B2"/>
    <w:rsid w:val="00301551"/>
    <w:rsid w:val="0030165E"/>
    <w:rsid w:val="003016C7"/>
    <w:rsid w:val="0030171B"/>
    <w:rsid w:val="0030186E"/>
    <w:rsid w:val="003019B1"/>
    <w:rsid w:val="00301B75"/>
    <w:rsid w:val="00301E8A"/>
    <w:rsid w:val="003022CC"/>
    <w:rsid w:val="0030282B"/>
    <w:rsid w:val="0030299D"/>
    <w:rsid w:val="00302A07"/>
    <w:rsid w:val="00302B2D"/>
    <w:rsid w:val="00302BE5"/>
    <w:rsid w:val="003032BF"/>
    <w:rsid w:val="00303400"/>
    <w:rsid w:val="0030347D"/>
    <w:rsid w:val="00303587"/>
    <w:rsid w:val="003038EE"/>
    <w:rsid w:val="0030394D"/>
    <w:rsid w:val="00303C86"/>
    <w:rsid w:val="00303CFC"/>
    <w:rsid w:val="00303F3A"/>
    <w:rsid w:val="00304247"/>
    <w:rsid w:val="00304276"/>
    <w:rsid w:val="003044C5"/>
    <w:rsid w:val="003044F6"/>
    <w:rsid w:val="003045AA"/>
    <w:rsid w:val="0030463B"/>
    <w:rsid w:val="00304656"/>
    <w:rsid w:val="00304A6B"/>
    <w:rsid w:val="00304AE9"/>
    <w:rsid w:val="00304B96"/>
    <w:rsid w:val="00304EC0"/>
    <w:rsid w:val="00304F17"/>
    <w:rsid w:val="00304FE9"/>
    <w:rsid w:val="003057E5"/>
    <w:rsid w:val="0030587A"/>
    <w:rsid w:val="00305A82"/>
    <w:rsid w:val="00305FE9"/>
    <w:rsid w:val="00306061"/>
    <w:rsid w:val="00306164"/>
    <w:rsid w:val="00306221"/>
    <w:rsid w:val="003065C9"/>
    <w:rsid w:val="00306919"/>
    <w:rsid w:val="003069BA"/>
    <w:rsid w:val="00306A66"/>
    <w:rsid w:val="00306C94"/>
    <w:rsid w:val="00306D13"/>
    <w:rsid w:val="00306E4B"/>
    <w:rsid w:val="003070C5"/>
    <w:rsid w:val="00307168"/>
    <w:rsid w:val="00307193"/>
    <w:rsid w:val="003073D5"/>
    <w:rsid w:val="003074E3"/>
    <w:rsid w:val="00307582"/>
    <w:rsid w:val="0030766D"/>
    <w:rsid w:val="00307996"/>
    <w:rsid w:val="00307E89"/>
    <w:rsid w:val="00307E9C"/>
    <w:rsid w:val="003100D9"/>
    <w:rsid w:val="00310159"/>
    <w:rsid w:val="0031049D"/>
    <w:rsid w:val="0031050A"/>
    <w:rsid w:val="003105D3"/>
    <w:rsid w:val="0031088A"/>
    <w:rsid w:val="00310948"/>
    <w:rsid w:val="00310A98"/>
    <w:rsid w:val="00310C86"/>
    <w:rsid w:val="00310D8B"/>
    <w:rsid w:val="00310E38"/>
    <w:rsid w:val="00310F78"/>
    <w:rsid w:val="00310FF8"/>
    <w:rsid w:val="00311031"/>
    <w:rsid w:val="00311256"/>
    <w:rsid w:val="0031127F"/>
    <w:rsid w:val="0031161A"/>
    <w:rsid w:val="003117CC"/>
    <w:rsid w:val="003119F0"/>
    <w:rsid w:val="00312396"/>
    <w:rsid w:val="00312493"/>
    <w:rsid w:val="003125C7"/>
    <w:rsid w:val="003126EA"/>
    <w:rsid w:val="0031270F"/>
    <w:rsid w:val="00312C51"/>
    <w:rsid w:val="00312C60"/>
    <w:rsid w:val="00312CCC"/>
    <w:rsid w:val="00312F99"/>
    <w:rsid w:val="003133EB"/>
    <w:rsid w:val="00313514"/>
    <w:rsid w:val="003138AC"/>
    <w:rsid w:val="00313B5B"/>
    <w:rsid w:val="00313C4F"/>
    <w:rsid w:val="00314331"/>
    <w:rsid w:val="00314FB8"/>
    <w:rsid w:val="003152FA"/>
    <w:rsid w:val="00315994"/>
    <w:rsid w:val="00315EBE"/>
    <w:rsid w:val="0031606F"/>
    <w:rsid w:val="003160DB"/>
    <w:rsid w:val="00316241"/>
    <w:rsid w:val="003163A5"/>
    <w:rsid w:val="003163BD"/>
    <w:rsid w:val="003163ED"/>
    <w:rsid w:val="0031651A"/>
    <w:rsid w:val="00316532"/>
    <w:rsid w:val="00316828"/>
    <w:rsid w:val="003168C9"/>
    <w:rsid w:val="00316929"/>
    <w:rsid w:val="0031694C"/>
    <w:rsid w:val="00316E3A"/>
    <w:rsid w:val="00316FEA"/>
    <w:rsid w:val="003171A7"/>
    <w:rsid w:val="003171E2"/>
    <w:rsid w:val="003171E4"/>
    <w:rsid w:val="0031731B"/>
    <w:rsid w:val="003173FB"/>
    <w:rsid w:val="003174BD"/>
    <w:rsid w:val="00317636"/>
    <w:rsid w:val="003178FB"/>
    <w:rsid w:val="00317B86"/>
    <w:rsid w:val="00317CD2"/>
    <w:rsid w:val="003200E5"/>
    <w:rsid w:val="003201E1"/>
    <w:rsid w:val="003206E2"/>
    <w:rsid w:val="003207CE"/>
    <w:rsid w:val="00320AC3"/>
    <w:rsid w:val="00320C18"/>
    <w:rsid w:val="00320E5F"/>
    <w:rsid w:val="00320FAC"/>
    <w:rsid w:val="0032111F"/>
    <w:rsid w:val="00321139"/>
    <w:rsid w:val="00321175"/>
    <w:rsid w:val="00321193"/>
    <w:rsid w:val="00321295"/>
    <w:rsid w:val="003213CF"/>
    <w:rsid w:val="00321447"/>
    <w:rsid w:val="003214D8"/>
    <w:rsid w:val="003215C9"/>
    <w:rsid w:val="00321616"/>
    <w:rsid w:val="00321A86"/>
    <w:rsid w:val="00321D39"/>
    <w:rsid w:val="00321F28"/>
    <w:rsid w:val="00322163"/>
    <w:rsid w:val="00322183"/>
    <w:rsid w:val="0032227D"/>
    <w:rsid w:val="003228C8"/>
    <w:rsid w:val="003228CF"/>
    <w:rsid w:val="00322969"/>
    <w:rsid w:val="00322E5B"/>
    <w:rsid w:val="003230FA"/>
    <w:rsid w:val="00323201"/>
    <w:rsid w:val="00323401"/>
    <w:rsid w:val="00323700"/>
    <w:rsid w:val="00323765"/>
    <w:rsid w:val="003237D2"/>
    <w:rsid w:val="0032392F"/>
    <w:rsid w:val="00323932"/>
    <w:rsid w:val="00323A6A"/>
    <w:rsid w:val="00323AF6"/>
    <w:rsid w:val="00323E8E"/>
    <w:rsid w:val="003241A7"/>
    <w:rsid w:val="00324372"/>
    <w:rsid w:val="0032476D"/>
    <w:rsid w:val="003247C6"/>
    <w:rsid w:val="003248B1"/>
    <w:rsid w:val="00324A2C"/>
    <w:rsid w:val="00324D67"/>
    <w:rsid w:val="00324E5F"/>
    <w:rsid w:val="0032505C"/>
    <w:rsid w:val="0032508D"/>
    <w:rsid w:val="00325136"/>
    <w:rsid w:val="003251B5"/>
    <w:rsid w:val="0032526D"/>
    <w:rsid w:val="00325360"/>
    <w:rsid w:val="00325514"/>
    <w:rsid w:val="003255C3"/>
    <w:rsid w:val="00325D99"/>
    <w:rsid w:val="00325E98"/>
    <w:rsid w:val="00325EC1"/>
    <w:rsid w:val="00325EC6"/>
    <w:rsid w:val="0032607C"/>
    <w:rsid w:val="003261F2"/>
    <w:rsid w:val="003261F6"/>
    <w:rsid w:val="003262C0"/>
    <w:rsid w:val="00326382"/>
    <w:rsid w:val="003263B7"/>
    <w:rsid w:val="003264C4"/>
    <w:rsid w:val="0032653A"/>
    <w:rsid w:val="003265BD"/>
    <w:rsid w:val="00326677"/>
    <w:rsid w:val="0032672F"/>
    <w:rsid w:val="003267D4"/>
    <w:rsid w:val="003267EF"/>
    <w:rsid w:val="003268C1"/>
    <w:rsid w:val="00326BD4"/>
    <w:rsid w:val="00326D13"/>
    <w:rsid w:val="003270D9"/>
    <w:rsid w:val="003271E6"/>
    <w:rsid w:val="003273D0"/>
    <w:rsid w:val="003273E9"/>
    <w:rsid w:val="00327547"/>
    <w:rsid w:val="003276EA"/>
    <w:rsid w:val="00327729"/>
    <w:rsid w:val="00327823"/>
    <w:rsid w:val="00327853"/>
    <w:rsid w:val="00327AE3"/>
    <w:rsid w:val="00327B4C"/>
    <w:rsid w:val="00327C04"/>
    <w:rsid w:val="00327C25"/>
    <w:rsid w:val="00327CFF"/>
    <w:rsid w:val="00327F26"/>
    <w:rsid w:val="0033038E"/>
    <w:rsid w:val="003305E0"/>
    <w:rsid w:val="003305EF"/>
    <w:rsid w:val="00330D56"/>
    <w:rsid w:val="00330E77"/>
    <w:rsid w:val="00331225"/>
    <w:rsid w:val="00331285"/>
    <w:rsid w:val="00331318"/>
    <w:rsid w:val="00331393"/>
    <w:rsid w:val="003314B8"/>
    <w:rsid w:val="003314D6"/>
    <w:rsid w:val="003314FA"/>
    <w:rsid w:val="00331628"/>
    <w:rsid w:val="003317E4"/>
    <w:rsid w:val="003317FC"/>
    <w:rsid w:val="0033199D"/>
    <w:rsid w:val="00331BA3"/>
    <w:rsid w:val="00331D4E"/>
    <w:rsid w:val="00331DB9"/>
    <w:rsid w:val="00331EA3"/>
    <w:rsid w:val="00331EAE"/>
    <w:rsid w:val="00331FFB"/>
    <w:rsid w:val="0033239D"/>
    <w:rsid w:val="00332404"/>
    <w:rsid w:val="0033255A"/>
    <w:rsid w:val="003328FD"/>
    <w:rsid w:val="003329A0"/>
    <w:rsid w:val="00332AB5"/>
    <w:rsid w:val="00333035"/>
    <w:rsid w:val="00333336"/>
    <w:rsid w:val="00333385"/>
    <w:rsid w:val="003335F2"/>
    <w:rsid w:val="0033385C"/>
    <w:rsid w:val="00333979"/>
    <w:rsid w:val="00333C5F"/>
    <w:rsid w:val="0033400A"/>
    <w:rsid w:val="0033406B"/>
    <w:rsid w:val="003342DA"/>
    <w:rsid w:val="003344E0"/>
    <w:rsid w:val="00334538"/>
    <w:rsid w:val="00334551"/>
    <w:rsid w:val="00334804"/>
    <w:rsid w:val="0033482D"/>
    <w:rsid w:val="0033491C"/>
    <w:rsid w:val="00334CAD"/>
    <w:rsid w:val="00334D7B"/>
    <w:rsid w:val="00334DC3"/>
    <w:rsid w:val="003350AE"/>
    <w:rsid w:val="00335178"/>
    <w:rsid w:val="003352E9"/>
    <w:rsid w:val="0033572B"/>
    <w:rsid w:val="0033577D"/>
    <w:rsid w:val="00335974"/>
    <w:rsid w:val="003362FA"/>
    <w:rsid w:val="003363B5"/>
    <w:rsid w:val="0033646B"/>
    <w:rsid w:val="00336915"/>
    <w:rsid w:val="00336990"/>
    <w:rsid w:val="00336A78"/>
    <w:rsid w:val="00336B1F"/>
    <w:rsid w:val="00336C89"/>
    <w:rsid w:val="00336F6E"/>
    <w:rsid w:val="00337055"/>
    <w:rsid w:val="0033707D"/>
    <w:rsid w:val="00337120"/>
    <w:rsid w:val="00337236"/>
    <w:rsid w:val="00337312"/>
    <w:rsid w:val="00337400"/>
    <w:rsid w:val="00337676"/>
    <w:rsid w:val="0033795B"/>
    <w:rsid w:val="0033798E"/>
    <w:rsid w:val="003379B4"/>
    <w:rsid w:val="00337A3D"/>
    <w:rsid w:val="00337A6B"/>
    <w:rsid w:val="00337CBA"/>
    <w:rsid w:val="00337CF5"/>
    <w:rsid w:val="00337F8A"/>
    <w:rsid w:val="0034007B"/>
    <w:rsid w:val="0034007C"/>
    <w:rsid w:val="00340152"/>
    <w:rsid w:val="0034019E"/>
    <w:rsid w:val="003405D3"/>
    <w:rsid w:val="00340687"/>
    <w:rsid w:val="0034082D"/>
    <w:rsid w:val="00340AFD"/>
    <w:rsid w:val="00340BA8"/>
    <w:rsid w:val="00340CD5"/>
    <w:rsid w:val="003411FE"/>
    <w:rsid w:val="0034143A"/>
    <w:rsid w:val="00341917"/>
    <w:rsid w:val="00341B27"/>
    <w:rsid w:val="00341D51"/>
    <w:rsid w:val="003420A2"/>
    <w:rsid w:val="00342241"/>
    <w:rsid w:val="00342302"/>
    <w:rsid w:val="003423CD"/>
    <w:rsid w:val="003426B8"/>
    <w:rsid w:val="003427F8"/>
    <w:rsid w:val="0034283C"/>
    <w:rsid w:val="0034298A"/>
    <w:rsid w:val="00342994"/>
    <w:rsid w:val="003429BD"/>
    <w:rsid w:val="00342D3E"/>
    <w:rsid w:val="00342E19"/>
    <w:rsid w:val="00343308"/>
    <w:rsid w:val="00343363"/>
    <w:rsid w:val="003434DD"/>
    <w:rsid w:val="003434F9"/>
    <w:rsid w:val="0034363B"/>
    <w:rsid w:val="003438B2"/>
    <w:rsid w:val="003438DF"/>
    <w:rsid w:val="003439C6"/>
    <w:rsid w:val="00343DD5"/>
    <w:rsid w:val="0034406C"/>
    <w:rsid w:val="00344281"/>
    <w:rsid w:val="0034473D"/>
    <w:rsid w:val="00344889"/>
    <w:rsid w:val="003449F2"/>
    <w:rsid w:val="0034514C"/>
    <w:rsid w:val="00345488"/>
    <w:rsid w:val="0034554F"/>
    <w:rsid w:val="00345BA9"/>
    <w:rsid w:val="00345CD5"/>
    <w:rsid w:val="00345D66"/>
    <w:rsid w:val="00346399"/>
    <w:rsid w:val="0034646F"/>
    <w:rsid w:val="0034673B"/>
    <w:rsid w:val="00346846"/>
    <w:rsid w:val="0034699D"/>
    <w:rsid w:val="00346B8E"/>
    <w:rsid w:val="00346BAD"/>
    <w:rsid w:val="00346D15"/>
    <w:rsid w:val="00346D62"/>
    <w:rsid w:val="00346DF4"/>
    <w:rsid w:val="00346E23"/>
    <w:rsid w:val="00347130"/>
    <w:rsid w:val="0034719C"/>
    <w:rsid w:val="00347403"/>
    <w:rsid w:val="00347493"/>
    <w:rsid w:val="003476C4"/>
    <w:rsid w:val="003479B5"/>
    <w:rsid w:val="00347BDE"/>
    <w:rsid w:val="00347D75"/>
    <w:rsid w:val="0035013A"/>
    <w:rsid w:val="0035036F"/>
    <w:rsid w:val="00350486"/>
    <w:rsid w:val="003504BA"/>
    <w:rsid w:val="0035051F"/>
    <w:rsid w:val="00350608"/>
    <w:rsid w:val="003508F5"/>
    <w:rsid w:val="00350A8E"/>
    <w:rsid w:val="00350AF0"/>
    <w:rsid w:val="00350B5F"/>
    <w:rsid w:val="00351065"/>
    <w:rsid w:val="003512DB"/>
    <w:rsid w:val="0035135D"/>
    <w:rsid w:val="00351528"/>
    <w:rsid w:val="00351902"/>
    <w:rsid w:val="00351B30"/>
    <w:rsid w:val="00351BEF"/>
    <w:rsid w:val="00351C2E"/>
    <w:rsid w:val="0035204B"/>
    <w:rsid w:val="00352305"/>
    <w:rsid w:val="003523ED"/>
    <w:rsid w:val="00352571"/>
    <w:rsid w:val="0035284C"/>
    <w:rsid w:val="003529EE"/>
    <w:rsid w:val="00352BC1"/>
    <w:rsid w:val="00353105"/>
    <w:rsid w:val="0035341C"/>
    <w:rsid w:val="00353529"/>
    <w:rsid w:val="00353581"/>
    <w:rsid w:val="003536AD"/>
    <w:rsid w:val="00353732"/>
    <w:rsid w:val="0035378A"/>
    <w:rsid w:val="00353881"/>
    <w:rsid w:val="00353954"/>
    <w:rsid w:val="00353AC1"/>
    <w:rsid w:val="00353C95"/>
    <w:rsid w:val="00353D5D"/>
    <w:rsid w:val="00353F4A"/>
    <w:rsid w:val="0035429C"/>
    <w:rsid w:val="003544AB"/>
    <w:rsid w:val="0035464C"/>
    <w:rsid w:val="00354A55"/>
    <w:rsid w:val="00354B6F"/>
    <w:rsid w:val="00354B8C"/>
    <w:rsid w:val="00354D00"/>
    <w:rsid w:val="003550D5"/>
    <w:rsid w:val="003553C7"/>
    <w:rsid w:val="00355483"/>
    <w:rsid w:val="003558A1"/>
    <w:rsid w:val="003558C5"/>
    <w:rsid w:val="003559BF"/>
    <w:rsid w:val="003559ED"/>
    <w:rsid w:val="00355B8F"/>
    <w:rsid w:val="00355D43"/>
    <w:rsid w:val="00355DF4"/>
    <w:rsid w:val="00356227"/>
    <w:rsid w:val="00356305"/>
    <w:rsid w:val="0035643A"/>
    <w:rsid w:val="00356986"/>
    <w:rsid w:val="00357190"/>
    <w:rsid w:val="003571DB"/>
    <w:rsid w:val="0035727C"/>
    <w:rsid w:val="003573AC"/>
    <w:rsid w:val="003576F6"/>
    <w:rsid w:val="00357874"/>
    <w:rsid w:val="00357A6B"/>
    <w:rsid w:val="00357C4E"/>
    <w:rsid w:val="00357CC0"/>
    <w:rsid w:val="0036029B"/>
    <w:rsid w:val="0036038C"/>
    <w:rsid w:val="0036038F"/>
    <w:rsid w:val="0036069C"/>
    <w:rsid w:val="003608F8"/>
    <w:rsid w:val="003609CD"/>
    <w:rsid w:val="00360AD9"/>
    <w:rsid w:val="00360B84"/>
    <w:rsid w:val="00360E72"/>
    <w:rsid w:val="00360ED4"/>
    <w:rsid w:val="00360ED8"/>
    <w:rsid w:val="00360F9A"/>
    <w:rsid w:val="00361055"/>
    <w:rsid w:val="003611FB"/>
    <w:rsid w:val="0036124D"/>
    <w:rsid w:val="003612FC"/>
    <w:rsid w:val="00361331"/>
    <w:rsid w:val="00361A46"/>
    <w:rsid w:val="00361A93"/>
    <w:rsid w:val="00361CBE"/>
    <w:rsid w:val="00361E15"/>
    <w:rsid w:val="00361F24"/>
    <w:rsid w:val="00361FFC"/>
    <w:rsid w:val="003620CE"/>
    <w:rsid w:val="00362548"/>
    <w:rsid w:val="0036263B"/>
    <w:rsid w:val="00362710"/>
    <w:rsid w:val="0036294F"/>
    <w:rsid w:val="00362B32"/>
    <w:rsid w:val="00362BFF"/>
    <w:rsid w:val="00362E70"/>
    <w:rsid w:val="00362E73"/>
    <w:rsid w:val="00362F5A"/>
    <w:rsid w:val="00362F70"/>
    <w:rsid w:val="00363093"/>
    <w:rsid w:val="00363179"/>
    <w:rsid w:val="003632F1"/>
    <w:rsid w:val="003633E0"/>
    <w:rsid w:val="00363431"/>
    <w:rsid w:val="00363466"/>
    <w:rsid w:val="00363680"/>
    <w:rsid w:val="0036368B"/>
    <w:rsid w:val="003637C9"/>
    <w:rsid w:val="00363B18"/>
    <w:rsid w:val="00363F26"/>
    <w:rsid w:val="0036407E"/>
    <w:rsid w:val="00364172"/>
    <w:rsid w:val="00364197"/>
    <w:rsid w:val="00364491"/>
    <w:rsid w:val="003644BA"/>
    <w:rsid w:val="003644E1"/>
    <w:rsid w:val="003648AF"/>
    <w:rsid w:val="00364963"/>
    <w:rsid w:val="003649F1"/>
    <w:rsid w:val="00364C1E"/>
    <w:rsid w:val="00364D4B"/>
    <w:rsid w:val="00364F11"/>
    <w:rsid w:val="00364F31"/>
    <w:rsid w:val="00364F66"/>
    <w:rsid w:val="00364FBE"/>
    <w:rsid w:val="00364FDF"/>
    <w:rsid w:val="00365012"/>
    <w:rsid w:val="00365419"/>
    <w:rsid w:val="003657A0"/>
    <w:rsid w:val="00365A23"/>
    <w:rsid w:val="00365A37"/>
    <w:rsid w:val="00365D28"/>
    <w:rsid w:val="00365ECA"/>
    <w:rsid w:val="00365FA9"/>
    <w:rsid w:val="00366005"/>
    <w:rsid w:val="0036629C"/>
    <w:rsid w:val="0036659A"/>
    <w:rsid w:val="0036683D"/>
    <w:rsid w:val="00366A77"/>
    <w:rsid w:val="00366B63"/>
    <w:rsid w:val="00366CE5"/>
    <w:rsid w:val="00366D25"/>
    <w:rsid w:val="00366DF7"/>
    <w:rsid w:val="00367045"/>
    <w:rsid w:val="00367254"/>
    <w:rsid w:val="0036726A"/>
    <w:rsid w:val="0036759A"/>
    <w:rsid w:val="003678A7"/>
    <w:rsid w:val="003679F7"/>
    <w:rsid w:val="00367DAE"/>
    <w:rsid w:val="00367EEA"/>
    <w:rsid w:val="003702B8"/>
    <w:rsid w:val="00370362"/>
    <w:rsid w:val="00370457"/>
    <w:rsid w:val="0037076D"/>
    <w:rsid w:val="00370786"/>
    <w:rsid w:val="0037082E"/>
    <w:rsid w:val="003709F1"/>
    <w:rsid w:val="00370CC2"/>
    <w:rsid w:val="00370CE4"/>
    <w:rsid w:val="00370EF4"/>
    <w:rsid w:val="00371137"/>
    <w:rsid w:val="00371461"/>
    <w:rsid w:val="003715D1"/>
    <w:rsid w:val="00371727"/>
    <w:rsid w:val="00371A65"/>
    <w:rsid w:val="003722DB"/>
    <w:rsid w:val="00372330"/>
    <w:rsid w:val="003724A2"/>
    <w:rsid w:val="003725E5"/>
    <w:rsid w:val="003729FF"/>
    <w:rsid w:val="00372A07"/>
    <w:rsid w:val="00372A16"/>
    <w:rsid w:val="00372B58"/>
    <w:rsid w:val="00372C5C"/>
    <w:rsid w:val="00372C6B"/>
    <w:rsid w:val="00372CB3"/>
    <w:rsid w:val="00372CFA"/>
    <w:rsid w:val="00372D38"/>
    <w:rsid w:val="00372D42"/>
    <w:rsid w:val="00372EC6"/>
    <w:rsid w:val="003730AA"/>
    <w:rsid w:val="00373172"/>
    <w:rsid w:val="003732FD"/>
    <w:rsid w:val="003736F1"/>
    <w:rsid w:val="00373898"/>
    <w:rsid w:val="00373B74"/>
    <w:rsid w:val="00374452"/>
    <w:rsid w:val="003744A8"/>
    <w:rsid w:val="00374688"/>
    <w:rsid w:val="0037485B"/>
    <w:rsid w:val="003748BC"/>
    <w:rsid w:val="00374A61"/>
    <w:rsid w:val="00374A81"/>
    <w:rsid w:val="00374C1C"/>
    <w:rsid w:val="00374D9B"/>
    <w:rsid w:val="00375146"/>
    <w:rsid w:val="00375163"/>
    <w:rsid w:val="00375485"/>
    <w:rsid w:val="00375571"/>
    <w:rsid w:val="00375775"/>
    <w:rsid w:val="003758FF"/>
    <w:rsid w:val="00375B82"/>
    <w:rsid w:val="00375C2E"/>
    <w:rsid w:val="00375E0A"/>
    <w:rsid w:val="00376780"/>
    <w:rsid w:val="0037688A"/>
    <w:rsid w:val="003769FA"/>
    <w:rsid w:val="00376A39"/>
    <w:rsid w:val="00376AF3"/>
    <w:rsid w:val="00376FE5"/>
    <w:rsid w:val="003772A1"/>
    <w:rsid w:val="003773DC"/>
    <w:rsid w:val="00377443"/>
    <w:rsid w:val="003776DC"/>
    <w:rsid w:val="003777C0"/>
    <w:rsid w:val="00377A18"/>
    <w:rsid w:val="00377CBC"/>
    <w:rsid w:val="00377D04"/>
    <w:rsid w:val="00377D9F"/>
    <w:rsid w:val="00377DCA"/>
    <w:rsid w:val="00380115"/>
    <w:rsid w:val="00380157"/>
    <w:rsid w:val="0038025F"/>
    <w:rsid w:val="0038029B"/>
    <w:rsid w:val="003802BC"/>
    <w:rsid w:val="003806F1"/>
    <w:rsid w:val="00380A68"/>
    <w:rsid w:val="00380B6C"/>
    <w:rsid w:val="00380CCB"/>
    <w:rsid w:val="00380E0B"/>
    <w:rsid w:val="00380FDF"/>
    <w:rsid w:val="00381063"/>
    <w:rsid w:val="00381071"/>
    <w:rsid w:val="003810AC"/>
    <w:rsid w:val="0038119F"/>
    <w:rsid w:val="00381448"/>
    <w:rsid w:val="00381471"/>
    <w:rsid w:val="00381484"/>
    <w:rsid w:val="00381489"/>
    <w:rsid w:val="003816A7"/>
    <w:rsid w:val="00381962"/>
    <w:rsid w:val="00381CEA"/>
    <w:rsid w:val="00381FEF"/>
    <w:rsid w:val="0038205B"/>
    <w:rsid w:val="0038216F"/>
    <w:rsid w:val="003821F8"/>
    <w:rsid w:val="00382649"/>
    <w:rsid w:val="00382886"/>
    <w:rsid w:val="00382AE6"/>
    <w:rsid w:val="00382BF8"/>
    <w:rsid w:val="00382FFB"/>
    <w:rsid w:val="003831A5"/>
    <w:rsid w:val="003832A6"/>
    <w:rsid w:val="003837E2"/>
    <w:rsid w:val="00383866"/>
    <w:rsid w:val="0038393E"/>
    <w:rsid w:val="00383959"/>
    <w:rsid w:val="00383A78"/>
    <w:rsid w:val="00383DD4"/>
    <w:rsid w:val="00383F4A"/>
    <w:rsid w:val="00383FC8"/>
    <w:rsid w:val="003840AA"/>
    <w:rsid w:val="00384155"/>
    <w:rsid w:val="0038418E"/>
    <w:rsid w:val="003848DC"/>
    <w:rsid w:val="003848F3"/>
    <w:rsid w:val="00384926"/>
    <w:rsid w:val="00384A35"/>
    <w:rsid w:val="00384B2F"/>
    <w:rsid w:val="00384B80"/>
    <w:rsid w:val="00384D9C"/>
    <w:rsid w:val="00384EDF"/>
    <w:rsid w:val="0038521A"/>
    <w:rsid w:val="0038533C"/>
    <w:rsid w:val="00385722"/>
    <w:rsid w:val="00385890"/>
    <w:rsid w:val="00385985"/>
    <w:rsid w:val="00385A77"/>
    <w:rsid w:val="00385C80"/>
    <w:rsid w:val="00385EFE"/>
    <w:rsid w:val="00385F36"/>
    <w:rsid w:val="00385F87"/>
    <w:rsid w:val="00386165"/>
    <w:rsid w:val="003861B1"/>
    <w:rsid w:val="00386315"/>
    <w:rsid w:val="003864ED"/>
    <w:rsid w:val="003865A8"/>
    <w:rsid w:val="00386773"/>
    <w:rsid w:val="00386B12"/>
    <w:rsid w:val="00386B82"/>
    <w:rsid w:val="00386E3F"/>
    <w:rsid w:val="00386EC7"/>
    <w:rsid w:val="0038740D"/>
    <w:rsid w:val="003874FD"/>
    <w:rsid w:val="00387778"/>
    <w:rsid w:val="003878EB"/>
    <w:rsid w:val="00387981"/>
    <w:rsid w:val="003879F6"/>
    <w:rsid w:val="00387AC3"/>
    <w:rsid w:val="00387CB5"/>
    <w:rsid w:val="0039023E"/>
    <w:rsid w:val="00390422"/>
    <w:rsid w:val="003905C4"/>
    <w:rsid w:val="0039065F"/>
    <w:rsid w:val="003906CF"/>
    <w:rsid w:val="00390CE3"/>
    <w:rsid w:val="00390D80"/>
    <w:rsid w:val="00390EC6"/>
    <w:rsid w:val="00390F36"/>
    <w:rsid w:val="00390F67"/>
    <w:rsid w:val="003913ED"/>
    <w:rsid w:val="0039151E"/>
    <w:rsid w:val="00391565"/>
    <w:rsid w:val="00391729"/>
    <w:rsid w:val="003917DF"/>
    <w:rsid w:val="003917F2"/>
    <w:rsid w:val="00391841"/>
    <w:rsid w:val="00391842"/>
    <w:rsid w:val="00391C5D"/>
    <w:rsid w:val="00391CA3"/>
    <w:rsid w:val="00391F56"/>
    <w:rsid w:val="00391F9D"/>
    <w:rsid w:val="00392423"/>
    <w:rsid w:val="00392545"/>
    <w:rsid w:val="003926A1"/>
    <w:rsid w:val="0039273D"/>
    <w:rsid w:val="00392B27"/>
    <w:rsid w:val="00392CE4"/>
    <w:rsid w:val="00393049"/>
    <w:rsid w:val="00393395"/>
    <w:rsid w:val="003933F5"/>
    <w:rsid w:val="00393591"/>
    <w:rsid w:val="003938C4"/>
    <w:rsid w:val="00393B91"/>
    <w:rsid w:val="00394025"/>
    <w:rsid w:val="003940A5"/>
    <w:rsid w:val="00394414"/>
    <w:rsid w:val="00394793"/>
    <w:rsid w:val="00394A4A"/>
    <w:rsid w:val="00394A6B"/>
    <w:rsid w:val="00394BA2"/>
    <w:rsid w:val="00394F7B"/>
    <w:rsid w:val="00394F80"/>
    <w:rsid w:val="00395823"/>
    <w:rsid w:val="00395A83"/>
    <w:rsid w:val="00395CAB"/>
    <w:rsid w:val="00395E74"/>
    <w:rsid w:val="00395EE0"/>
    <w:rsid w:val="00395EEF"/>
    <w:rsid w:val="00395F70"/>
    <w:rsid w:val="00396006"/>
    <w:rsid w:val="00396125"/>
    <w:rsid w:val="003963F4"/>
    <w:rsid w:val="00396404"/>
    <w:rsid w:val="00396511"/>
    <w:rsid w:val="00396520"/>
    <w:rsid w:val="003965B8"/>
    <w:rsid w:val="003965DA"/>
    <w:rsid w:val="003967E0"/>
    <w:rsid w:val="00396BCA"/>
    <w:rsid w:val="00396DF8"/>
    <w:rsid w:val="00396E45"/>
    <w:rsid w:val="00396FDA"/>
    <w:rsid w:val="00397139"/>
    <w:rsid w:val="003971D0"/>
    <w:rsid w:val="0039774E"/>
    <w:rsid w:val="00397DB5"/>
    <w:rsid w:val="00397EA3"/>
    <w:rsid w:val="00397ED9"/>
    <w:rsid w:val="00397EED"/>
    <w:rsid w:val="00397F2D"/>
    <w:rsid w:val="003A00A3"/>
    <w:rsid w:val="003A037B"/>
    <w:rsid w:val="003A05A4"/>
    <w:rsid w:val="003A0845"/>
    <w:rsid w:val="003A08C4"/>
    <w:rsid w:val="003A0951"/>
    <w:rsid w:val="003A09DA"/>
    <w:rsid w:val="003A0F92"/>
    <w:rsid w:val="003A11B1"/>
    <w:rsid w:val="003A126C"/>
    <w:rsid w:val="003A1357"/>
    <w:rsid w:val="003A1485"/>
    <w:rsid w:val="003A1626"/>
    <w:rsid w:val="003A1842"/>
    <w:rsid w:val="003A1935"/>
    <w:rsid w:val="003A19FB"/>
    <w:rsid w:val="003A1AB0"/>
    <w:rsid w:val="003A1AB3"/>
    <w:rsid w:val="003A1ABF"/>
    <w:rsid w:val="003A1B41"/>
    <w:rsid w:val="003A1C6D"/>
    <w:rsid w:val="003A2129"/>
    <w:rsid w:val="003A218E"/>
    <w:rsid w:val="003A23CE"/>
    <w:rsid w:val="003A26BD"/>
    <w:rsid w:val="003A2937"/>
    <w:rsid w:val="003A298E"/>
    <w:rsid w:val="003A2D01"/>
    <w:rsid w:val="003A2E17"/>
    <w:rsid w:val="003A3086"/>
    <w:rsid w:val="003A30D9"/>
    <w:rsid w:val="003A334F"/>
    <w:rsid w:val="003A34D9"/>
    <w:rsid w:val="003A35BC"/>
    <w:rsid w:val="003A36B5"/>
    <w:rsid w:val="003A37CD"/>
    <w:rsid w:val="003A384B"/>
    <w:rsid w:val="003A3859"/>
    <w:rsid w:val="003A38DA"/>
    <w:rsid w:val="003A390F"/>
    <w:rsid w:val="003A3C58"/>
    <w:rsid w:val="003A446C"/>
    <w:rsid w:val="003A451B"/>
    <w:rsid w:val="003A45CE"/>
    <w:rsid w:val="003A4661"/>
    <w:rsid w:val="003A48F7"/>
    <w:rsid w:val="003A49F0"/>
    <w:rsid w:val="003A4B5A"/>
    <w:rsid w:val="003A4C27"/>
    <w:rsid w:val="003A4F07"/>
    <w:rsid w:val="003A4F25"/>
    <w:rsid w:val="003A4FC1"/>
    <w:rsid w:val="003A4FD3"/>
    <w:rsid w:val="003A5098"/>
    <w:rsid w:val="003A50CE"/>
    <w:rsid w:val="003A51F3"/>
    <w:rsid w:val="003A5246"/>
    <w:rsid w:val="003A55B1"/>
    <w:rsid w:val="003A55FE"/>
    <w:rsid w:val="003A5648"/>
    <w:rsid w:val="003A5C7F"/>
    <w:rsid w:val="003A5FCA"/>
    <w:rsid w:val="003A61DB"/>
    <w:rsid w:val="003A621B"/>
    <w:rsid w:val="003A64AD"/>
    <w:rsid w:val="003A6862"/>
    <w:rsid w:val="003A6881"/>
    <w:rsid w:val="003A6A57"/>
    <w:rsid w:val="003A6CDD"/>
    <w:rsid w:val="003A72F8"/>
    <w:rsid w:val="003A7450"/>
    <w:rsid w:val="003A752E"/>
    <w:rsid w:val="003A7578"/>
    <w:rsid w:val="003A7807"/>
    <w:rsid w:val="003A788E"/>
    <w:rsid w:val="003A7944"/>
    <w:rsid w:val="003A7B1F"/>
    <w:rsid w:val="003A7B27"/>
    <w:rsid w:val="003A7BF4"/>
    <w:rsid w:val="003A7DA4"/>
    <w:rsid w:val="003A7EF6"/>
    <w:rsid w:val="003A7F41"/>
    <w:rsid w:val="003B0142"/>
    <w:rsid w:val="003B01AF"/>
    <w:rsid w:val="003B027D"/>
    <w:rsid w:val="003B02FB"/>
    <w:rsid w:val="003B0408"/>
    <w:rsid w:val="003B05C8"/>
    <w:rsid w:val="003B06DC"/>
    <w:rsid w:val="003B06F6"/>
    <w:rsid w:val="003B07FA"/>
    <w:rsid w:val="003B08D1"/>
    <w:rsid w:val="003B0B52"/>
    <w:rsid w:val="003B0BC2"/>
    <w:rsid w:val="003B0C8A"/>
    <w:rsid w:val="003B0CA0"/>
    <w:rsid w:val="003B0F0E"/>
    <w:rsid w:val="003B1174"/>
    <w:rsid w:val="003B1178"/>
    <w:rsid w:val="003B1467"/>
    <w:rsid w:val="003B1474"/>
    <w:rsid w:val="003B1976"/>
    <w:rsid w:val="003B1AE0"/>
    <w:rsid w:val="003B1B0F"/>
    <w:rsid w:val="003B1C8E"/>
    <w:rsid w:val="003B1F1F"/>
    <w:rsid w:val="003B245F"/>
    <w:rsid w:val="003B246C"/>
    <w:rsid w:val="003B27BD"/>
    <w:rsid w:val="003B29DD"/>
    <w:rsid w:val="003B2AA1"/>
    <w:rsid w:val="003B2E7A"/>
    <w:rsid w:val="003B2F64"/>
    <w:rsid w:val="003B3082"/>
    <w:rsid w:val="003B3210"/>
    <w:rsid w:val="003B32B2"/>
    <w:rsid w:val="003B32BC"/>
    <w:rsid w:val="003B34DA"/>
    <w:rsid w:val="003B35A8"/>
    <w:rsid w:val="003B372F"/>
    <w:rsid w:val="003B38BA"/>
    <w:rsid w:val="003B3970"/>
    <w:rsid w:val="003B39BC"/>
    <w:rsid w:val="003B3A0F"/>
    <w:rsid w:val="003B3AD7"/>
    <w:rsid w:val="003B3F17"/>
    <w:rsid w:val="003B4254"/>
    <w:rsid w:val="003B4272"/>
    <w:rsid w:val="003B42DC"/>
    <w:rsid w:val="003B4889"/>
    <w:rsid w:val="003B4892"/>
    <w:rsid w:val="003B4A5B"/>
    <w:rsid w:val="003B4F77"/>
    <w:rsid w:val="003B51D1"/>
    <w:rsid w:val="003B537B"/>
    <w:rsid w:val="003B53E7"/>
    <w:rsid w:val="003B593D"/>
    <w:rsid w:val="003B5A88"/>
    <w:rsid w:val="003B5EA9"/>
    <w:rsid w:val="003B5F7C"/>
    <w:rsid w:val="003B6086"/>
    <w:rsid w:val="003B6227"/>
    <w:rsid w:val="003B6505"/>
    <w:rsid w:val="003B66F4"/>
    <w:rsid w:val="003B67B2"/>
    <w:rsid w:val="003B67D1"/>
    <w:rsid w:val="003B68B4"/>
    <w:rsid w:val="003B6BB4"/>
    <w:rsid w:val="003B7167"/>
    <w:rsid w:val="003B78E9"/>
    <w:rsid w:val="003B79BB"/>
    <w:rsid w:val="003B7A09"/>
    <w:rsid w:val="003B7CF6"/>
    <w:rsid w:val="003B7EF9"/>
    <w:rsid w:val="003C004E"/>
    <w:rsid w:val="003C01DD"/>
    <w:rsid w:val="003C02C0"/>
    <w:rsid w:val="003C0321"/>
    <w:rsid w:val="003C0465"/>
    <w:rsid w:val="003C04F8"/>
    <w:rsid w:val="003C081E"/>
    <w:rsid w:val="003C082B"/>
    <w:rsid w:val="003C09F2"/>
    <w:rsid w:val="003C0AF9"/>
    <w:rsid w:val="003C0B2D"/>
    <w:rsid w:val="003C0B5F"/>
    <w:rsid w:val="003C107D"/>
    <w:rsid w:val="003C10ED"/>
    <w:rsid w:val="003C13A7"/>
    <w:rsid w:val="003C1420"/>
    <w:rsid w:val="003C1712"/>
    <w:rsid w:val="003C1A3D"/>
    <w:rsid w:val="003C1A8C"/>
    <w:rsid w:val="003C1BE1"/>
    <w:rsid w:val="003C1BEA"/>
    <w:rsid w:val="003C1E2A"/>
    <w:rsid w:val="003C1E6C"/>
    <w:rsid w:val="003C1F58"/>
    <w:rsid w:val="003C295C"/>
    <w:rsid w:val="003C30EE"/>
    <w:rsid w:val="003C3217"/>
    <w:rsid w:val="003C3666"/>
    <w:rsid w:val="003C3824"/>
    <w:rsid w:val="003C3A94"/>
    <w:rsid w:val="003C3B8D"/>
    <w:rsid w:val="003C3C73"/>
    <w:rsid w:val="003C3DF3"/>
    <w:rsid w:val="003C430D"/>
    <w:rsid w:val="003C46BD"/>
    <w:rsid w:val="003C46BE"/>
    <w:rsid w:val="003C498E"/>
    <w:rsid w:val="003C4A7F"/>
    <w:rsid w:val="003C4CE3"/>
    <w:rsid w:val="003C52D1"/>
    <w:rsid w:val="003C5431"/>
    <w:rsid w:val="003C551D"/>
    <w:rsid w:val="003C554E"/>
    <w:rsid w:val="003C5AB6"/>
    <w:rsid w:val="003C5C92"/>
    <w:rsid w:val="003C60A4"/>
    <w:rsid w:val="003C60DC"/>
    <w:rsid w:val="003C623B"/>
    <w:rsid w:val="003C6694"/>
    <w:rsid w:val="003C673F"/>
    <w:rsid w:val="003C6744"/>
    <w:rsid w:val="003C67AE"/>
    <w:rsid w:val="003C687A"/>
    <w:rsid w:val="003C6978"/>
    <w:rsid w:val="003C6ACF"/>
    <w:rsid w:val="003C6CA4"/>
    <w:rsid w:val="003C6D88"/>
    <w:rsid w:val="003C71FC"/>
    <w:rsid w:val="003C72AF"/>
    <w:rsid w:val="003C75D2"/>
    <w:rsid w:val="003C76FF"/>
    <w:rsid w:val="003C78AE"/>
    <w:rsid w:val="003C799F"/>
    <w:rsid w:val="003C79E6"/>
    <w:rsid w:val="003C7B33"/>
    <w:rsid w:val="003C7C1B"/>
    <w:rsid w:val="003C7DBF"/>
    <w:rsid w:val="003C7F94"/>
    <w:rsid w:val="003D0124"/>
    <w:rsid w:val="003D01E7"/>
    <w:rsid w:val="003D038C"/>
    <w:rsid w:val="003D0485"/>
    <w:rsid w:val="003D0505"/>
    <w:rsid w:val="003D0526"/>
    <w:rsid w:val="003D066C"/>
    <w:rsid w:val="003D0C35"/>
    <w:rsid w:val="003D11A7"/>
    <w:rsid w:val="003D14D6"/>
    <w:rsid w:val="003D1765"/>
    <w:rsid w:val="003D18DB"/>
    <w:rsid w:val="003D1A8A"/>
    <w:rsid w:val="003D1AB8"/>
    <w:rsid w:val="003D1B23"/>
    <w:rsid w:val="003D1B94"/>
    <w:rsid w:val="003D1E13"/>
    <w:rsid w:val="003D1F13"/>
    <w:rsid w:val="003D2024"/>
    <w:rsid w:val="003D22DE"/>
    <w:rsid w:val="003D2690"/>
    <w:rsid w:val="003D26E6"/>
    <w:rsid w:val="003D27E4"/>
    <w:rsid w:val="003D27FD"/>
    <w:rsid w:val="003D28AC"/>
    <w:rsid w:val="003D2ABC"/>
    <w:rsid w:val="003D2BDE"/>
    <w:rsid w:val="003D2C50"/>
    <w:rsid w:val="003D2D2E"/>
    <w:rsid w:val="003D36CE"/>
    <w:rsid w:val="003D3ABD"/>
    <w:rsid w:val="003D3FE5"/>
    <w:rsid w:val="003D40A4"/>
    <w:rsid w:val="003D41CF"/>
    <w:rsid w:val="003D420E"/>
    <w:rsid w:val="003D4750"/>
    <w:rsid w:val="003D476D"/>
    <w:rsid w:val="003D47DA"/>
    <w:rsid w:val="003D4A7C"/>
    <w:rsid w:val="003D4C81"/>
    <w:rsid w:val="003D4C89"/>
    <w:rsid w:val="003D4DA4"/>
    <w:rsid w:val="003D4DCF"/>
    <w:rsid w:val="003D4ECA"/>
    <w:rsid w:val="003D4F6D"/>
    <w:rsid w:val="003D4FA7"/>
    <w:rsid w:val="003D5005"/>
    <w:rsid w:val="003D5178"/>
    <w:rsid w:val="003D53ED"/>
    <w:rsid w:val="003D5608"/>
    <w:rsid w:val="003D57E7"/>
    <w:rsid w:val="003D5847"/>
    <w:rsid w:val="003D589F"/>
    <w:rsid w:val="003D5AB9"/>
    <w:rsid w:val="003D604C"/>
    <w:rsid w:val="003D60C0"/>
    <w:rsid w:val="003D62AA"/>
    <w:rsid w:val="003D6524"/>
    <w:rsid w:val="003D659A"/>
    <w:rsid w:val="003D6674"/>
    <w:rsid w:val="003D69E2"/>
    <w:rsid w:val="003D6BCB"/>
    <w:rsid w:val="003D6D3E"/>
    <w:rsid w:val="003D6E10"/>
    <w:rsid w:val="003D6E93"/>
    <w:rsid w:val="003D72EA"/>
    <w:rsid w:val="003D7331"/>
    <w:rsid w:val="003D740B"/>
    <w:rsid w:val="003D763C"/>
    <w:rsid w:val="003D777D"/>
    <w:rsid w:val="003D7B4B"/>
    <w:rsid w:val="003D7B7F"/>
    <w:rsid w:val="003D7B8C"/>
    <w:rsid w:val="003D7BAF"/>
    <w:rsid w:val="003E0655"/>
    <w:rsid w:val="003E0728"/>
    <w:rsid w:val="003E081A"/>
    <w:rsid w:val="003E08A0"/>
    <w:rsid w:val="003E08A7"/>
    <w:rsid w:val="003E0D95"/>
    <w:rsid w:val="003E0E1E"/>
    <w:rsid w:val="003E0F6C"/>
    <w:rsid w:val="003E1015"/>
    <w:rsid w:val="003E1017"/>
    <w:rsid w:val="003E101D"/>
    <w:rsid w:val="003E1347"/>
    <w:rsid w:val="003E1401"/>
    <w:rsid w:val="003E154E"/>
    <w:rsid w:val="003E19CD"/>
    <w:rsid w:val="003E1A3D"/>
    <w:rsid w:val="003E1B4C"/>
    <w:rsid w:val="003E1BC2"/>
    <w:rsid w:val="003E1FBA"/>
    <w:rsid w:val="003E209B"/>
    <w:rsid w:val="003E21A1"/>
    <w:rsid w:val="003E241C"/>
    <w:rsid w:val="003E24C8"/>
    <w:rsid w:val="003E2518"/>
    <w:rsid w:val="003E27CC"/>
    <w:rsid w:val="003E2850"/>
    <w:rsid w:val="003E29FE"/>
    <w:rsid w:val="003E2AC9"/>
    <w:rsid w:val="003E2B78"/>
    <w:rsid w:val="003E2BBC"/>
    <w:rsid w:val="003E2CDB"/>
    <w:rsid w:val="003E2DF3"/>
    <w:rsid w:val="003E328E"/>
    <w:rsid w:val="003E336B"/>
    <w:rsid w:val="003E34EC"/>
    <w:rsid w:val="003E35C9"/>
    <w:rsid w:val="003E3689"/>
    <w:rsid w:val="003E369E"/>
    <w:rsid w:val="003E3A62"/>
    <w:rsid w:val="003E3BB9"/>
    <w:rsid w:val="003E3E30"/>
    <w:rsid w:val="003E3F64"/>
    <w:rsid w:val="003E4054"/>
    <w:rsid w:val="003E4218"/>
    <w:rsid w:val="003E427B"/>
    <w:rsid w:val="003E4342"/>
    <w:rsid w:val="003E4447"/>
    <w:rsid w:val="003E491B"/>
    <w:rsid w:val="003E498E"/>
    <w:rsid w:val="003E4B41"/>
    <w:rsid w:val="003E4C02"/>
    <w:rsid w:val="003E4F55"/>
    <w:rsid w:val="003E4F78"/>
    <w:rsid w:val="003E4FC2"/>
    <w:rsid w:val="003E50C3"/>
    <w:rsid w:val="003E531F"/>
    <w:rsid w:val="003E5487"/>
    <w:rsid w:val="003E58A7"/>
    <w:rsid w:val="003E5958"/>
    <w:rsid w:val="003E5ADF"/>
    <w:rsid w:val="003E5BD5"/>
    <w:rsid w:val="003E5CB0"/>
    <w:rsid w:val="003E5DE6"/>
    <w:rsid w:val="003E5F28"/>
    <w:rsid w:val="003E5F50"/>
    <w:rsid w:val="003E62A9"/>
    <w:rsid w:val="003E630F"/>
    <w:rsid w:val="003E6442"/>
    <w:rsid w:val="003E66BA"/>
    <w:rsid w:val="003E690F"/>
    <w:rsid w:val="003E6A74"/>
    <w:rsid w:val="003E6AFD"/>
    <w:rsid w:val="003E6BEB"/>
    <w:rsid w:val="003E6D95"/>
    <w:rsid w:val="003E708E"/>
    <w:rsid w:val="003E7258"/>
    <w:rsid w:val="003E7330"/>
    <w:rsid w:val="003E7718"/>
    <w:rsid w:val="003E7729"/>
    <w:rsid w:val="003E77BC"/>
    <w:rsid w:val="003E78AB"/>
    <w:rsid w:val="003E790C"/>
    <w:rsid w:val="003E7AD3"/>
    <w:rsid w:val="003E7AEA"/>
    <w:rsid w:val="003E7EF7"/>
    <w:rsid w:val="003F0062"/>
    <w:rsid w:val="003F0443"/>
    <w:rsid w:val="003F0593"/>
    <w:rsid w:val="003F0717"/>
    <w:rsid w:val="003F0A5A"/>
    <w:rsid w:val="003F0A5E"/>
    <w:rsid w:val="003F0C37"/>
    <w:rsid w:val="003F0CA1"/>
    <w:rsid w:val="003F0CD9"/>
    <w:rsid w:val="003F0ED2"/>
    <w:rsid w:val="003F0FB2"/>
    <w:rsid w:val="003F0FF3"/>
    <w:rsid w:val="003F142F"/>
    <w:rsid w:val="003F15CC"/>
    <w:rsid w:val="003F177F"/>
    <w:rsid w:val="003F180B"/>
    <w:rsid w:val="003F18A5"/>
    <w:rsid w:val="003F18E1"/>
    <w:rsid w:val="003F1A28"/>
    <w:rsid w:val="003F1E80"/>
    <w:rsid w:val="003F25A8"/>
    <w:rsid w:val="003F284A"/>
    <w:rsid w:val="003F28B3"/>
    <w:rsid w:val="003F2C67"/>
    <w:rsid w:val="003F304F"/>
    <w:rsid w:val="003F347B"/>
    <w:rsid w:val="003F3512"/>
    <w:rsid w:val="003F351F"/>
    <w:rsid w:val="003F3972"/>
    <w:rsid w:val="003F3F44"/>
    <w:rsid w:val="003F3F94"/>
    <w:rsid w:val="003F3FEA"/>
    <w:rsid w:val="003F4044"/>
    <w:rsid w:val="003F4047"/>
    <w:rsid w:val="003F4141"/>
    <w:rsid w:val="003F44B5"/>
    <w:rsid w:val="003F45A0"/>
    <w:rsid w:val="003F45E3"/>
    <w:rsid w:val="003F46D3"/>
    <w:rsid w:val="003F4AEA"/>
    <w:rsid w:val="003F4CD7"/>
    <w:rsid w:val="003F4D05"/>
    <w:rsid w:val="003F4DBF"/>
    <w:rsid w:val="003F4FE0"/>
    <w:rsid w:val="003F5520"/>
    <w:rsid w:val="003F56F4"/>
    <w:rsid w:val="003F5955"/>
    <w:rsid w:val="003F5AC7"/>
    <w:rsid w:val="003F5C33"/>
    <w:rsid w:val="003F5E56"/>
    <w:rsid w:val="003F5E5F"/>
    <w:rsid w:val="003F5F22"/>
    <w:rsid w:val="003F6219"/>
    <w:rsid w:val="003F660D"/>
    <w:rsid w:val="003F67F0"/>
    <w:rsid w:val="003F6C7C"/>
    <w:rsid w:val="003F6CDF"/>
    <w:rsid w:val="003F6D76"/>
    <w:rsid w:val="003F6F36"/>
    <w:rsid w:val="003F700B"/>
    <w:rsid w:val="003F7040"/>
    <w:rsid w:val="003F7225"/>
    <w:rsid w:val="003F763E"/>
    <w:rsid w:val="003F7778"/>
    <w:rsid w:val="003F77A7"/>
    <w:rsid w:val="003F797A"/>
    <w:rsid w:val="003F7A3C"/>
    <w:rsid w:val="003F7E04"/>
    <w:rsid w:val="003F7ECE"/>
    <w:rsid w:val="003F7F15"/>
    <w:rsid w:val="004000F3"/>
    <w:rsid w:val="0040029B"/>
    <w:rsid w:val="004003BA"/>
    <w:rsid w:val="004006E2"/>
    <w:rsid w:val="00400967"/>
    <w:rsid w:val="00400B7A"/>
    <w:rsid w:val="00400E92"/>
    <w:rsid w:val="00400F2B"/>
    <w:rsid w:val="00400F6F"/>
    <w:rsid w:val="00400FB7"/>
    <w:rsid w:val="00401084"/>
    <w:rsid w:val="004010B7"/>
    <w:rsid w:val="0040118F"/>
    <w:rsid w:val="00401345"/>
    <w:rsid w:val="0040169D"/>
    <w:rsid w:val="00401AF4"/>
    <w:rsid w:val="00401B49"/>
    <w:rsid w:val="00401B90"/>
    <w:rsid w:val="00401D70"/>
    <w:rsid w:val="00401DF4"/>
    <w:rsid w:val="00401F12"/>
    <w:rsid w:val="00401FA4"/>
    <w:rsid w:val="00402072"/>
    <w:rsid w:val="00402484"/>
    <w:rsid w:val="004024EB"/>
    <w:rsid w:val="004025B5"/>
    <w:rsid w:val="00402632"/>
    <w:rsid w:val="00402866"/>
    <w:rsid w:val="00402C47"/>
    <w:rsid w:val="00402EE8"/>
    <w:rsid w:val="00402F31"/>
    <w:rsid w:val="00403045"/>
    <w:rsid w:val="004032F8"/>
    <w:rsid w:val="004033AE"/>
    <w:rsid w:val="00403464"/>
    <w:rsid w:val="004034F5"/>
    <w:rsid w:val="004036E1"/>
    <w:rsid w:val="00403700"/>
    <w:rsid w:val="00403B16"/>
    <w:rsid w:val="00403BDA"/>
    <w:rsid w:val="00403E5C"/>
    <w:rsid w:val="0040454A"/>
    <w:rsid w:val="0040465D"/>
    <w:rsid w:val="00404703"/>
    <w:rsid w:val="004049C0"/>
    <w:rsid w:val="00404A44"/>
    <w:rsid w:val="00404C1A"/>
    <w:rsid w:val="00404C3C"/>
    <w:rsid w:val="00404CD3"/>
    <w:rsid w:val="00404D17"/>
    <w:rsid w:val="00404DE2"/>
    <w:rsid w:val="00404EA7"/>
    <w:rsid w:val="00404FB7"/>
    <w:rsid w:val="00405060"/>
    <w:rsid w:val="00405086"/>
    <w:rsid w:val="0040536A"/>
    <w:rsid w:val="0040562B"/>
    <w:rsid w:val="004056BE"/>
    <w:rsid w:val="004058F0"/>
    <w:rsid w:val="004059FF"/>
    <w:rsid w:val="00405A73"/>
    <w:rsid w:val="00405D94"/>
    <w:rsid w:val="00405FC3"/>
    <w:rsid w:val="00406087"/>
    <w:rsid w:val="004060E4"/>
    <w:rsid w:val="00406116"/>
    <w:rsid w:val="00406140"/>
    <w:rsid w:val="0040614D"/>
    <w:rsid w:val="00406189"/>
    <w:rsid w:val="00406227"/>
    <w:rsid w:val="004062D8"/>
    <w:rsid w:val="004064B7"/>
    <w:rsid w:val="0040693F"/>
    <w:rsid w:val="00406A02"/>
    <w:rsid w:val="00406A36"/>
    <w:rsid w:val="00406CB6"/>
    <w:rsid w:val="00406D6B"/>
    <w:rsid w:val="00406DD7"/>
    <w:rsid w:val="00407007"/>
    <w:rsid w:val="00407026"/>
    <w:rsid w:val="0040705D"/>
    <w:rsid w:val="0040711D"/>
    <w:rsid w:val="00407148"/>
    <w:rsid w:val="004072C0"/>
    <w:rsid w:val="00407352"/>
    <w:rsid w:val="00407548"/>
    <w:rsid w:val="00407877"/>
    <w:rsid w:val="00407BB0"/>
    <w:rsid w:val="00407CAF"/>
    <w:rsid w:val="00407D95"/>
    <w:rsid w:val="00407FE5"/>
    <w:rsid w:val="00410020"/>
    <w:rsid w:val="00410096"/>
    <w:rsid w:val="004102D4"/>
    <w:rsid w:val="004102DB"/>
    <w:rsid w:val="00410314"/>
    <w:rsid w:val="0041049C"/>
    <w:rsid w:val="004107EB"/>
    <w:rsid w:val="00410980"/>
    <w:rsid w:val="004109AD"/>
    <w:rsid w:val="004109BD"/>
    <w:rsid w:val="004109BE"/>
    <w:rsid w:val="004109C9"/>
    <w:rsid w:val="00410B75"/>
    <w:rsid w:val="00410BD2"/>
    <w:rsid w:val="00410BD5"/>
    <w:rsid w:val="00410E97"/>
    <w:rsid w:val="00410ECF"/>
    <w:rsid w:val="004110A5"/>
    <w:rsid w:val="004111CC"/>
    <w:rsid w:val="004111DC"/>
    <w:rsid w:val="004111DD"/>
    <w:rsid w:val="0041132D"/>
    <w:rsid w:val="004113F6"/>
    <w:rsid w:val="00411421"/>
    <w:rsid w:val="004114F1"/>
    <w:rsid w:val="00411B64"/>
    <w:rsid w:val="00411C63"/>
    <w:rsid w:val="0041228F"/>
    <w:rsid w:val="00412402"/>
    <w:rsid w:val="0041263B"/>
    <w:rsid w:val="00412876"/>
    <w:rsid w:val="00412A8E"/>
    <w:rsid w:val="00412D2C"/>
    <w:rsid w:val="00412D6A"/>
    <w:rsid w:val="004131A2"/>
    <w:rsid w:val="00413530"/>
    <w:rsid w:val="00413758"/>
    <w:rsid w:val="0041392C"/>
    <w:rsid w:val="00413A98"/>
    <w:rsid w:val="00414094"/>
    <w:rsid w:val="004142BA"/>
    <w:rsid w:val="00414343"/>
    <w:rsid w:val="0041435E"/>
    <w:rsid w:val="004143BB"/>
    <w:rsid w:val="00414675"/>
    <w:rsid w:val="00414916"/>
    <w:rsid w:val="00414B6E"/>
    <w:rsid w:val="00414D8E"/>
    <w:rsid w:val="00414DBA"/>
    <w:rsid w:val="00414F25"/>
    <w:rsid w:val="00414F45"/>
    <w:rsid w:val="0041526B"/>
    <w:rsid w:val="00415301"/>
    <w:rsid w:val="0041530D"/>
    <w:rsid w:val="00415321"/>
    <w:rsid w:val="004154CB"/>
    <w:rsid w:val="004158F4"/>
    <w:rsid w:val="0041592F"/>
    <w:rsid w:val="00415990"/>
    <w:rsid w:val="00415CBB"/>
    <w:rsid w:val="00415D8E"/>
    <w:rsid w:val="00415F1E"/>
    <w:rsid w:val="0041629F"/>
    <w:rsid w:val="0041630E"/>
    <w:rsid w:val="00416635"/>
    <w:rsid w:val="00416805"/>
    <w:rsid w:val="004169AD"/>
    <w:rsid w:val="004169F2"/>
    <w:rsid w:val="00416B96"/>
    <w:rsid w:val="00416D3D"/>
    <w:rsid w:val="00416E34"/>
    <w:rsid w:val="0041715D"/>
    <w:rsid w:val="00417235"/>
    <w:rsid w:val="00417553"/>
    <w:rsid w:val="0041762D"/>
    <w:rsid w:val="0041766B"/>
    <w:rsid w:val="00417742"/>
    <w:rsid w:val="00417DFC"/>
    <w:rsid w:val="00417F7C"/>
    <w:rsid w:val="00417FA3"/>
    <w:rsid w:val="00417FF7"/>
    <w:rsid w:val="004200D7"/>
    <w:rsid w:val="0042013C"/>
    <w:rsid w:val="0042054E"/>
    <w:rsid w:val="0042075F"/>
    <w:rsid w:val="0042096C"/>
    <w:rsid w:val="00420A4E"/>
    <w:rsid w:val="00420D2B"/>
    <w:rsid w:val="00420DF5"/>
    <w:rsid w:val="00420EE5"/>
    <w:rsid w:val="0042118B"/>
    <w:rsid w:val="004213BD"/>
    <w:rsid w:val="00421558"/>
    <w:rsid w:val="004217C5"/>
    <w:rsid w:val="00421A2F"/>
    <w:rsid w:val="00421C3F"/>
    <w:rsid w:val="00421CD1"/>
    <w:rsid w:val="00422184"/>
    <w:rsid w:val="0042220B"/>
    <w:rsid w:val="0042243B"/>
    <w:rsid w:val="004225F4"/>
    <w:rsid w:val="00422859"/>
    <w:rsid w:val="004229B4"/>
    <w:rsid w:val="00422CB2"/>
    <w:rsid w:val="00422CBF"/>
    <w:rsid w:val="00422D7B"/>
    <w:rsid w:val="00422E4C"/>
    <w:rsid w:val="00422EA2"/>
    <w:rsid w:val="004230A9"/>
    <w:rsid w:val="004231D4"/>
    <w:rsid w:val="00423271"/>
    <w:rsid w:val="0042364D"/>
    <w:rsid w:val="00423865"/>
    <w:rsid w:val="00423E38"/>
    <w:rsid w:val="00424051"/>
    <w:rsid w:val="004241D6"/>
    <w:rsid w:val="0042437F"/>
    <w:rsid w:val="004243B7"/>
    <w:rsid w:val="00424453"/>
    <w:rsid w:val="0042456B"/>
    <w:rsid w:val="00424763"/>
    <w:rsid w:val="0042485F"/>
    <w:rsid w:val="004248F3"/>
    <w:rsid w:val="00424E10"/>
    <w:rsid w:val="00424E5C"/>
    <w:rsid w:val="00424F06"/>
    <w:rsid w:val="00425000"/>
    <w:rsid w:val="004253B1"/>
    <w:rsid w:val="0042553C"/>
    <w:rsid w:val="004257F5"/>
    <w:rsid w:val="00425808"/>
    <w:rsid w:val="004259FB"/>
    <w:rsid w:val="00425D66"/>
    <w:rsid w:val="00425DAE"/>
    <w:rsid w:val="00425E0F"/>
    <w:rsid w:val="00425E72"/>
    <w:rsid w:val="0042618F"/>
    <w:rsid w:val="00426192"/>
    <w:rsid w:val="00426401"/>
    <w:rsid w:val="0042648F"/>
    <w:rsid w:val="00426547"/>
    <w:rsid w:val="00426781"/>
    <w:rsid w:val="00426815"/>
    <w:rsid w:val="0042694C"/>
    <w:rsid w:val="004269C0"/>
    <w:rsid w:val="00426B21"/>
    <w:rsid w:val="00426B2B"/>
    <w:rsid w:val="00426BB9"/>
    <w:rsid w:val="004272B1"/>
    <w:rsid w:val="004272BE"/>
    <w:rsid w:val="0042742F"/>
    <w:rsid w:val="0042781E"/>
    <w:rsid w:val="0042788B"/>
    <w:rsid w:val="004278FA"/>
    <w:rsid w:val="004279BD"/>
    <w:rsid w:val="00427B3B"/>
    <w:rsid w:val="00427C48"/>
    <w:rsid w:val="00427D31"/>
    <w:rsid w:val="0043009F"/>
    <w:rsid w:val="0043029B"/>
    <w:rsid w:val="00430710"/>
    <w:rsid w:val="00430850"/>
    <w:rsid w:val="004309F7"/>
    <w:rsid w:val="00430A23"/>
    <w:rsid w:val="00430B0E"/>
    <w:rsid w:val="00430C16"/>
    <w:rsid w:val="00430CB6"/>
    <w:rsid w:val="00430E2F"/>
    <w:rsid w:val="00430F38"/>
    <w:rsid w:val="00430F8D"/>
    <w:rsid w:val="0043110F"/>
    <w:rsid w:val="00431358"/>
    <w:rsid w:val="00431476"/>
    <w:rsid w:val="004315A3"/>
    <w:rsid w:val="00431BB4"/>
    <w:rsid w:val="00431BDF"/>
    <w:rsid w:val="00431E1D"/>
    <w:rsid w:val="00431E58"/>
    <w:rsid w:val="00431E60"/>
    <w:rsid w:val="00431E68"/>
    <w:rsid w:val="00431F1D"/>
    <w:rsid w:val="00431F99"/>
    <w:rsid w:val="00431FB5"/>
    <w:rsid w:val="0043223A"/>
    <w:rsid w:val="004326D6"/>
    <w:rsid w:val="00432942"/>
    <w:rsid w:val="00432A69"/>
    <w:rsid w:val="00432B72"/>
    <w:rsid w:val="00432CDD"/>
    <w:rsid w:val="00433096"/>
    <w:rsid w:val="004330C3"/>
    <w:rsid w:val="004330ED"/>
    <w:rsid w:val="00433301"/>
    <w:rsid w:val="0043339F"/>
    <w:rsid w:val="0043359D"/>
    <w:rsid w:val="00433855"/>
    <w:rsid w:val="0043392C"/>
    <w:rsid w:val="00433AD2"/>
    <w:rsid w:val="00433B2C"/>
    <w:rsid w:val="00433C76"/>
    <w:rsid w:val="00433E42"/>
    <w:rsid w:val="00434302"/>
    <w:rsid w:val="0043444E"/>
    <w:rsid w:val="004344D0"/>
    <w:rsid w:val="00434629"/>
    <w:rsid w:val="0043472B"/>
    <w:rsid w:val="00434957"/>
    <w:rsid w:val="00434AF0"/>
    <w:rsid w:val="00434C6C"/>
    <w:rsid w:val="00434FA8"/>
    <w:rsid w:val="00434FB8"/>
    <w:rsid w:val="004350EF"/>
    <w:rsid w:val="00435375"/>
    <w:rsid w:val="004353B5"/>
    <w:rsid w:val="004353D4"/>
    <w:rsid w:val="0043544A"/>
    <w:rsid w:val="0043558F"/>
    <w:rsid w:val="004355D6"/>
    <w:rsid w:val="00435A84"/>
    <w:rsid w:val="00435B11"/>
    <w:rsid w:val="00435C64"/>
    <w:rsid w:val="00435C87"/>
    <w:rsid w:val="00435E6E"/>
    <w:rsid w:val="00435EA3"/>
    <w:rsid w:val="00435F0F"/>
    <w:rsid w:val="004360A6"/>
    <w:rsid w:val="0043610D"/>
    <w:rsid w:val="00436134"/>
    <w:rsid w:val="004361B4"/>
    <w:rsid w:val="0043632B"/>
    <w:rsid w:val="00436781"/>
    <w:rsid w:val="0043679D"/>
    <w:rsid w:val="00436815"/>
    <w:rsid w:val="004368F9"/>
    <w:rsid w:val="00436A3C"/>
    <w:rsid w:val="0043701F"/>
    <w:rsid w:val="00437048"/>
    <w:rsid w:val="004370F1"/>
    <w:rsid w:val="00437315"/>
    <w:rsid w:val="004374C5"/>
    <w:rsid w:val="00437607"/>
    <w:rsid w:val="004377D2"/>
    <w:rsid w:val="004378E9"/>
    <w:rsid w:val="0043794A"/>
    <w:rsid w:val="00437D1F"/>
    <w:rsid w:val="00437FE2"/>
    <w:rsid w:val="00440028"/>
    <w:rsid w:val="00440038"/>
    <w:rsid w:val="00440280"/>
    <w:rsid w:val="004404C7"/>
    <w:rsid w:val="004406CF"/>
    <w:rsid w:val="004408F1"/>
    <w:rsid w:val="00440956"/>
    <w:rsid w:val="00440997"/>
    <w:rsid w:val="00440D1D"/>
    <w:rsid w:val="00440F7D"/>
    <w:rsid w:val="00440FA4"/>
    <w:rsid w:val="00441058"/>
    <w:rsid w:val="004411BC"/>
    <w:rsid w:val="004413B9"/>
    <w:rsid w:val="00441505"/>
    <w:rsid w:val="004419B2"/>
    <w:rsid w:val="00441B12"/>
    <w:rsid w:val="00441B8D"/>
    <w:rsid w:val="00441BFF"/>
    <w:rsid w:val="00441D15"/>
    <w:rsid w:val="00441E09"/>
    <w:rsid w:val="00441EE4"/>
    <w:rsid w:val="00441F06"/>
    <w:rsid w:val="00442117"/>
    <w:rsid w:val="0044212D"/>
    <w:rsid w:val="004421EA"/>
    <w:rsid w:val="004421F4"/>
    <w:rsid w:val="00442276"/>
    <w:rsid w:val="00442312"/>
    <w:rsid w:val="00442604"/>
    <w:rsid w:val="0044273E"/>
    <w:rsid w:val="00442977"/>
    <w:rsid w:val="004429AA"/>
    <w:rsid w:val="00442DC0"/>
    <w:rsid w:val="0044300A"/>
    <w:rsid w:val="004430D2"/>
    <w:rsid w:val="0044310B"/>
    <w:rsid w:val="00443247"/>
    <w:rsid w:val="00443332"/>
    <w:rsid w:val="0044376B"/>
    <w:rsid w:val="00443885"/>
    <w:rsid w:val="00443B12"/>
    <w:rsid w:val="00443C09"/>
    <w:rsid w:val="00443C98"/>
    <w:rsid w:val="00444260"/>
    <w:rsid w:val="004449AA"/>
    <w:rsid w:val="00444B86"/>
    <w:rsid w:val="00444D66"/>
    <w:rsid w:val="00444E0D"/>
    <w:rsid w:val="00444F47"/>
    <w:rsid w:val="00444F8D"/>
    <w:rsid w:val="004452A9"/>
    <w:rsid w:val="0044537A"/>
    <w:rsid w:val="00445643"/>
    <w:rsid w:val="00445B3B"/>
    <w:rsid w:val="00445C6F"/>
    <w:rsid w:val="00445DA0"/>
    <w:rsid w:val="00445F8E"/>
    <w:rsid w:val="00446037"/>
    <w:rsid w:val="0044616F"/>
    <w:rsid w:val="004461D0"/>
    <w:rsid w:val="004467A2"/>
    <w:rsid w:val="00446A10"/>
    <w:rsid w:val="00446B55"/>
    <w:rsid w:val="00446C1B"/>
    <w:rsid w:val="00446CC2"/>
    <w:rsid w:val="00446CF2"/>
    <w:rsid w:val="00446F8B"/>
    <w:rsid w:val="00447201"/>
    <w:rsid w:val="004473AD"/>
    <w:rsid w:val="004474ED"/>
    <w:rsid w:val="004475CA"/>
    <w:rsid w:val="004475E0"/>
    <w:rsid w:val="00447659"/>
    <w:rsid w:val="0044779A"/>
    <w:rsid w:val="00447BC5"/>
    <w:rsid w:val="00447C5E"/>
    <w:rsid w:val="00447D7F"/>
    <w:rsid w:val="00447E98"/>
    <w:rsid w:val="004502B2"/>
    <w:rsid w:val="0045048D"/>
    <w:rsid w:val="00450511"/>
    <w:rsid w:val="00450622"/>
    <w:rsid w:val="0045092E"/>
    <w:rsid w:val="00450A79"/>
    <w:rsid w:val="00450CF7"/>
    <w:rsid w:val="00451291"/>
    <w:rsid w:val="004512C8"/>
    <w:rsid w:val="004514EB"/>
    <w:rsid w:val="004514FD"/>
    <w:rsid w:val="0045151E"/>
    <w:rsid w:val="00451540"/>
    <w:rsid w:val="0045165B"/>
    <w:rsid w:val="0045173B"/>
    <w:rsid w:val="0045174F"/>
    <w:rsid w:val="0045185D"/>
    <w:rsid w:val="00451B9A"/>
    <w:rsid w:val="00451BA6"/>
    <w:rsid w:val="00451CA4"/>
    <w:rsid w:val="00451E18"/>
    <w:rsid w:val="00452088"/>
    <w:rsid w:val="00452133"/>
    <w:rsid w:val="004521AC"/>
    <w:rsid w:val="0045239A"/>
    <w:rsid w:val="004526DC"/>
    <w:rsid w:val="004527B0"/>
    <w:rsid w:val="00452A0A"/>
    <w:rsid w:val="00452AC7"/>
    <w:rsid w:val="00452B3F"/>
    <w:rsid w:val="004538C8"/>
    <w:rsid w:val="0045390B"/>
    <w:rsid w:val="00453A6C"/>
    <w:rsid w:val="00453B48"/>
    <w:rsid w:val="00453E5B"/>
    <w:rsid w:val="00453ED6"/>
    <w:rsid w:val="0045457D"/>
    <w:rsid w:val="0045463B"/>
    <w:rsid w:val="004546E4"/>
    <w:rsid w:val="00454A24"/>
    <w:rsid w:val="00454CDE"/>
    <w:rsid w:val="00454E4E"/>
    <w:rsid w:val="00455097"/>
    <w:rsid w:val="004551AA"/>
    <w:rsid w:val="004551DB"/>
    <w:rsid w:val="0045539E"/>
    <w:rsid w:val="004553D9"/>
    <w:rsid w:val="004554F2"/>
    <w:rsid w:val="004556B8"/>
    <w:rsid w:val="00455949"/>
    <w:rsid w:val="00455966"/>
    <w:rsid w:val="00455C4A"/>
    <w:rsid w:val="00455CE0"/>
    <w:rsid w:val="004563F7"/>
    <w:rsid w:val="0045640F"/>
    <w:rsid w:val="0045643C"/>
    <w:rsid w:val="00456594"/>
    <w:rsid w:val="00456720"/>
    <w:rsid w:val="00456874"/>
    <w:rsid w:val="004568F4"/>
    <w:rsid w:val="00456A25"/>
    <w:rsid w:val="00456E81"/>
    <w:rsid w:val="00456F71"/>
    <w:rsid w:val="00456FF3"/>
    <w:rsid w:val="004573E5"/>
    <w:rsid w:val="004573EF"/>
    <w:rsid w:val="004573F0"/>
    <w:rsid w:val="004579B0"/>
    <w:rsid w:val="00457AC5"/>
    <w:rsid w:val="00457B00"/>
    <w:rsid w:val="00457C36"/>
    <w:rsid w:val="00457CBF"/>
    <w:rsid w:val="00457ECE"/>
    <w:rsid w:val="004603C1"/>
    <w:rsid w:val="0046068F"/>
    <w:rsid w:val="00460726"/>
    <w:rsid w:val="004607AE"/>
    <w:rsid w:val="00460D34"/>
    <w:rsid w:val="00460D35"/>
    <w:rsid w:val="00461A4C"/>
    <w:rsid w:val="00461B83"/>
    <w:rsid w:val="00461DB4"/>
    <w:rsid w:val="00461EB7"/>
    <w:rsid w:val="00462011"/>
    <w:rsid w:val="00462183"/>
    <w:rsid w:val="004621FB"/>
    <w:rsid w:val="00462311"/>
    <w:rsid w:val="004623D3"/>
    <w:rsid w:val="00462634"/>
    <w:rsid w:val="00462C07"/>
    <w:rsid w:val="00462F24"/>
    <w:rsid w:val="00462F5A"/>
    <w:rsid w:val="004630E8"/>
    <w:rsid w:val="00463536"/>
    <w:rsid w:val="0046353B"/>
    <w:rsid w:val="00463548"/>
    <w:rsid w:val="004639EE"/>
    <w:rsid w:val="00463ABD"/>
    <w:rsid w:val="00463AF5"/>
    <w:rsid w:val="00463EC3"/>
    <w:rsid w:val="004641F4"/>
    <w:rsid w:val="004644C0"/>
    <w:rsid w:val="004644C5"/>
    <w:rsid w:val="00464829"/>
    <w:rsid w:val="00464832"/>
    <w:rsid w:val="00464CF7"/>
    <w:rsid w:val="00464FC2"/>
    <w:rsid w:val="00465063"/>
    <w:rsid w:val="004650DD"/>
    <w:rsid w:val="00465156"/>
    <w:rsid w:val="004651CF"/>
    <w:rsid w:val="004651D3"/>
    <w:rsid w:val="004653C8"/>
    <w:rsid w:val="004655C3"/>
    <w:rsid w:val="004655FF"/>
    <w:rsid w:val="0046570D"/>
    <w:rsid w:val="00465785"/>
    <w:rsid w:val="004658DB"/>
    <w:rsid w:val="0046594B"/>
    <w:rsid w:val="00465DB0"/>
    <w:rsid w:val="00465DD6"/>
    <w:rsid w:val="00465DFC"/>
    <w:rsid w:val="00465F6A"/>
    <w:rsid w:val="00466419"/>
    <w:rsid w:val="004668B9"/>
    <w:rsid w:val="00466913"/>
    <w:rsid w:val="00466A75"/>
    <w:rsid w:val="00466C22"/>
    <w:rsid w:val="00466D2A"/>
    <w:rsid w:val="00466E05"/>
    <w:rsid w:val="00466F59"/>
    <w:rsid w:val="00467077"/>
    <w:rsid w:val="004678B4"/>
    <w:rsid w:val="004679A9"/>
    <w:rsid w:val="004679D1"/>
    <w:rsid w:val="00467A4F"/>
    <w:rsid w:val="00467D43"/>
    <w:rsid w:val="00467DCA"/>
    <w:rsid w:val="00467E85"/>
    <w:rsid w:val="00470146"/>
    <w:rsid w:val="004703E7"/>
    <w:rsid w:val="004705EA"/>
    <w:rsid w:val="004707DD"/>
    <w:rsid w:val="004707F5"/>
    <w:rsid w:val="0047086B"/>
    <w:rsid w:val="00470EE9"/>
    <w:rsid w:val="00471053"/>
    <w:rsid w:val="004710B5"/>
    <w:rsid w:val="00471124"/>
    <w:rsid w:val="00471197"/>
    <w:rsid w:val="004713AB"/>
    <w:rsid w:val="00471438"/>
    <w:rsid w:val="004716A3"/>
    <w:rsid w:val="00471705"/>
    <w:rsid w:val="00471907"/>
    <w:rsid w:val="00471D92"/>
    <w:rsid w:val="00471E38"/>
    <w:rsid w:val="00471F0A"/>
    <w:rsid w:val="0047204C"/>
    <w:rsid w:val="00472099"/>
    <w:rsid w:val="004720A8"/>
    <w:rsid w:val="004720DD"/>
    <w:rsid w:val="0047211B"/>
    <w:rsid w:val="004724F9"/>
    <w:rsid w:val="004726F6"/>
    <w:rsid w:val="00472ABE"/>
    <w:rsid w:val="00472FAE"/>
    <w:rsid w:val="004733A0"/>
    <w:rsid w:val="00473420"/>
    <w:rsid w:val="004735C3"/>
    <w:rsid w:val="00473612"/>
    <w:rsid w:val="00473686"/>
    <w:rsid w:val="004738DE"/>
    <w:rsid w:val="00473B52"/>
    <w:rsid w:val="00473BD7"/>
    <w:rsid w:val="00473C51"/>
    <w:rsid w:val="00474278"/>
    <w:rsid w:val="004743B0"/>
    <w:rsid w:val="0047444E"/>
    <w:rsid w:val="00474509"/>
    <w:rsid w:val="004749AC"/>
    <w:rsid w:val="00474BF4"/>
    <w:rsid w:val="00475047"/>
    <w:rsid w:val="00475631"/>
    <w:rsid w:val="004757EB"/>
    <w:rsid w:val="004759A6"/>
    <w:rsid w:val="00475A47"/>
    <w:rsid w:val="00475E73"/>
    <w:rsid w:val="00476438"/>
    <w:rsid w:val="004766B3"/>
    <w:rsid w:val="0047686D"/>
    <w:rsid w:val="00476A9E"/>
    <w:rsid w:val="00476B6B"/>
    <w:rsid w:val="00476F21"/>
    <w:rsid w:val="00476F4E"/>
    <w:rsid w:val="00477245"/>
    <w:rsid w:val="0047743A"/>
    <w:rsid w:val="004774C5"/>
    <w:rsid w:val="00477565"/>
    <w:rsid w:val="00477585"/>
    <w:rsid w:val="004776CF"/>
    <w:rsid w:val="00477915"/>
    <w:rsid w:val="00477A4F"/>
    <w:rsid w:val="00477D57"/>
    <w:rsid w:val="00477D86"/>
    <w:rsid w:val="004805C1"/>
    <w:rsid w:val="004806AF"/>
    <w:rsid w:val="00480814"/>
    <w:rsid w:val="00480896"/>
    <w:rsid w:val="00480964"/>
    <w:rsid w:val="004809EE"/>
    <w:rsid w:val="00480CF9"/>
    <w:rsid w:val="00480FCF"/>
    <w:rsid w:val="0048105E"/>
    <w:rsid w:val="00481442"/>
    <w:rsid w:val="00481882"/>
    <w:rsid w:val="00481B8E"/>
    <w:rsid w:val="00481D86"/>
    <w:rsid w:val="004826E5"/>
    <w:rsid w:val="0048283D"/>
    <w:rsid w:val="0048287F"/>
    <w:rsid w:val="00482884"/>
    <w:rsid w:val="004828BE"/>
    <w:rsid w:val="004829CE"/>
    <w:rsid w:val="00482D4D"/>
    <w:rsid w:val="0048308E"/>
    <w:rsid w:val="004830C7"/>
    <w:rsid w:val="004834EA"/>
    <w:rsid w:val="0048351D"/>
    <w:rsid w:val="00483ABC"/>
    <w:rsid w:val="00483B44"/>
    <w:rsid w:val="00483C83"/>
    <w:rsid w:val="00483EE3"/>
    <w:rsid w:val="00484282"/>
    <w:rsid w:val="004843AD"/>
    <w:rsid w:val="0048440F"/>
    <w:rsid w:val="004845F2"/>
    <w:rsid w:val="0048473B"/>
    <w:rsid w:val="00484815"/>
    <w:rsid w:val="00484B88"/>
    <w:rsid w:val="00484D0F"/>
    <w:rsid w:val="00484EC8"/>
    <w:rsid w:val="00484F30"/>
    <w:rsid w:val="00484F8E"/>
    <w:rsid w:val="0048515F"/>
    <w:rsid w:val="004853A6"/>
    <w:rsid w:val="00485491"/>
    <w:rsid w:val="004854AB"/>
    <w:rsid w:val="004855E5"/>
    <w:rsid w:val="00485693"/>
    <w:rsid w:val="0048595C"/>
    <w:rsid w:val="00485AB7"/>
    <w:rsid w:val="00485B69"/>
    <w:rsid w:val="00485B9B"/>
    <w:rsid w:val="00485CCA"/>
    <w:rsid w:val="00485D9C"/>
    <w:rsid w:val="00485FAB"/>
    <w:rsid w:val="004863C1"/>
    <w:rsid w:val="0048658F"/>
    <w:rsid w:val="00486AF0"/>
    <w:rsid w:val="00486BDF"/>
    <w:rsid w:val="00486C56"/>
    <w:rsid w:val="00486E29"/>
    <w:rsid w:val="00486EEE"/>
    <w:rsid w:val="0048704F"/>
    <w:rsid w:val="00487084"/>
    <w:rsid w:val="004871D0"/>
    <w:rsid w:val="0048725D"/>
    <w:rsid w:val="00487408"/>
    <w:rsid w:val="0048762E"/>
    <w:rsid w:val="00487733"/>
    <w:rsid w:val="0048775C"/>
    <w:rsid w:val="0048798C"/>
    <w:rsid w:val="00487B3D"/>
    <w:rsid w:val="00487CC1"/>
    <w:rsid w:val="00487F08"/>
    <w:rsid w:val="0049008B"/>
    <w:rsid w:val="00490390"/>
    <w:rsid w:val="004903EF"/>
    <w:rsid w:val="0049065F"/>
    <w:rsid w:val="004907BE"/>
    <w:rsid w:val="00490859"/>
    <w:rsid w:val="00490A22"/>
    <w:rsid w:val="00490BF5"/>
    <w:rsid w:val="00490D4D"/>
    <w:rsid w:val="004910A7"/>
    <w:rsid w:val="00491387"/>
    <w:rsid w:val="004913ED"/>
    <w:rsid w:val="0049148B"/>
    <w:rsid w:val="00491687"/>
    <w:rsid w:val="004916D3"/>
    <w:rsid w:val="0049172F"/>
    <w:rsid w:val="00491877"/>
    <w:rsid w:val="00491954"/>
    <w:rsid w:val="0049197C"/>
    <w:rsid w:val="00491BDC"/>
    <w:rsid w:val="00491C8C"/>
    <w:rsid w:val="00491DDA"/>
    <w:rsid w:val="00491E6D"/>
    <w:rsid w:val="0049204C"/>
    <w:rsid w:val="00492069"/>
    <w:rsid w:val="00492107"/>
    <w:rsid w:val="00492189"/>
    <w:rsid w:val="0049226F"/>
    <w:rsid w:val="0049230A"/>
    <w:rsid w:val="00492359"/>
    <w:rsid w:val="004923CD"/>
    <w:rsid w:val="004925B8"/>
    <w:rsid w:val="004927E4"/>
    <w:rsid w:val="00492A8C"/>
    <w:rsid w:val="00492B59"/>
    <w:rsid w:val="00492C84"/>
    <w:rsid w:val="00492F93"/>
    <w:rsid w:val="00492FF3"/>
    <w:rsid w:val="0049312E"/>
    <w:rsid w:val="004931DD"/>
    <w:rsid w:val="00493326"/>
    <w:rsid w:val="004933D0"/>
    <w:rsid w:val="00493440"/>
    <w:rsid w:val="004938DD"/>
    <w:rsid w:val="00493ADB"/>
    <w:rsid w:val="00493BC4"/>
    <w:rsid w:val="00493D46"/>
    <w:rsid w:val="004940CF"/>
    <w:rsid w:val="004941D9"/>
    <w:rsid w:val="004942A6"/>
    <w:rsid w:val="0049469B"/>
    <w:rsid w:val="0049469C"/>
    <w:rsid w:val="004947D7"/>
    <w:rsid w:val="004949E7"/>
    <w:rsid w:val="00494DA3"/>
    <w:rsid w:val="00494E82"/>
    <w:rsid w:val="00494EFE"/>
    <w:rsid w:val="00495062"/>
    <w:rsid w:val="0049552D"/>
    <w:rsid w:val="00495619"/>
    <w:rsid w:val="0049572B"/>
    <w:rsid w:val="0049573F"/>
    <w:rsid w:val="004957E8"/>
    <w:rsid w:val="004958F4"/>
    <w:rsid w:val="00495B70"/>
    <w:rsid w:val="00495C5F"/>
    <w:rsid w:val="00495CC0"/>
    <w:rsid w:val="00495F26"/>
    <w:rsid w:val="00495F56"/>
    <w:rsid w:val="004961A3"/>
    <w:rsid w:val="00496240"/>
    <w:rsid w:val="00496397"/>
    <w:rsid w:val="00496405"/>
    <w:rsid w:val="00496714"/>
    <w:rsid w:val="00496729"/>
    <w:rsid w:val="0049687C"/>
    <w:rsid w:val="004968EC"/>
    <w:rsid w:val="004969C0"/>
    <w:rsid w:val="00496A2B"/>
    <w:rsid w:val="00496D7D"/>
    <w:rsid w:val="00496DCB"/>
    <w:rsid w:val="00496DEB"/>
    <w:rsid w:val="004970E4"/>
    <w:rsid w:val="004973D2"/>
    <w:rsid w:val="004974B5"/>
    <w:rsid w:val="0049780C"/>
    <w:rsid w:val="00497A26"/>
    <w:rsid w:val="00497C2B"/>
    <w:rsid w:val="00497C4A"/>
    <w:rsid w:val="00497CAD"/>
    <w:rsid w:val="00497D23"/>
    <w:rsid w:val="004A03BE"/>
    <w:rsid w:val="004A0411"/>
    <w:rsid w:val="004A06B2"/>
    <w:rsid w:val="004A0920"/>
    <w:rsid w:val="004A0971"/>
    <w:rsid w:val="004A0D89"/>
    <w:rsid w:val="004A1049"/>
    <w:rsid w:val="004A10F5"/>
    <w:rsid w:val="004A10F9"/>
    <w:rsid w:val="004A158C"/>
    <w:rsid w:val="004A166C"/>
    <w:rsid w:val="004A1683"/>
    <w:rsid w:val="004A1A60"/>
    <w:rsid w:val="004A1FAC"/>
    <w:rsid w:val="004A1FF7"/>
    <w:rsid w:val="004A2175"/>
    <w:rsid w:val="004A249D"/>
    <w:rsid w:val="004A2508"/>
    <w:rsid w:val="004A26ED"/>
    <w:rsid w:val="004A2778"/>
    <w:rsid w:val="004A2A2C"/>
    <w:rsid w:val="004A2A54"/>
    <w:rsid w:val="004A2F89"/>
    <w:rsid w:val="004A31E2"/>
    <w:rsid w:val="004A322F"/>
    <w:rsid w:val="004A32D2"/>
    <w:rsid w:val="004A33A2"/>
    <w:rsid w:val="004A350C"/>
    <w:rsid w:val="004A359D"/>
    <w:rsid w:val="004A376D"/>
    <w:rsid w:val="004A38D8"/>
    <w:rsid w:val="004A3BC9"/>
    <w:rsid w:val="004A3D2D"/>
    <w:rsid w:val="004A3D9B"/>
    <w:rsid w:val="004A3F93"/>
    <w:rsid w:val="004A3FE6"/>
    <w:rsid w:val="004A406E"/>
    <w:rsid w:val="004A40BA"/>
    <w:rsid w:val="004A464D"/>
    <w:rsid w:val="004A4799"/>
    <w:rsid w:val="004A4C93"/>
    <w:rsid w:val="004A4FA9"/>
    <w:rsid w:val="004A4FC6"/>
    <w:rsid w:val="004A54F4"/>
    <w:rsid w:val="004A5904"/>
    <w:rsid w:val="004A5969"/>
    <w:rsid w:val="004A5AB5"/>
    <w:rsid w:val="004A5B41"/>
    <w:rsid w:val="004A5DE6"/>
    <w:rsid w:val="004A5E26"/>
    <w:rsid w:val="004A60F0"/>
    <w:rsid w:val="004A612D"/>
    <w:rsid w:val="004A6236"/>
    <w:rsid w:val="004A6306"/>
    <w:rsid w:val="004A6340"/>
    <w:rsid w:val="004A68AB"/>
    <w:rsid w:val="004A6979"/>
    <w:rsid w:val="004A6B42"/>
    <w:rsid w:val="004A6B8A"/>
    <w:rsid w:val="004A6BF4"/>
    <w:rsid w:val="004A6CA5"/>
    <w:rsid w:val="004A720D"/>
    <w:rsid w:val="004A77A9"/>
    <w:rsid w:val="004A78BE"/>
    <w:rsid w:val="004A7956"/>
    <w:rsid w:val="004A7A9F"/>
    <w:rsid w:val="004A7B9E"/>
    <w:rsid w:val="004A7BF6"/>
    <w:rsid w:val="004A7DFC"/>
    <w:rsid w:val="004A7E2A"/>
    <w:rsid w:val="004A7E65"/>
    <w:rsid w:val="004A7E93"/>
    <w:rsid w:val="004A7EA8"/>
    <w:rsid w:val="004A9DCD"/>
    <w:rsid w:val="004B015E"/>
    <w:rsid w:val="004B03FE"/>
    <w:rsid w:val="004B04A8"/>
    <w:rsid w:val="004B061C"/>
    <w:rsid w:val="004B0794"/>
    <w:rsid w:val="004B0B36"/>
    <w:rsid w:val="004B10EA"/>
    <w:rsid w:val="004B11CB"/>
    <w:rsid w:val="004B11E7"/>
    <w:rsid w:val="004B12F2"/>
    <w:rsid w:val="004B1495"/>
    <w:rsid w:val="004B1613"/>
    <w:rsid w:val="004B1793"/>
    <w:rsid w:val="004B181C"/>
    <w:rsid w:val="004B1A79"/>
    <w:rsid w:val="004B1AE4"/>
    <w:rsid w:val="004B1B09"/>
    <w:rsid w:val="004B1B24"/>
    <w:rsid w:val="004B1BB1"/>
    <w:rsid w:val="004B1CE6"/>
    <w:rsid w:val="004B1E1C"/>
    <w:rsid w:val="004B1FF4"/>
    <w:rsid w:val="004B23A8"/>
    <w:rsid w:val="004B2504"/>
    <w:rsid w:val="004B251C"/>
    <w:rsid w:val="004B2525"/>
    <w:rsid w:val="004B2548"/>
    <w:rsid w:val="004B2881"/>
    <w:rsid w:val="004B2950"/>
    <w:rsid w:val="004B29D9"/>
    <w:rsid w:val="004B2BFC"/>
    <w:rsid w:val="004B3352"/>
    <w:rsid w:val="004B3377"/>
    <w:rsid w:val="004B3738"/>
    <w:rsid w:val="004B38A2"/>
    <w:rsid w:val="004B3949"/>
    <w:rsid w:val="004B39E0"/>
    <w:rsid w:val="004B3AE4"/>
    <w:rsid w:val="004B3D5B"/>
    <w:rsid w:val="004B411E"/>
    <w:rsid w:val="004B42C6"/>
    <w:rsid w:val="004B4411"/>
    <w:rsid w:val="004B45BF"/>
    <w:rsid w:val="004B4A4C"/>
    <w:rsid w:val="004B4A72"/>
    <w:rsid w:val="004B4AB9"/>
    <w:rsid w:val="004B4C53"/>
    <w:rsid w:val="004B4CB5"/>
    <w:rsid w:val="004B4D6B"/>
    <w:rsid w:val="004B4E5F"/>
    <w:rsid w:val="004B4F2B"/>
    <w:rsid w:val="004B5256"/>
    <w:rsid w:val="004B5583"/>
    <w:rsid w:val="004B55A9"/>
    <w:rsid w:val="004B599C"/>
    <w:rsid w:val="004B6099"/>
    <w:rsid w:val="004B6267"/>
    <w:rsid w:val="004B6398"/>
    <w:rsid w:val="004B63ED"/>
    <w:rsid w:val="004B6471"/>
    <w:rsid w:val="004B6663"/>
    <w:rsid w:val="004B67E7"/>
    <w:rsid w:val="004B6887"/>
    <w:rsid w:val="004B6891"/>
    <w:rsid w:val="004B69DC"/>
    <w:rsid w:val="004B6BCE"/>
    <w:rsid w:val="004B6DA2"/>
    <w:rsid w:val="004B6F2B"/>
    <w:rsid w:val="004B6FC0"/>
    <w:rsid w:val="004B7033"/>
    <w:rsid w:val="004B719B"/>
    <w:rsid w:val="004B74C4"/>
    <w:rsid w:val="004B762A"/>
    <w:rsid w:val="004B7742"/>
    <w:rsid w:val="004B7780"/>
    <w:rsid w:val="004B7A42"/>
    <w:rsid w:val="004B7A4A"/>
    <w:rsid w:val="004B7A65"/>
    <w:rsid w:val="004B7A93"/>
    <w:rsid w:val="004B7BA7"/>
    <w:rsid w:val="004B7BDF"/>
    <w:rsid w:val="004B7E64"/>
    <w:rsid w:val="004C0165"/>
    <w:rsid w:val="004C06FF"/>
    <w:rsid w:val="004C0761"/>
    <w:rsid w:val="004C0913"/>
    <w:rsid w:val="004C09C9"/>
    <w:rsid w:val="004C0AA2"/>
    <w:rsid w:val="004C0E52"/>
    <w:rsid w:val="004C0E61"/>
    <w:rsid w:val="004C0E70"/>
    <w:rsid w:val="004C0F54"/>
    <w:rsid w:val="004C134D"/>
    <w:rsid w:val="004C137F"/>
    <w:rsid w:val="004C1604"/>
    <w:rsid w:val="004C162B"/>
    <w:rsid w:val="004C19C2"/>
    <w:rsid w:val="004C19EB"/>
    <w:rsid w:val="004C1AC9"/>
    <w:rsid w:val="004C1AE7"/>
    <w:rsid w:val="004C1B41"/>
    <w:rsid w:val="004C1BC2"/>
    <w:rsid w:val="004C1BD4"/>
    <w:rsid w:val="004C1EEA"/>
    <w:rsid w:val="004C1F0F"/>
    <w:rsid w:val="004C22CC"/>
    <w:rsid w:val="004C23A0"/>
    <w:rsid w:val="004C23C4"/>
    <w:rsid w:val="004C25DD"/>
    <w:rsid w:val="004C261F"/>
    <w:rsid w:val="004C2984"/>
    <w:rsid w:val="004C29E8"/>
    <w:rsid w:val="004C2E44"/>
    <w:rsid w:val="004C2EDA"/>
    <w:rsid w:val="004C2FC7"/>
    <w:rsid w:val="004C3190"/>
    <w:rsid w:val="004C31EF"/>
    <w:rsid w:val="004C32A1"/>
    <w:rsid w:val="004C339A"/>
    <w:rsid w:val="004C35B1"/>
    <w:rsid w:val="004C36AB"/>
    <w:rsid w:val="004C375A"/>
    <w:rsid w:val="004C37BD"/>
    <w:rsid w:val="004C37E1"/>
    <w:rsid w:val="004C3884"/>
    <w:rsid w:val="004C3AD0"/>
    <w:rsid w:val="004C3B17"/>
    <w:rsid w:val="004C3BD4"/>
    <w:rsid w:val="004C3D61"/>
    <w:rsid w:val="004C4579"/>
    <w:rsid w:val="004C4896"/>
    <w:rsid w:val="004C4904"/>
    <w:rsid w:val="004C4EDB"/>
    <w:rsid w:val="004C533B"/>
    <w:rsid w:val="004C548F"/>
    <w:rsid w:val="004C556A"/>
    <w:rsid w:val="004C55B3"/>
    <w:rsid w:val="004C55F6"/>
    <w:rsid w:val="004C576A"/>
    <w:rsid w:val="004C5780"/>
    <w:rsid w:val="004C59DD"/>
    <w:rsid w:val="004C5CF2"/>
    <w:rsid w:val="004C5EF0"/>
    <w:rsid w:val="004C6138"/>
    <w:rsid w:val="004C6141"/>
    <w:rsid w:val="004C61A3"/>
    <w:rsid w:val="004C64DB"/>
    <w:rsid w:val="004C65C5"/>
    <w:rsid w:val="004C67FD"/>
    <w:rsid w:val="004C6B82"/>
    <w:rsid w:val="004C6FFE"/>
    <w:rsid w:val="004C714A"/>
    <w:rsid w:val="004C7154"/>
    <w:rsid w:val="004C739A"/>
    <w:rsid w:val="004C778E"/>
    <w:rsid w:val="004C78A2"/>
    <w:rsid w:val="004C7C2C"/>
    <w:rsid w:val="004C7E4F"/>
    <w:rsid w:val="004C7F51"/>
    <w:rsid w:val="004D016D"/>
    <w:rsid w:val="004D01B1"/>
    <w:rsid w:val="004D01BE"/>
    <w:rsid w:val="004D0375"/>
    <w:rsid w:val="004D0394"/>
    <w:rsid w:val="004D0426"/>
    <w:rsid w:val="004D08FC"/>
    <w:rsid w:val="004D09B7"/>
    <w:rsid w:val="004D09C3"/>
    <w:rsid w:val="004D0B2A"/>
    <w:rsid w:val="004D0B47"/>
    <w:rsid w:val="004D0C7C"/>
    <w:rsid w:val="004D0C8F"/>
    <w:rsid w:val="004D0CF5"/>
    <w:rsid w:val="004D0F9F"/>
    <w:rsid w:val="004D0FF7"/>
    <w:rsid w:val="004D120D"/>
    <w:rsid w:val="004D155F"/>
    <w:rsid w:val="004D1666"/>
    <w:rsid w:val="004D193B"/>
    <w:rsid w:val="004D1D12"/>
    <w:rsid w:val="004D2427"/>
    <w:rsid w:val="004D262B"/>
    <w:rsid w:val="004D273F"/>
    <w:rsid w:val="004D276B"/>
    <w:rsid w:val="004D2892"/>
    <w:rsid w:val="004D28FA"/>
    <w:rsid w:val="004D2A1F"/>
    <w:rsid w:val="004D2B97"/>
    <w:rsid w:val="004D2D25"/>
    <w:rsid w:val="004D2D49"/>
    <w:rsid w:val="004D2EC5"/>
    <w:rsid w:val="004D31A9"/>
    <w:rsid w:val="004D34C2"/>
    <w:rsid w:val="004D3506"/>
    <w:rsid w:val="004D3645"/>
    <w:rsid w:val="004D3B3D"/>
    <w:rsid w:val="004D3B8B"/>
    <w:rsid w:val="004D3FA2"/>
    <w:rsid w:val="004D4330"/>
    <w:rsid w:val="004D47C2"/>
    <w:rsid w:val="004D47E9"/>
    <w:rsid w:val="004D48D3"/>
    <w:rsid w:val="004D50C6"/>
    <w:rsid w:val="004D5165"/>
    <w:rsid w:val="004D54CB"/>
    <w:rsid w:val="004D5A46"/>
    <w:rsid w:val="004D5B55"/>
    <w:rsid w:val="004D5F34"/>
    <w:rsid w:val="004D6177"/>
    <w:rsid w:val="004D67F4"/>
    <w:rsid w:val="004D6909"/>
    <w:rsid w:val="004D6D7F"/>
    <w:rsid w:val="004D6D9E"/>
    <w:rsid w:val="004D6EAA"/>
    <w:rsid w:val="004D6EDC"/>
    <w:rsid w:val="004D6F34"/>
    <w:rsid w:val="004D7076"/>
    <w:rsid w:val="004D70AD"/>
    <w:rsid w:val="004D725E"/>
    <w:rsid w:val="004D7280"/>
    <w:rsid w:val="004D748C"/>
    <w:rsid w:val="004D74C6"/>
    <w:rsid w:val="004D7688"/>
    <w:rsid w:val="004D79DC"/>
    <w:rsid w:val="004D7A6D"/>
    <w:rsid w:val="004D7DCF"/>
    <w:rsid w:val="004E002B"/>
    <w:rsid w:val="004E0096"/>
    <w:rsid w:val="004E037D"/>
    <w:rsid w:val="004E066B"/>
    <w:rsid w:val="004E07B9"/>
    <w:rsid w:val="004E0C30"/>
    <w:rsid w:val="004E0D4D"/>
    <w:rsid w:val="004E0D81"/>
    <w:rsid w:val="004E0F15"/>
    <w:rsid w:val="004E1084"/>
    <w:rsid w:val="004E11BE"/>
    <w:rsid w:val="004E11D3"/>
    <w:rsid w:val="004E12C9"/>
    <w:rsid w:val="004E1327"/>
    <w:rsid w:val="004E1424"/>
    <w:rsid w:val="004E15E4"/>
    <w:rsid w:val="004E1745"/>
    <w:rsid w:val="004E1840"/>
    <w:rsid w:val="004E196F"/>
    <w:rsid w:val="004E197F"/>
    <w:rsid w:val="004E19BB"/>
    <w:rsid w:val="004E1C6D"/>
    <w:rsid w:val="004E1E12"/>
    <w:rsid w:val="004E1F31"/>
    <w:rsid w:val="004E203B"/>
    <w:rsid w:val="004E2144"/>
    <w:rsid w:val="004E21EB"/>
    <w:rsid w:val="004E2388"/>
    <w:rsid w:val="004E23B1"/>
    <w:rsid w:val="004E25C9"/>
    <w:rsid w:val="004E28BF"/>
    <w:rsid w:val="004E336C"/>
    <w:rsid w:val="004E3451"/>
    <w:rsid w:val="004E35F1"/>
    <w:rsid w:val="004E3704"/>
    <w:rsid w:val="004E3735"/>
    <w:rsid w:val="004E3811"/>
    <w:rsid w:val="004E38FD"/>
    <w:rsid w:val="004E3940"/>
    <w:rsid w:val="004E39CC"/>
    <w:rsid w:val="004E3E02"/>
    <w:rsid w:val="004E3E20"/>
    <w:rsid w:val="004E3EC5"/>
    <w:rsid w:val="004E4028"/>
    <w:rsid w:val="004E4184"/>
    <w:rsid w:val="004E4535"/>
    <w:rsid w:val="004E45B9"/>
    <w:rsid w:val="004E4605"/>
    <w:rsid w:val="004E4640"/>
    <w:rsid w:val="004E478A"/>
    <w:rsid w:val="004E4804"/>
    <w:rsid w:val="004E4833"/>
    <w:rsid w:val="004E4984"/>
    <w:rsid w:val="004E4AF9"/>
    <w:rsid w:val="004E4BCD"/>
    <w:rsid w:val="004E4DA6"/>
    <w:rsid w:val="004E51D4"/>
    <w:rsid w:val="004E5281"/>
    <w:rsid w:val="004E59C0"/>
    <w:rsid w:val="004E5FA1"/>
    <w:rsid w:val="004E6173"/>
    <w:rsid w:val="004E657D"/>
    <w:rsid w:val="004E659A"/>
    <w:rsid w:val="004E66A0"/>
    <w:rsid w:val="004E6971"/>
    <w:rsid w:val="004E6E95"/>
    <w:rsid w:val="004E7109"/>
    <w:rsid w:val="004E72FF"/>
    <w:rsid w:val="004E7314"/>
    <w:rsid w:val="004E7319"/>
    <w:rsid w:val="004E74B6"/>
    <w:rsid w:val="004E75AC"/>
    <w:rsid w:val="004E771F"/>
    <w:rsid w:val="004E790A"/>
    <w:rsid w:val="004E7C19"/>
    <w:rsid w:val="004E7E92"/>
    <w:rsid w:val="004E7ECC"/>
    <w:rsid w:val="004E7F77"/>
    <w:rsid w:val="004F01C8"/>
    <w:rsid w:val="004F02C0"/>
    <w:rsid w:val="004F0328"/>
    <w:rsid w:val="004F04CB"/>
    <w:rsid w:val="004F0683"/>
    <w:rsid w:val="004F099F"/>
    <w:rsid w:val="004F0A96"/>
    <w:rsid w:val="004F0D75"/>
    <w:rsid w:val="004F109D"/>
    <w:rsid w:val="004F1169"/>
    <w:rsid w:val="004F1366"/>
    <w:rsid w:val="004F1555"/>
    <w:rsid w:val="004F166E"/>
    <w:rsid w:val="004F16B2"/>
    <w:rsid w:val="004F1B74"/>
    <w:rsid w:val="004F1D5D"/>
    <w:rsid w:val="004F1E82"/>
    <w:rsid w:val="004F1EAF"/>
    <w:rsid w:val="004F2067"/>
    <w:rsid w:val="004F25E0"/>
    <w:rsid w:val="004F266C"/>
    <w:rsid w:val="004F2CC5"/>
    <w:rsid w:val="004F2CC7"/>
    <w:rsid w:val="004F2DA2"/>
    <w:rsid w:val="004F32A8"/>
    <w:rsid w:val="004F32F9"/>
    <w:rsid w:val="004F3377"/>
    <w:rsid w:val="004F38FF"/>
    <w:rsid w:val="004F3AB8"/>
    <w:rsid w:val="004F3EAA"/>
    <w:rsid w:val="004F497A"/>
    <w:rsid w:val="004F4A82"/>
    <w:rsid w:val="004F4AB4"/>
    <w:rsid w:val="004F4DF3"/>
    <w:rsid w:val="004F4DFC"/>
    <w:rsid w:val="004F4E89"/>
    <w:rsid w:val="004F4F5F"/>
    <w:rsid w:val="004F4FB6"/>
    <w:rsid w:val="004F530B"/>
    <w:rsid w:val="004F545A"/>
    <w:rsid w:val="004F554C"/>
    <w:rsid w:val="004F5697"/>
    <w:rsid w:val="004F57F3"/>
    <w:rsid w:val="004F5881"/>
    <w:rsid w:val="004F5A1D"/>
    <w:rsid w:val="004F5AA4"/>
    <w:rsid w:val="004F5AD4"/>
    <w:rsid w:val="004F5B64"/>
    <w:rsid w:val="004F5D6F"/>
    <w:rsid w:val="004F5F25"/>
    <w:rsid w:val="004F6012"/>
    <w:rsid w:val="004F6929"/>
    <w:rsid w:val="004F6992"/>
    <w:rsid w:val="004F69FD"/>
    <w:rsid w:val="004F6A88"/>
    <w:rsid w:val="004F6B1E"/>
    <w:rsid w:val="004F6BB0"/>
    <w:rsid w:val="004F6CF3"/>
    <w:rsid w:val="004F6D34"/>
    <w:rsid w:val="004F6DBE"/>
    <w:rsid w:val="004F6EEF"/>
    <w:rsid w:val="004F7038"/>
    <w:rsid w:val="004F7141"/>
    <w:rsid w:val="004F71F9"/>
    <w:rsid w:val="004F72F0"/>
    <w:rsid w:val="004F7349"/>
    <w:rsid w:val="004F735B"/>
    <w:rsid w:val="004F7394"/>
    <w:rsid w:val="004F73D0"/>
    <w:rsid w:val="004F73FE"/>
    <w:rsid w:val="004F748F"/>
    <w:rsid w:val="004F77A4"/>
    <w:rsid w:val="004F798D"/>
    <w:rsid w:val="004F79FE"/>
    <w:rsid w:val="004F7B40"/>
    <w:rsid w:val="004F7BAB"/>
    <w:rsid w:val="004F7BBA"/>
    <w:rsid w:val="004F7DF7"/>
    <w:rsid w:val="004F7F5A"/>
    <w:rsid w:val="00500178"/>
    <w:rsid w:val="005004FC"/>
    <w:rsid w:val="005009DA"/>
    <w:rsid w:val="00500A65"/>
    <w:rsid w:val="00500DC6"/>
    <w:rsid w:val="00501488"/>
    <w:rsid w:val="0050156A"/>
    <w:rsid w:val="005015E4"/>
    <w:rsid w:val="00501832"/>
    <w:rsid w:val="005018B8"/>
    <w:rsid w:val="00501A6C"/>
    <w:rsid w:val="00501C13"/>
    <w:rsid w:val="00501CA3"/>
    <w:rsid w:val="00501CE1"/>
    <w:rsid w:val="00501D1D"/>
    <w:rsid w:val="005020EF"/>
    <w:rsid w:val="00502104"/>
    <w:rsid w:val="005023CD"/>
    <w:rsid w:val="005028A8"/>
    <w:rsid w:val="00502A17"/>
    <w:rsid w:val="00502B7C"/>
    <w:rsid w:val="00502E46"/>
    <w:rsid w:val="00502EDB"/>
    <w:rsid w:val="00503089"/>
    <w:rsid w:val="00503098"/>
    <w:rsid w:val="005030C3"/>
    <w:rsid w:val="0050326E"/>
    <w:rsid w:val="005033E0"/>
    <w:rsid w:val="005036E6"/>
    <w:rsid w:val="00503703"/>
    <w:rsid w:val="00503788"/>
    <w:rsid w:val="00503AA1"/>
    <w:rsid w:val="00503D65"/>
    <w:rsid w:val="00503E56"/>
    <w:rsid w:val="0050402A"/>
    <w:rsid w:val="0050414F"/>
    <w:rsid w:val="00504302"/>
    <w:rsid w:val="00504332"/>
    <w:rsid w:val="00504459"/>
    <w:rsid w:val="00504554"/>
    <w:rsid w:val="00504794"/>
    <w:rsid w:val="0050486F"/>
    <w:rsid w:val="0050488C"/>
    <w:rsid w:val="00504BE4"/>
    <w:rsid w:val="00504E46"/>
    <w:rsid w:val="00505136"/>
    <w:rsid w:val="005051D3"/>
    <w:rsid w:val="005051F6"/>
    <w:rsid w:val="0050526B"/>
    <w:rsid w:val="0050548B"/>
    <w:rsid w:val="00505765"/>
    <w:rsid w:val="00505A44"/>
    <w:rsid w:val="00505AC6"/>
    <w:rsid w:val="00505AE3"/>
    <w:rsid w:val="00505C1E"/>
    <w:rsid w:val="00505C96"/>
    <w:rsid w:val="005062DD"/>
    <w:rsid w:val="005062F9"/>
    <w:rsid w:val="00506323"/>
    <w:rsid w:val="005063E2"/>
    <w:rsid w:val="005067E1"/>
    <w:rsid w:val="00506865"/>
    <w:rsid w:val="005068FD"/>
    <w:rsid w:val="00506C47"/>
    <w:rsid w:val="00506D0F"/>
    <w:rsid w:val="00506D91"/>
    <w:rsid w:val="0050733C"/>
    <w:rsid w:val="0050735A"/>
    <w:rsid w:val="00507507"/>
    <w:rsid w:val="005077DC"/>
    <w:rsid w:val="005078A5"/>
    <w:rsid w:val="005079A5"/>
    <w:rsid w:val="00507A0B"/>
    <w:rsid w:val="00507C4F"/>
    <w:rsid w:val="00507DC3"/>
    <w:rsid w:val="00507EDF"/>
    <w:rsid w:val="00507FF8"/>
    <w:rsid w:val="00510533"/>
    <w:rsid w:val="00510970"/>
    <w:rsid w:val="005109EE"/>
    <w:rsid w:val="00510A41"/>
    <w:rsid w:val="00510B3C"/>
    <w:rsid w:val="00510D6E"/>
    <w:rsid w:val="00510D90"/>
    <w:rsid w:val="00510DFD"/>
    <w:rsid w:val="00510F63"/>
    <w:rsid w:val="00511137"/>
    <w:rsid w:val="005113EA"/>
    <w:rsid w:val="005115BB"/>
    <w:rsid w:val="00511605"/>
    <w:rsid w:val="00511B30"/>
    <w:rsid w:val="00511CF2"/>
    <w:rsid w:val="00511D2B"/>
    <w:rsid w:val="00511FFA"/>
    <w:rsid w:val="005120BC"/>
    <w:rsid w:val="00512105"/>
    <w:rsid w:val="00512145"/>
    <w:rsid w:val="0051251D"/>
    <w:rsid w:val="005128B5"/>
    <w:rsid w:val="00512BA4"/>
    <w:rsid w:val="00512C09"/>
    <w:rsid w:val="00512E41"/>
    <w:rsid w:val="00512E68"/>
    <w:rsid w:val="005132DC"/>
    <w:rsid w:val="005136A0"/>
    <w:rsid w:val="005136B6"/>
    <w:rsid w:val="00513959"/>
    <w:rsid w:val="00513BAE"/>
    <w:rsid w:val="00513C6C"/>
    <w:rsid w:val="00513CB7"/>
    <w:rsid w:val="00513E0C"/>
    <w:rsid w:val="00513E17"/>
    <w:rsid w:val="00513E54"/>
    <w:rsid w:val="00513E74"/>
    <w:rsid w:val="00513EDE"/>
    <w:rsid w:val="0051401F"/>
    <w:rsid w:val="005143C4"/>
    <w:rsid w:val="005144E8"/>
    <w:rsid w:val="00514758"/>
    <w:rsid w:val="005147E5"/>
    <w:rsid w:val="00514B88"/>
    <w:rsid w:val="00514FD1"/>
    <w:rsid w:val="00515339"/>
    <w:rsid w:val="00515513"/>
    <w:rsid w:val="00515CCF"/>
    <w:rsid w:val="00515E17"/>
    <w:rsid w:val="00515EB1"/>
    <w:rsid w:val="00516177"/>
    <w:rsid w:val="005164E1"/>
    <w:rsid w:val="005165DB"/>
    <w:rsid w:val="005166F6"/>
    <w:rsid w:val="005167C7"/>
    <w:rsid w:val="00516C3D"/>
    <w:rsid w:val="00516C7B"/>
    <w:rsid w:val="00516C91"/>
    <w:rsid w:val="00516EDD"/>
    <w:rsid w:val="005170D5"/>
    <w:rsid w:val="00517220"/>
    <w:rsid w:val="0051726E"/>
    <w:rsid w:val="0051748B"/>
    <w:rsid w:val="00517E89"/>
    <w:rsid w:val="00520091"/>
    <w:rsid w:val="0052025F"/>
    <w:rsid w:val="005202DB"/>
    <w:rsid w:val="00520436"/>
    <w:rsid w:val="005205A2"/>
    <w:rsid w:val="005207F6"/>
    <w:rsid w:val="00520811"/>
    <w:rsid w:val="005209C6"/>
    <w:rsid w:val="00520B3A"/>
    <w:rsid w:val="00520CCA"/>
    <w:rsid w:val="0052100C"/>
    <w:rsid w:val="00521142"/>
    <w:rsid w:val="00521A08"/>
    <w:rsid w:val="00521AA4"/>
    <w:rsid w:val="00521AEF"/>
    <w:rsid w:val="00521B1A"/>
    <w:rsid w:val="00521EDC"/>
    <w:rsid w:val="00521F4B"/>
    <w:rsid w:val="00521FB1"/>
    <w:rsid w:val="005220BD"/>
    <w:rsid w:val="0052229A"/>
    <w:rsid w:val="005229C5"/>
    <w:rsid w:val="00522CB4"/>
    <w:rsid w:val="00522D29"/>
    <w:rsid w:val="00522E59"/>
    <w:rsid w:val="0052311B"/>
    <w:rsid w:val="00523445"/>
    <w:rsid w:val="00523687"/>
    <w:rsid w:val="00523976"/>
    <w:rsid w:val="005239C7"/>
    <w:rsid w:val="00523B81"/>
    <w:rsid w:val="00524149"/>
    <w:rsid w:val="00524176"/>
    <w:rsid w:val="005243CE"/>
    <w:rsid w:val="005245CE"/>
    <w:rsid w:val="00524685"/>
    <w:rsid w:val="0052469D"/>
    <w:rsid w:val="005246BF"/>
    <w:rsid w:val="005247B8"/>
    <w:rsid w:val="00524CFF"/>
    <w:rsid w:val="00524DB3"/>
    <w:rsid w:val="00525024"/>
    <w:rsid w:val="00525317"/>
    <w:rsid w:val="00525379"/>
    <w:rsid w:val="005253D5"/>
    <w:rsid w:val="00525496"/>
    <w:rsid w:val="0052558F"/>
    <w:rsid w:val="00525A1D"/>
    <w:rsid w:val="00525A4D"/>
    <w:rsid w:val="00525EB3"/>
    <w:rsid w:val="0052617D"/>
    <w:rsid w:val="005261D5"/>
    <w:rsid w:val="0052643E"/>
    <w:rsid w:val="0052650B"/>
    <w:rsid w:val="005266AD"/>
    <w:rsid w:val="005266DA"/>
    <w:rsid w:val="005267FE"/>
    <w:rsid w:val="00526892"/>
    <w:rsid w:val="0052690D"/>
    <w:rsid w:val="005270BA"/>
    <w:rsid w:val="0052713A"/>
    <w:rsid w:val="005271A2"/>
    <w:rsid w:val="005273CE"/>
    <w:rsid w:val="00527480"/>
    <w:rsid w:val="0052786A"/>
    <w:rsid w:val="00527A44"/>
    <w:rsid w:val="00527BA2"/>
    <w:rsid w:val="00530338"/>
    <w:rsid w:val="005304F8"/>
    <w:rsid w:val="00530659"/>
    <w:rsid w:val="0053073D"/>
    <w:rsid w:val="005307F8"/>
    <w:rsid w:val="005307FC"/>
    <w:rsid w:val="0053092A"/>
    <w:rsid w:val="00530A6E"/>
    <w:rsid w:val="00530B83"/>
    <w:rsid w:val="00530C69"/>
    <w:rsid w:val="00530C94"/>
    <w:rsid w:val="00531055"/>
    <w:rsid w:val="0053138B"/>
    <w:rsid w:val="005315E7"/>
    <w:rsid w:val="0053165E"/>
    <w:rsid w:val="00531D12"/>
    <w:rsid w:val="00531E4A"/>
    <w:rsid w:val="00531EAE"/>
    <w:rsid w:val="00531F25"/>
    <w:rsid w:val="00532094"/>
    <w:rsid w:val="00532373"/>
    <w:rsid w:val="00532629"/>
    <w:rsid w:val="0053268A"/>
    <w:rsid w:val="005326B1"/>
    <w:rsid w:val="00532728"/>
    <w:rsid w:val="00532739"/>
    <w:rsid w:val="00532816"/>
    <w:rsid w:val="00532862"/>
    <w:rsid w:val="00532868"/>
    <w:rsid w:val="00532C1C"/>
    <w:rsid w:val="00532E23"/>
    <w:rsid w:val="00532EC5"/>
    <w:rsid w:val="00532FF2"/>
    <w:rsid w:val="005330EC"/>
    <w:rsid w:val="00533144"/>
    <w:rsid w:val="00533181"/>
    <w:rsid w:val="005331FE"/>
    <w:rsid w:val="00533207"/>
    <w:rsid w:val="00533492"/>
    <w:rsid w:val="0053354D"/>
    <w:rsid w:val="00533C90"/>
    <w:rsid w:val="005342C1"/>
    <w:rsid w:val="00534326"/>
    <w:rsid w:val="00534352"/>
    <w:rsid w:val="00534406"/>
    <w:rsid w:val="005344C6"/>
    <w:rsid w:val="005344DB"/>
    <w:rsid w:val="005346E2"/>
    <w:rsid w:val="0053480B"/>
    <w:rsid w:val="005349F7"/>
    <w:rsid w:val="00534B2F"/>
    <w:rsid w:val="00534D6D"/>
    <w:rsid w:val="00534D79"/>
    <w:rsid w:val="00534E10"/>
    <w:rsid w:val="005350EF"/>
    <w:rsid w:val="00535204"/>
    <w:rsid w:val="005352AD"/>
    <w:rsid w:val="0053547A"/>
    <w:rsid w:val="0053584A"/>
    <w:rsid w:val="005359B3"/>
    <w:rsid w:val="00535A28"/>
    <w:rsid w:val="00535AEB"/>
    <w:rsid w:val="00535B0F"/>
    <w:rsid w:val="00535B8B"/>
    <w:rsid w:val="00535D73"/>
    <w:rsid w:val="00536013"/>
    <w:rsid w:val="0053620F"/>
    <w:rsid w:val="00536255"/>
    <w:rsid w:val="005362D9"/>
    <w:rsid w:val="00536385"/>
    <w:rsid w:val="00536386"/>
    <w:rsid w:val="00536520"/>
    <w:rsid w:val="00536571"/>
    <w:rsid w:val="005368A6"/>
    <w:rsid w:val="005368F6"/>
    <w:rsid w:val="00536DDC"/>
    <w:rsid w:val="00537059"/>
    <w:rsid w:val="0053708B"/>
    <w:rsid w:val="00537355"/>
    <w:rsid w:val="0053747C"/>
    <w:rsid w:val="00537530"/>
    <w:rsid w:val="0053771E"/>
    <w:rsid w:val="00537732"/>
    <w:rsid w:val="00537F80"/>
    <w:rsid w:val="00540068"/>
    <w:rsid w:val="00540146"/>
    <w:rsid w:val="00540213"/>
    <w:rsid w:val="0054021F"/>
    <w:rsid w:val="00540328"/>
    <w:rsid w:val="0054068C"/>
    <w:rsid w:val="00540838"/>
    <w:rsid w:val="00540AD4"/>
    <w:rsid w:val="00540BF3"/>
    <w:rsid w:val="00540C5D"/>
    <w:rsid w:val="00540D36"/>
    <w:rsid w:val="00541039"/>
    <w:rsid w:val="00541046"/>
    <w:rsid w:val="0054104A"/>
    <w:rsid w:val="005411C0"/>
    <w:rsid w:val="005413EE"/>
    <w:rsid w:val="005413FD"/>
    <w:rsid w:val="005414BA"/>
    <w:rsid w:val="005418E7"/>
    <w:rsid w:val="005419AE"/>
    <w:rsid w:val="00541BEA"/>
    <w:rsid w:val="00541FBD"/>
    <w:rsid w:val="00542168"/>
    <w:rsid w:val="0054221D"/>
    <w:rsid w:val="00542A4D"/>
    <w:rsid w:val="00542AF9"/>
    <w:rsid w:val="00542D72"/>
    <w:rsid w:val="005430CD"/>
    <w:rsid w:val="0054353A"/>
    <w:rsid w:val="005435BE"/>
    <w:rsid w:val="00543A0E"/>
    <w:rsid w:val="00543B6E"/>
    <w:rsid w:val="00543C82"/>
    <w:rsid w:val="00543CD9"/>
    <w:rsid w:val="00543DA2"/>
    <w:rsid w:val="00543DC3"/>
    <w:rsid w:val="00543EC1"/>
    <w:rsid w:val="00543F37"/>
    <w:rsid w:val="0054407E"/>
    <w:rsid w:val="005441FB"/>
    <w:rsid w:val="005444EE"/>
    <w:rsid w:val="005445D4"/>
    <w:rsid w:val="00544751"/>
    <w:rsid w:val="005449F7"/>
    <w:rsid w:val="00544B04"/>
    <w:rsid w:val="00544DC8"/>
    <w:rsid w:val="00544E5D"/>
    <w:rsid w:val="005450A7"/>
    <w:rsid w:val="005453C4"/>
    <w:rsid w:val="00545418"/>
    <w:rsid w:val="00545735"/>
    <w:rsid w:val="005457A6"/>
    <w:rsid w:val="00545806"/>
    <w:rsid w:val="00545864"/>
    <w:rsid w:val="00545A1B"/>
    <w:rsid w:val="00545AFE"/>
    <w:rsid w:val="00545C6E"/>
    <w:rsid w:val="00545CB7"/>
    <w:rsid w:val="00545DD1"/>
    <w:rsid w:val="00545DEB"/>
    <w:rsid w:val="00545E78"/>
    <w:rsid w:val="00545EB5"/>
    <w:rsid w:val="00545F75"/>
    <w:rsid w:val="00546119"/>
    <w:rsid w:val="005461D9"/>
    <w:rsid w:val="0054635F"/>
    <w:rsid w:val="00546764"/>
    <w:rsid w:val="0054693F"/>
    <w:rsid w:val="00546DEB"/>
    <w:rsid w:val="00546F3A"/>
    <w:rsid w:val="00546F51"/>
    <w:rsid w:val="00546FCB"/>
    <w:rsid w:val="00546FE3"/>
    <w:rsid w:val="005471C9"/>
    <w:rsid w:val="005472A2"/>
    <w:rsid w:val="0054789C"/>
    <w:rsid w:val="00547937"/>
    <w:rsid w:val="00547CF5"/>
    <w:rsid w:val="00547DA8"/>
    <w:rsid w:val="00547F6F"/>
    <w:rsid w:val="00547FFD"/>
    <w:rsid w:val="00550027"/>
    <w:rsid w:val="005503EA"/>
    <w:rsid w:val="005504EF"/>
    <w:rsid w:val="00550676"/>
    <w:rsid w:val="00550749"/>
    <w:rsid w:val="00550831"/>
    <w:rsid w:val="005508BD"/>
    <w:rsid w:val="005508EA"/>
    <w:rsid w:val="005510AA"/>
    <w:rsid w:val="00551155"/>
    <w:rsid w:val="00551160"/>
    <w:rsid w:val="005512F0"/>
    <w:rsid w:val="005519E8"/>
    <w:rsid w:val="00551C2D"/>
    <w:rsid w:val="005521C3"/>
    <w:rsid w:val="0055263A"/>
    <w:rsid w:val="00552730"/>
    <w:rsid w:val="005528EA"/>
    <w:rsid w:val="005529D3"/>
    <w:rsid w:val="00552A70"/>
    <w:rsid w:val="00552A95"/>
    <w:rsid w:val="00552B6F"/>
    <w:rsid w:val="00552C63"/>
    <w:rsid w:val="00552DBA"/>
    <w:rsid w:val="00553179"/>
    <w:rsid w:val="0055382E"/>
    <w:rsid w:val="005540C0"/>
    <w:rsid w:val="00554485"/>
    <w:rsid w:val="00554600"/>
    <w:rsid w:val="00554758"/>
    <w:rsid w:val="005550EB"/>
    <w:rsid w:val="00555421"/>
    <w:rsid w:val="00555480"/>
    <w:rsid w:val="005554CE"/>
    <w:rsid w:val="00555601"/>
    <w:rsid w:val="00555698"/>
    <w:rsid w:val="00555A04"/>
    <w:rsid w:val="00555B37"/>
    <w:rsid w:val="00555D56"/>
    <w:rsid w:val="0055610E"/>
    <w:rsid w:val="00556558"/>
    <w:rsid w:val="00556559"/>
    <w:rsid w:val="00556772"/>
    <w:rsid w:val="005567DD"/>
    <w:rsid w:val="00556809"/>
    <w:rsid w:val="00556A4D"/>
    <w:rsid w:val="00556B4D"/>
    <w:rsid w:val="00556EE2"/>
    <w:rsid w:val="00556EE6"/>
    <w:rsid w:val="005570A2"/>
    <w:rsid w:val="00557119"/>
    <w:rsid w:val="00557626"/>
    <w:rsid w:val="00557639"/>
    <w:rsid w:val="005577C0"/>
    <w:rsid w:val="00557811"/>
    <w:rsid w:val="00557887"/>
    <w:rsid w:val="0055789D"/>
    <w:rsid w:val="005579F2"/>
    <w:rsid w:val="00557D39"/>
    <w:rsid w:val="00557ED7"/>
    <w:rsid w:val="00560138"/>
    <w:rsid w:val="00560207"/>
    <w:rsid w:val="00560468"/>
    <w:rsid w:val="005604A4"/>
    <w:rsid w:val="0056072A"/>
    <w:rsid w:val="005607F2"/>
    <w:rsid w:val="005608EC"/>
    <w:rsid w:val="00560C91"/>
    <w:rsid w:val="00560CCB"/>
    <w:rsid w:val="00560CF9"/>
    <w:rsid w:val="00560E14"/>
    <w:rsid w:val="00560EE1"/>
    <w:rsid w:val="0056133A"/>
    <w:rsid w:val="0056133B"/>
    <w:rsid w:val="005613C1"/>
    <w:rsid w:val="0056163D"/>
    <w:rsid w:val="0056178C"/>
    <w:rsid w:val="005617D6"/>
    <w:rsid w:val="005617E9"/>
    <w:rsid w:val="00561970"/>
    <w:rsid w:val="00561A72"/>
    <w:rsid w:val="00561B5A"/>
    <w:rsid w:val="00561C76"/>
    <w:rsid w:val="00561E15"/>
    <w:rsid w:val="00561EA3"/>
    <w:rsid w:val="005620D1"/>
    <w:rsid w:val="0056216D"/>
    <w:rsid w:val="005621C0"/>
    <w:rsid w:val="00562348"/>
    <w:rsid w:val="0056237F"/>
    <w:rsid w:val="00562561"/>
    <w:rsid w:val="00562BA4"/>
    <w:rsid w:val="00562D11"/>
    <w:rsid w:val="00562EC4"/>
    <w:rsid w:val="005632A7"/>
    <w:rsid w:val="005632E9"/>
    <w:rsid w:val="00563441"/>
    <w:rsid w:val="00563452"/>
    <w:rsid w:val="005638E7"/>
    <w:rsid w:val="005639D2"/>
    <w:rsid w:val="00563ABC"/>
    <w:rsid w:val="00563B4D"/>
    <w:rsid w:val="00563B5C"/>
    <w:rsid w:val="00563C07"/>
    <w:rsid w:val="00563E00"/>
    <w:rsid w:val="00563EEC"/>
    <w:rsid w:val="00563F70"/>
    <w:rsid w:val="005640F9"/>
    <w:rsid w:val="005646CB"/>
    <w:rsid w:val="005646D6"/>
    <w:rsid w:val="0056477A"/>
    <w:rsid w:val="00564BA6"/>
    <w:rsid w:val="00564D93"/>
    <w:rsid w:val="00564EF3"/>
    <w:rsid w:val="005650C7"/>
    <w:rsid w:val="005651A1"/>
    <w:rsid w:val="0056522B"/>
    <w:rsid w:val="00565317"/>
    <w:rsid w:val="00565424"/>
    <w:rsid w:val="005657C1"/>
    <w:rsid w:val="00565819"/>
    <w:rsid w:val="00565905"/>
    <w:rsid w:val="00565B86"/>
    <w:rsid w:val="00565BAE"/>
    <w:rsid w:val="00565E99"/>
    <w:rsid w:val="005664F7"/>
    <w:rsid w:val="00566531"/>
    <w:rsid w:val="00566543"/>
    <w:rsid w:val="00566562"/>
    <w:rsid w:val="0056656B"/>
    <w:rsid w:val="005666A2"/>
    <w:rsid w:val="005667F7"/>
    <w:rsid w:val="00566925"/>
    <w:rsid w:val="005669E1"/>
    <w:rsid w:val="00566D80"/>
    <w:rsid w:val="00566F19"/>
    <w:rsid w:val="0056720A"/>
    <w:rsid w:val="00567348"/>
    <w:rsid w:val="005675E9"/>
    <w:rsid w:val="0056760A"/>
    <w:rsid w:val="0056762F"/>
    <w:rsid w:val="00567717"/>
    <w:rsid w:val="0056783B"/>
    <w:rsid w:val="00567855"/>
    <w:rsid w:val="0056789B"/>
    <w:rsid w:val="00567A7C"/>
    <w:rsid w:val="00567B38"/>
    <w:rsid w:val="00567B91"/>
    <w:rsid w:val="005700D0"/>
    <w:rsid w:val="005705E8"/>
    <w:rsid w:val="0057068F"/>
    <w:rsid w:val="00570B5E"/>
    <w:rsid w:val="00570FDD"/>
    <w:rsid w:val="00571188"/>
    <w:rsid w:val="005711A8"/>
    <w:rsid w:val="005714EE"/>
    <w:rsid w:val="00571561"/>
    <w:rsid w:val="0057163B"/>
    <w:rsid w:val="00571967"/>
    <w:rsid w:val="00571CF1"/>
    <w:rsid w:val="00571D41"/>
    <w:rsid w:val="00571D6C"/>
    <w:rsid w:val="00572255"/>
    <w:rsid w:val="005722AC"/>
    <w:rsid w:val="00572389"/>
    <w:rsid w:val="00572400"/>
    <w:rsid w:val="005724A3"/>
    <w:rsid w:val="005728A8"/>
    <w:rsid w:val="00572915"/>
    <w:rsid w:val="0057297B"/>
    <w:rsid w:val="00572CBE"/>
    <w:rsid w:val="00572D76"/>
    <w:rsid w:val="00572E1F"/>
    <w:rsid w:val="00573016"/>
    <w:rsid w:val="00573213"/>
    <w:rsid w:val="00573293"/>
    <w:rsid w:val="00573369"/>
    <w:rsid w:val="00573657"/>
    <w:rsid w:val="00573793"/>
    <w:rsid w:val="005737BE"/>
    <w:rsid w:val="00573830"/>
    <w:rsid w:val="0057389D"/>
    <w:rsid w:val="00573C31"/>
    <w:rsid w:val="00574046"/>
    <w:rsid w:val="005744EA"/>
    <w:rsid w:val="00574581"/>
    <w:rsid w:val="00574627"/>
    <w:rsid w:val="0057492D"/>
    <w:rsid w:val="00575251"/>
    <w:rsid w:val="00575283"/>
    <w:rsid w:val="0057528F"/>
    <w:rsid w:val="0057534B"/>
    <w:rsid w:val="0057554A"/>
    <w:rsid w:val="0057575D"/>
    <w:rsid w:val="00575922"/>
    <w:rsid w:val="005759EE"/>
    <w:rsid w:val="00575AC1"/>
    <w:rsid w:val="00575BE2"/>
    <w:rsid w:val="00575EE1"/>
    <w:rsid w:val="00575F29"/>
    <w:rsid w:val="00575F39"/>
    <w:rsid w:val="00576045"/>
    <w:rsid w:val="0057607C"/>
    <w:rsid w:val="005769C4"/>
    <w:rsid w:val="00576A3E"/>
    <w:rsid w:val="00576AFE"/>
    <w:rsid w:val="00576D82"/>
    <w:rsid w:val="00576DBD"/>
    <w:rsid w:val="00576E30"/>
    <w:rsid w:val="00577037"/>
    <w:rsid w:val="00577212"/>
    <w:rsid w:val="005775A6"/>
    <w:rsid w:val="0057764E"/>
    <w:rsid w:val="0057772C"/>
    <w:rsid w:val="00577B12"/>
    <w:rsid w:val="0058030C"/>
    <w:rsid w:val="00580340"/>
    <w:rsid w:val="00580515"/>
    <w:rsid w:val="005805A2"/>
    <w:rsid w:val="00580600"/>
    <w:rsid w:val="0058077B"/>
    <w:rsid w:val="00580A4D"/>
    <w:rsid w:val="00580A9D"/>
    <w:rsid w:val="00580C02"/>
    <w:rsid w:val="00580C10"/>
    <w:rsid w:val="00581017"/>
    <w:rsid w:val="005813DC"/>
    <w:rsid w:val="0058174A"/>
    <w:rsid w:val="005817A5"/>
    <w:rsid w:val="00581A49"/>
    <w:rsid w:val="00581D37"/>
    <w:rsid w:val="00581E87"/>
    <w:rsid w:val="005821AE"/>
    <w:rsid w:val="00582634"/>
    <w:rsid w:val="005829F3"/>
    <w:rsid w:val="00582A99"/>
    <w:rsid w:val="00582FB0"/>
    <w:rsid w:val="005830F9"/>
    <w:rsid w:val="00583339"/>
    <w:rsid w:val="005833B8"/>
    <w:rsid w:val="00583411"/>
    <w:rsid w:val="00583537"/>
    <w:rsid w:val="0058356C"/>
    <w:rsid w:val="005836A5"/>
    <w:rsid w:val="005837A2"/>
    <w:rsid w:val="005837B6"/>
    <w:rsid w:val="00583ACB"/>
    <w:rsid w:val="00583B11"/>
    <w:rsid w:val="00584033"/>
    <w:rsid w:val="00584088"/>
    <w:rsid w:val="005840F7"/>
    <w:rsid w:val="005841CC"/>
    <w:rsid w:val="005841E4"/>
    <w:rsid w:val="0058421A"/>
    <w:rsid w:val="00584418"/>
    <w:rsid w:val="00584435"/>
    <w:rsid w:val="00584443"/>
    <w:rsid w:val="00584533"/>
    <w:rsid w:val="0058464E"/>
    <w:rsid w:val="0058485C"/>
    <w:rsid w:val="00584D04"/>
    <w:rsid w:val="005852A9"/>
    <w:rsid w:val="005856E0"/>
    <w:rsid w:val="00585729"/>
    <w:rsid w:val="00585882"/>
    <w:rsid w:val="005858B8"/>
    <w:rsid w:val="00585A33"/>
    <w:rsid w:val="00585A4B"/>
    <w:rsid w:val="00585BF2"/>
    <w:rsid w:val="00585E8D"/>
    <w:rsid w:val="00585FF6"/>
    <w:rsid w:val="0058617A"/>
    <w:rsid w:val="00586184"/>
    <w:rsid w:val="0058670A"/>
    <w:rsid w:val="00586A94"/>
    <w:rsid w:val="00586E25"/>
    <w:rsid w:val="00586ECD"/>
    <w:rsid w:val="0058704B"/>
    <w:rsid w:val="005872FE"/>
    <w:rsid w:val="00587637"/>
    <w:rsid w:val="00587776"/>
    <w:rsid w:val="005877CC"/>
    <w:rsid w:val="00587998"/>
    <w:rsid w:val="00587A6B"/>
    <w:rsid w:val="00587B1B"/>
    <w:rsid w:val="00587DA2"/>
    <w:rsid w:val="00587F83"/>
    <w:rsid w:val="00587FBD"/>
    <w:rsid w:val="005902DD"/>
    <w:rsid w:val="0059033A"/>
    <w:rsid w:val="005903ED"/>
    <w:rsid w:val="00590850"/>
    <w:rsid w:val="00590A00"/>
    <w:rsid w:val="00590BBC"/>
    <w:rsid w:val="00590CAB"/>
    <w:rsid w:val="00590DC9"/>
    <w:rsid w:val="00590F1B"/>
    <w:rsid w:val="00590F7C"/>
    <w:rsid w:val="00591073"/>
    <w:rsid w:val="00591101"/>
    <w:rsid w:val="0059112F"/>
    <w:rsid w:val="00591275"/>
    <w:rsid w:val="0059136F"/>
    <w:rsid w:val="00591964"/>
    <w:rsid w:val="00591D20"/>
    <w:rsid w:val="00591DC1"/>
    <w:rsid w:val="00591E90"/>
    <w:rsid w:val="00591ED4"/>
    <w:rsid w:val="00591F4D"/>
    <w:rsid w:val="005922AE"/>
    <w:rsid w:val="005926DA"/>
    <w:rsid w:val="005927B2"/>
    <w:rsid w:val="005927EB"/>
    <w:rsid w:val="00592845"/>
    <w:rsid w:val="00592DD5"/>
    <w:rsid w:val="00592DFE"/>
    <w:rsid w:val="0059376A"/>
    <w:rsid w:val="00593924"/>
    <w:rsid w:val="00593B17"/>
    <w:rsid w:val="00593BF7"/>
    <w:rsid w:val="00593E37"/>
    <w:rsid w:val="00593E5E"/>
    <w:rsid w:val="00594044"/>
    <w:rsid w:val="0059445F"/>
    <w:rsid w:val="00594613"/>
    <w:rsid w:val="00594914"/>
    <w:rsid w:val="0059499B"/>
    <w:rsid w:val="005949F8"/>
    <w:rsid w:val="00594A2A"/>
    <w:rsid w:val="00594AF4"/>
    <w:rsid w:val="00594B5F"/>
    <w:rsid w:val="00594C77"/>
    <w:rsid w:val="00594E20"/>
    <w:rsid w:val="005950A8"/>
    <w:rsid w:val="005952D6"/>
    <w:rsid w:val="00595301"/>
    <w:rsid w:val="0059556F"/>
    <w:rsid w:val="005956AF"/>
    <w:rsid w:val="00595968"/>
    <w:rsid w:val="00595BC5"/>
    <w:rsid w:val="00595FF7"/>
    <w:rsid w:val="0059642E"/>
    <w:rsid w:val="0059645F"/>
    <w:rsid w:val="005964D0"/>
    <w:rsid w:val="005964FC"/>
    <w:rsid w:val="0059653B"/>
    <w:rsid w:val="0059693B"/>
    <w:rsid w:val="00596ABA"/>
    <w:rsid w:val="00596C42"/>
    <w:rsid w:val="00596D94"/>
    <w:rsid w:val="00596DB3"/>
    <w:rsid w:val="0059724C"/>
    <w:rsid w:val="00597267"/>
    <w:rsid w:val="005976DA"/>
    <w:rsid w:val="00597A02"/>
    <w:rsid w:val="00597A06"/>
    <w:rsid w:val="00597A3C"/>
    <w:rsid w:val="00597E13"/>
    <w:rsid w:val="00597EEF"/>
    <w:rsid w:val="005A0002"/>
    <w:rsid w:val="005A02D5"/>
    <w:rsid w:val="005A0453"/>
    <w:rsid w:val="005A0456"/>
    <w:rsid w:val="005A0487"/>
    <w:rsid w:val="005A051E"/>
    <w:rsid w:val="005A0526"/>
    <w:rsid w:val="005A09BB"/>
    <w:rsid w:val="005A0B90"/>
    <w:rsid w:val="005A0B96"/>
    <w:rsid w:val="005A0F66"/>
    <w:rsid w:val="005A0F9B"/>
    <w:rsid w:val="005A1119"/>
    <w:rsid w:val="005A13BB"/>
    <w:rsid w:val="005A1507"/>
    <w:rsid w:val="005A16AF"/>
    <w:rsid w:val="005A1CAA"/>
    <w:rsid w:val="005A1F80"/>
    <w:rsid w:val="005A20EC"/>
    <w:rsid w:val="005A2159"/>
    <w:rsid w:val="005A2651"/>
    <w:rsid w:val="005A2E1C"/>
    <w:rsid w:val="005A2FB3"/>
    <w:rsid w:val="005A302B"/>
    <w:rsid w:val="005A3279"/>
    <w:rsid w:val="005A3373"/>
    <w:rsid w:val="005A337C"/>
    <w:rsid w:val="005A368F"/>
    <w:rsid w:val="005A386A"/>
    <w:rsid w:val="005A3A09"/>
    <w:rsid w:val="005A3C80"/>
    <w:rsid w:val="005A3E91"/>
    <w:rsid w:val="005A3F7E"/>
    <w:rsid w:val="005A445F"/>
    <w:rsid w:val="005A44BC"/>
    <w:rsid w:val="005A47B7"/>
    <w:rsid w:val="005A4881"/>
    <w:rsid w:val="005A48AF"/>
    <w:rsid w:val="005A493A"/>
    <w:rsid w:val="005A4ACD"/>
    <w:rsid w:val="005A4C74"/>
    <w:rsid w:val="005A4DAF"/>
    <w:rsid w:val="005A4E2C"/>
    <w:rsid w:val="005A4FF3"/>
    <w:rsid w:val="005A530A"/>
    <w:rsid w:val="005A5501"/>
    <w:rsid w:val="005A5748"/>
    <w:rsid w:val="005A5799"/>
    <w:rsid w:val="005A586F"/>
    <w:rsid w:val="005A588E"/>
    <w:rsid w:val="005A5A12"/>
    <w:rsid w:val="005A5C3E"/>
    <w:rsid w:val="005A5CD9"/>
    <w:rsid w:val="005A5E8F"/>
    <w:rsid w:val="005A5EC6"/>
    <w:rsid w:val="005A5F03"/>
    <w:rsid w:val="005A655A"/>
    <w:rsid w:val="005A66A1"/>
    <w:rsid w:val="005A6837"/>
    <w:rsid w:val="005A6992"/>
    <w:rsid w:val="005A6B0C"/>
    <w:rsid w:val="005A6B7B"/>
    <w:rsid w:val="005A6CB4"/>
    <w:rsid w:val="005A708D"/>
    <w:rsid w:val="005A725B"/>
    <w:rsid w:val="005A73E9"/>
    <w:rsid w:val="005A74D8"/>
    <w:rsid w:val="005A788D"/>
    <w:rsid w:val="005A7AF7"/>
    <w:rsid w:val="005A7B86"/>
    <w:rsid w:val="005A7C88"/>
    <w:rsid w:val="005A7D3E"/>
    <w:rsid w:val="005A7E52"/>
    <w:rsid w:val="005A7EC3"/>
    <w:rsid w:val="005B00CE"/>
    <w:rsid w:val="005B01A3"/>
    <w:rsid w:val="005B0465"/>
    <w:rsid w:val="005B04C2"/>
    <w:rsid w:val="005B050A"/>
    <w:rsid w:val="005B0821"/>
    <w:rsid w:val="005B0856"/>
    <w:rsid w:val="005B0959"/>
    <w:rsid w:val="005B0DA0"/>
    <w:rsid w:val="005B11F2"/>
    <w:rsid w:val="005B127C"/>
    <w:rsid w:val="005B13A1"/>
    <w:rsid w:val="005B14EC"/>
    <w:rsid w:val="005B18C5"/>
    <w:rsid w:val="005B1924"/>
    <w:rsid w:val="005B1B36"/>
    <w:rsid w:val="005B1B84"/>
    <w:rsid w:val="005B1DA3"/>
    <w:rsid w:val="005B1FDB"/>
    <w:rsid w:val="005B2094"/>
    <w:rsid w:val="005B20C5"/>
    <w:rsid w:val="005B2133"/>
    <w:rsid w:val="005B240F"/>
    <w:rsid w:val="005B26CE"/>
    <w:rsid w:val="005B2770"/>
    <w:rsid w:val="005B2968"/>
    <w:rsid w:val="005B29CA"/>
    <w:rsid w:val="005B2AC7"/>
    <w:rsid w:val="005B2BC4"/>
    <w:rsid w:val="005B2BFC"/>
    <w:rsid w:val="005B2C04"/>
    <w:rsid w:val="005B2E45"/>
    <w:rsid w:val="005B2FD5"/>
    <w:rsid w:val="005B31AB"/>
    <w:rsid w:val="005B32EA"/>
    <w:rsid w:val="005B3558"/>
    <w:rsid w:val="005B35E6"/>
    <w:rsid w:val="005B38C5"/>
    <w:rsid w:val="005B38F4"/>
    <w:rsid w:val="005B3990"/>
    <w:rsid w:val="005B3B41"/>
    <w:rsid w:val="005B3B6B"/>
    <w:rsid w:val="005B3DB0"/>
    <w:rsid w:val="005B3DD2"/>
    <w:rsid w:val="005B3E3B"/>
    <w:rsid w:val="005B409E"/>
    <w:rsid w:val="005B4331"/>
    <w:rsid w:val="005B4EA2"/>
    <w:rsid w:val="005B4FE0"/>
    <w:rsid w:val="005B52DC"/>
    <w:rsid w:val="005B53C1"/>
    <w:rsid w:val="005B54F2"/>
    <w:rsid w:val="005B5526"/>
    <w:rsid w:val="005B561E"/>
    <w:rsid w:val="005B581C"/>
    <w:rsid w:val="005B581D"/>
    <w:rsid w:val="005B5A95"/>
    <w:rsid w:val="005B5B46"/>
    <w:rsid w:val="005B5C60"/>
    <w:rsid w:val="005B5CF2"/>
    <w:rsid w:val="005B5D86"/>
    <w:rsid w:val="005B5EB6"/>
    <w:rsid w:val="005B6091"/>
    <w:rsid w:val="005B6533"/>
    <w:rsid w:val="005B694C"/>
    <w:rsid w:val="005B6C30"/>
    <w:rsid w:val="005B6C40"/>
    <w:rsid w:val="005B6CF1"/>
    <w:rsid w:val="005B6EBD"/>
    <w:rsid w:val="005B6F59"/>
    <w:rsid w:val="005B717A"/>
    <w:rsid w:val="005B71F5"/>
    <w:rsid w:val="005B74B6"/>
    <w:rsid w:val="005B74C8"/>
    <w:rsid w:val="005B751D"/>
    <w:rsid w:val="005B75EA"/>
    <w:rsid w:val="005B760F"/>
    <w:rsid w:val="005B780F"/>
    <w:rsid w:val="005B79BD"/>
    <w:rsid w:val="005B7B46"/>
    <w:rsid w:val="005C00A9"/>
    <w:rsid w:val="005C047E"/>
    <w:rsid w:val="005C0675"/>
    <w:rsid w:val="005C085A"/>
    <w:rsid w:val="005C0943"/>
    <w:rsid w:val="005C09DD"/>
    <w:rsid w:val="005C0B74"/>
    <w:rsid w:val="005C12F1"/>
    <w:rsid w:val="005C14C7"/>
    <w:rsid w:val="005C151E"/>
    <w:rsid w:val="005C154F"/>
    <w:rsid w:val="005C1C0A"/>
    <w:rsid w:val="005C1F62"/>
    <w:rsid w:val="005C2594"/>
    <w:rsid w:val="005C25FB"/>
    <w:rsid w:val="005C274B"/>
    <w:rsid w:val="005C28E4"/>
    <w:rsid w:val="005C299E"/>
    <w:rsid w:val="005C29CF"/>
    <w:rsid w:val="005C2B18"/>
    <w:rsid w:val="005C2EF1"/>
    <w:rsid w:val="005C309A"/>
    <w:rsid w:val="005C312A"/>
    <w:rsid w:val="005C3372"/>
    <w:rsid w:val="005C33A0"/>
    <w:rsid w:val="005C36D2"/>
    <w:rsid w:val="005C3822"/>
    <w:rsid w:val="005C3B23"/>
    <w:rsid w:val="005C3C58"/>
    <w:rsid w:val="005C4158"/>
    <w:rsid w:val="005C4271"/>
    <w:rsid w:val="005C4707"/>
    <w:rsid w:val="005C470E"/>
    <w:rsid w:val="005C4750"/>
    <w:rsid w:val="005C48BC"/>
    <w:rsid w:val="005C49B7"/>
    <w:rsid w:val="005C4B6D"/>
    <w:rsid w:val="005C4C05"/>
    <w:rsid w:val="005C4D8C"/>
    <w:rsid w:val="005C4D94"/>
    <w:rsid w:val="005C500C"/>
    <w:rsid w:val="005C5750"/>
    <w:rsid w:val="005C5786"/>
    <w:rsid w:val="005C59DA"/>
    <w:rsid w:val="005C5C86"/>
    <w:rsid w:val="005C5DEB"/>
    <w:rsid w:val="005C5F18"/>
    <w:rsid w:val="005C5F7A"/>
    <w:rsid w:val="005C65E9"/>
    <w:rsid w:val="005C6792"/>
    <w:rsid w:val="005C6822"/>
    <w:rsid w:val="005C6873"/>
    <w:rsid w:val="005C6A5D"/>
    <w:rsid w:val="005C6AD9"/>
    <w:rsid w:val="005C6C4D"/>
    <w:rsid w:val="005C6D09"/>
    <w:rsid w:val="005C71F9"/>
    <w:rsid w:val="005C737B"/>
    <w:rsid w:val="005C74D5"/>
    <w:rsid w:val="005C7663"/>
    <w:rsid w:val="005C7784"/>
    <w:rsid w:val="005C7A55"/>
    <w:rsid w:val="005C7D40"/>
    <w:rsid w:val="005C7E4E"/>
    <w:rsid w:val="005D05BA"/>
    <w:rsid w:val="005D05C4"/>
    <w:rsid w:val="005D069F"/>
    <w:rsid w:val="005D071C"/>
    <w:rsid w:val="005D0758"/>
    <w:rsid w:val="005D07A6"/>
    <w:rsid w:val="005D08F3"/>
    <w:rsid w:val="005D0B6D"/>
    <w:rsid w:val="005D0CCA"/>
    <w:rsid w:val="005D0D01"/>
    <w:rsid w:val="005D0DB5"/>
    <w:rsid w:val="005D0E05"/>
    <w:rsid w:val="005D0F3F"/>
    <w:rsid w:val="005D1106"/>
    <w:rsid w:val="005D1195"/>
    <w:rsid w:val="005D12D8"/>
    <w:rsid w:val="005D1531"/>
    <w:rsid w:val="005D158E"/>
    <w:rsid w:val="005D15B1"/>
    <w:rsid w:val="005D15DB"/>
    <w:rsid w:val="005D19C1"/>
    <w:rsid w:val="005D1C92"/>
    <w:rsid w:val="005D1CA4"/>
    <w:rsid w:val="005D1CF5"/>
    <w:rsid w:val="005D1D36"/>
    <w:rsid w:val="005D207D"/>
    <w:rsid w:val="005D266B"/>
    <w:rsid w:val="005D282F"/>
    <w:rsid w:val="005D29A0"/>
    <w:rsid w:val="005D2C2C"/>
    <w:rsid w:val="005D2C55"/>
    <w:rsid w:val="005D2C69"/>
    <w:rsid w:val="005D2D76"/>
    <w:rsid w:val="005D2E41"/>
    <w:rsid w:val="005D2E58"/>
    <w:rsid w:val="005D2F6A"/>
    <w:rsid w:val="005D32F9"/>
    <w:rsid w:val="005D34AB"/>
    <w:rsid w:val="005D3603"/>
    <w:rsid w:val="005D377A"/>
    <w:rsid w:val="005D3B52"/>
    <w:rsid w:val="005D3B7C"/>
    <w:rsid w:val="005D3E16"/>
    <w:rsid w:val="005D415A"/>
    <w:rsid w:val="005D43A9"/>
    <w:rsid w:val="005D4598"/>
    <w:rsid w:val="005D47D5"/>
    <w:rsid w:val="005D487B"/>
    <w:rsid w:val="005D49B4"/>
    <w:rsid w:val="005D4EDB"/>
    <w:rsid w:val="005D5040"/>
    <w:rsid w:val="005D50ED"/>
    <w:rsid w:val="005D5190"/>
    <w:rsid w:val="005D5354"/>
    <w:rsid w:val="005D5527"/>
    <w:rsid w:val="005D5882"/>
    <w:rsid w:val="005D589E"/>
    <w:rsid w:val="005D591B"/>
    <w:rsid w:val="005D599A"/>
    <w:rsid w:val="005D5C97"/>
    <w:rsid w:val="005D5D6D"/>
    <w:rsid w:val="005D5D96"/>
    <w:rsid w:val="005D5FE6"/>
    <w:rsid w:val="005D6089"/>
    <w:rsid w:val="005D6099"/>
    <w:rsid w:val="005D622F"/>
    <w:rsid w:val="005D62AE"/>
    <w:rsid w:val="005D6515"/>
    <w:rsid w:val="005D69AC"/>
    <w:rsid w:val="005D6D5D"/>
    <w:rsid w:val="005D6FC4"/>
    <w:rsid w:val="005D750F"/>
    <w:rsid w:val="005D76C0"/>
    <w:rsid w:val="005D79FF"/>
    <w:rsid w:val="005D7B11"/>
    <w:rsid w:val="005D7B73"/>
    <w:rsid w:val="005E06EB"/>
    <w:rsid w:val="005E0731"/>
    <w:rsid w:val="005E082A"/>
    <w:rsid w:val="005E0C64"/>
    <w:rsid w:val="005E10C4"/>
    <w:rsid w:val="005E1182"/>
    <w:rsid w:val="005E12EC"/>
    <w:rsid w:val="005E138E"/>
    <w:rsid w:val="005E13AC"/>
    <w:rsid w:val="005E1C83"/>
    <w:rsid w:val="005E1E08"/>
    <w:rsid w:val="005E2280"/>
    <w:rsid w:val="005E22C0"/>
    <w:rsid w:val="005E22C2"/>
    <w:rsid w:val="005E24E6"/>
    <w:rsid w:val="005E2534"/>
    <w:rsid w:val="005E25A2"/>
    <w:rsid w:val="005E3065"/>
    <w:rsid w:val="005E308D"/>
    <w:rsid w:val="005E30AB"/>
    <w:rsid w:val="005E30AD"/>
    <w:rsid w:val="005E338F"/>
    <w:rsid w:val="005E33FD"/>
    <w:rsid w:val="005E3466"/>
    <w:rsid w:val="005E34E4"/>
    <w:rsid w:val="005E354E"/>
    <w:rsid w:val="005E35A8"/>
    <w:rsid w:val="005E399E"/>
    <w:rsid w:val="005E3CBD"/>
    <w:rsid w:val="005E3E98"/>
    <w:rsid w:val="005E3ECD"/>
    <w:rsid w:val="005E3F07"/>
    <w:rsid w:val="005E41DC"/>
    <w:rsid w:val="005E4290"/>
    <w:rsid w:val="005E44A9"/>
    <w:rsid w:val="005E46B5"/>
    <w:rsid w:val="005E4747"/>
    <w:rsid w:val="005E4999"/>
    <w:rsid w:val="005E4AA1"/>
    <w:rsid w:val="005E53E7"/>
    <w:rsid w:val="005E571B"/>
    <w:rsid w:val="005E5C52"/>
    <w:rsid w:val="005E5CB1"/>
    <w:rsid w:val="005E5D6A"/>
    <w:rsid w:val="005E627B"/>
    <w:rsid w:val="005E667F"/>
    <w:rsid w:val="005E6798"/>
    <w:rsid w:val="005E6C71"/>
    <w:rsid w:val="005E6C79"/>
    <w:rsid w:val="005E6E4D"/>
    <w:rsid w:val="005E6E4E"/>
    <w:rsid w:val="005E6FA5"/>
    <w:rsid w:val="005E7057"/>
    <w:rsid w:val="005E7649"/>
    <w:rsid w:val="005E7903"/>
    <w:rsid w:val="005E7BBB"/>
    <w:rsid w:val="005E7C23"/>
    <w:rsid w:val="005E7CBC"/>
    <w:rsid w:val="005E7EC8"/>
    <w:rsid w:val="005F0099"/>
    <w:rsid w:val="005F02BC"/>
    <w:rsid w:val="005F02C1"/>
    <w:rsid w:val="005F0435"/>
    <w:rsid w:val="005F0718"/>
    <w:rsid w:val="005F0791"/>
    <w:rsid w:val="005F07BB"/>
    <w:rsid w:val="005F0947"/>
    <w:rsid w:val="005F0971"/>
    <w:rsid w:val="005F09C9"/>
    <w:rsid w:val="005F0A2D"/>
    <w:rsid w:val="005F0A58"/>
    <w:rsid w:val="005F0B7F"/>
    <w:rsid w:val="005F0BB6"/>
    <w:rsid w:val="005F0BDC"/>
    <w:rsid w:val="005F0CE8"/>
    <w:rsid w:val="005F0E7C"/>
    <w:rsid w:val="005F0EEF"/>
    <w:rsid w:val="005F0F27"/>
    <w:rsid w:val="005F0F3D"/>
    <w:rsid w:val="005F10F5"/>
    <w:rsid w:val="005F11EF"/>
    <w:rsid w:val="005F128E"/>
    <w:rsid w:val="005F1426"/>
    <w:rsid w:val="005F1491"/>
    <w:rsid w:val="005F14F2"/>
    <w:rsid w:val="005F16CF"/>
    <w:rsid w:val="005F1876"/>
    <w:rsid w:val="005F1944"/>
    <w:rsid w:val="005F1B59"/>
    <w:rsid w:val="005F1CF4"/>
    <w:rsid w:val="005F1D55"/>
    <w:rsid w:val="005F1DFF"/>
    <w:rsid w:val="005F1EC5"/>
    <w:rsid w:val="005F1F7B"/>
    <w:rsid w:val="005F2211"/>
    <w:rsid w:val="005F2555"/>
    <w:rsid w:val="005F26ED"/>
    <w:rsid w:val="005F28ED"/>
    <w:rsid w:val="005F2985"/>
    <w:rsid w:val="005F29B4"/>
    <w:rsid w:val="005F2B58"/>
    <w:rsid w:val="005F2C2A"/>
    <w:rsid w:val="005F2CC1"/>
    <w:rsid w:val="005F2D37"/>
    <w:rsid w:val="005F2F61"/>
    <w:rsid w:val="005F2F76"/>
    <w:rsid w:val="005F2FB1"/>
    <w:rsid w:val="005F3244"/>
    <w:rsid w:val="005F326B"/>
    <w:rsid w:val="005F342A"/>
    <w:rsid w:val="005F35C7"/>
    <w:rsid w:val="005F35CD"/>
    <w:rsid w:val="005F3608"/>
    <w:rsid w:val="005F395E"/>
    <w:rsid w:val="005F3CBC"/>
    <w:rsid w:val="005F3DA7"/>
    <w:rsid w:val="005F3E73"/>
    <w:rsid w:val="005F3F71"/>
    <w:rsid w:val="005F4033"/>
    <w:rsid w:val="005F40BE"/>
    <w:rsid w:val="005F4100"/>
    <w:rsid w:val="005F4335"/>
    <w:rsid w:val="005F44F2"/>
    <w:rsid w:val="005F453A"/>
    <w:rsid w:val="005F456A"/>
    <w:rsid w:val="005F493F"/>
    <w:rsid w:val="005F4A1E"/>
    <w:rsid w:val="005F4F82"/>
    <w:rsid w:val="005F50A4"/>
    <w:rsid w:val="005F56A8"/>
    <w:rsid w:val="005F5763"/>
    <w:rsid w:val="005F5964"/>
    <w:rsid w:val="005F5A3B"/>
    <w:rsid w:val="005F5AF1"/>
    <w:rsid w:val="005F5C27"/>
    <w:rsid w:val="005F5CC9"/>
    <w:rsid w:val="005F5E97"/>
    <w:rsid w:val="005F5F8B"/>
    <w:rsid w:val="005F5F9B"/>
    <w:rsid w:val="005F65CC"/>
    <w:rsid w:val="005F665C"/>
    <w:rsid w:val="005F66D9"/>
    <w:rsid w:val="005F6766"/>
    <w:rsid w:val="005F6C77"/>
    <w:rsid w:val="005F6C8C"/>
    <w:rsid w:val="005F6E84"/>
    <w:rsid w:val="005F70B5"/>
    <w:rsid w:val="005F72FA"/>
    <w:rsid w:val="005F75F5"/>
    <w:rsid w:val="005F7750"/>
    <w:rsid w:val="005F77F2"/>
    <w:rsid w:val="005F781F"/>
    <w:rsid w:val="005F7821"/>
    <w:rsid w:val="005F7D8B"/>
    <w:rsid w:val="005F7E9C"/>
    <w:rsid w:val="005F7F46"/>
    <w:rsid w:val="006000E7"/>
    <w:rsid w:val="0060032B"/>
    <w:rsid w:val="006003BC"/>
    <w:rsid w:val="006003F5"/>
    <w:rsid w:val="006007A6"/>
    <w:rsid w:val="006007D8"/>
    <w:rsid w:val="006007E8"/>
    <w:rsid w:val="006008CF"/>
    <w:rsid w:val="006009F6"/>
    <w:rsid w:val="00600CD1"/>
    <w:rsid w:val="006010D0"/>
    <w:rsid w:val="006011A5"/>
    <w:rsid w:val="006012FB"/>
    <w:rsid w:val="006017E2"/>
    <w:rsid w:val="00601B91"/>
    <w:rsid w:val="00601D40"/>
    <w:rsid w:val="00601E2B"/>
    <w:rsid w:val="006022DE"/>
    <w:rsid w:val="00602330"/>
    <w:rsid w:val="006024A3"/>
    <w:rsid w:val="00602527"/>
    <w:rsid w:val="00602937"/>
    <w:rsid w:val="00602A13"/>
    <w:rsid w:val="00602B98"/>
    <w:rsid w:val="006035A4"/>
    <w:rsid w:val="00603610"/>
    <w:rsid w:val="006037BF"/>
    <w:rsid w:val="0060381B"/>
    <w:rsid w:val="00603A48"/>
    <w:rsid w:val="00603C98"/>
    <w:rsid w:val="00603E60"/>
    <w:rsid w:val="00604119"/>
    <w:rsid w:val="00604135"/>
    <w:rsid w:val="006042B3"/>
    <w:rsid w:val="0060440C"/>
    <w:rsid w:val="00604428"/>
    <w:rsid w:val="0060451A"/>
    <w:rsid w:val="00604529"/>
    <w:rsid w:val="00604561"/>
    <w:rsid w:val="00604684"/>
    <w:rsid w:val="00604707"/>
    <w:rsid w:val="00604770"/>
    <w:rsid w:val="006047AA"/>
    <w:rsid w:val="006049E7"/>
    <w:rsid w:val="00604A91"/>
    <w:rsid w:val="00604C49"/>
    <w:rsid w:val="00604DFB"/>
    <w:rsid w:val="00604EDD"/>
    <w:rsid w:val="00604FDF"/>
    <w:rsid w:val="00605157"/>
    <w:rsid w:val="006054AA"/>
    <w:rsid w:val="00605504"/>
    <w:rsid w:val="006056BF"/>
    <w:rsid w:val="006057E1"/>
    <w:rsid w:val="0060584E"/>
    <w:rsid w:val="00605997"/>
    <w:rsid w:val="00605A3D"/>
    <w:rsid w:val="00605C1F"/>
    <w:rsid w:val="00605D05"/>
    <w:rsid w:val="00605ECC"/>
    <w:rsid w:val="00605F2C"/>
    <w:rsid w:val="00605FA6"/>
    <w:rsid w:val="0060640E"/>
    <w:rsid w:val="0060668A"/>
    <w:rsid w:val="00606743"/>
    <w:rsid w:val="006067A7"/>
    <w:rsid w:val="0060683C"/>
    <w:rsid w:val="00606B08"/>
    <w:rsid w:val="00606B4D"/>
    <w:rsid w:val="00607327"/>
    <w:rsid w:val="006074F4"/>
    <w:rsid w:val="00607558"/>
    <w:rsid w:val="0060764A"/>
    <w:rsid w:val="00607846"/>
    <w:rsid w:val="006078D1"/>
    <w:rsid w:val="0061027B"/>
    <w:rsid w:val="00610305"/>
    <w:rsid w:val="00610789"/>
    <w:rsid w:val="00610999"/>
    <w:rsid w:val="006109FD"/>
    <w:rsid w:val="00610B34"/>
    <w:rsid w:val="00610C69"/>
    <w:rsid w:val="00610D2F"/>
    <w:rsid w:val="00610F59"/>
    <w:rsid w:val="00610FCC"/>
    <w:rsid w:val="0061121D"/>
    <w:rsid w:val="006112E4"/>
    <w:rsid w:val="00611441"/>
    <w:rsid w:val="0061153B"/>
    <w:rsid w:val="006116DD"/>
    <w:rsid w:val="006116F1"/>
    <w:rsid w:val="00611A03"/>
    <w:rsid w:val="00611C59"/>
    <w:rsid w:val="00611CE9"/>
    <w:rsid w:val="0061200A"/>
    <w:rsid w:val="006120C7"/>
    <w:rsid w:val="006122EA"/>
    <w:rsid w:val="00612437"/>
    <w:rsid w:val="0061251A"/>
    <w:rsid w:val="00612582"/>
    <w:rsid w:val="00612605"/>
    <w:rsid w:val="00612666"/>
    <w:rsid w:val="006126DA"/>
    <w:rsid w:val="00612FBF"/>
    <w:rsid w:val="0061314B"/>
    <w:rsid w:val="0061327E"/>
    <w:rsid w:val="006132B5"/>
    <w:rsid w:val="00613599"/>
    <w:rsid w:val="00613667"/>
    <w:rsid w:val="00613709"/>
    <w:rsid w:val="00614045"/>
    <w:rsid w:val="00614339"/>
    <w:rsid w:val="006143CF"/>
    <w:rsid w:val="0061444A"/>
    <w:rsid w:val="00614492"/>
    <w:rsid w:val="006145EA"/>
    <w:rsid w:val="00614A59"/>
    <w:rsid w:val="00614B79"/>
    <w:rsid w:val="00614C49"/>
    <w:rsid w:val="00614CF9"/>
    <w:rsid w:val="00614D48"/>
    <w:rsid w:val="00614D58"/>
    <w:rsid w:val="00614F78"/>
    <w:rsid w:val="006150C5"/>
    <w:rsid w:val="006151A2"/>
    <w:rsid w:val="0061523A"/>
    <w:rsid w:val="006154F3"/>
    <w:rsid w:val="006155BA"/>
    <w:rsid w:val="006155BD"/>
    <w:rsid w:val="006155F6"/>
    <w:rsid w:val="0061565C"/>
    <w:rsid w:val="00615716"/>
    <w:rsid w:val="00615745"/>
    <w:rsid w:val="006159E8"/>
    <w:rsid w:val="00615B3A"/>
    <w:rsid w:val="00615CA2"/>
    <w:rsid w:val="00616150"/>
    <w:rsid w:val="006161D4"/>
    <w:rsid w:val="006161F2"/>
    <w:rsid w:val="006166DB"/>
    <w:rsid w:val="0061689C"/>
    <w:rsid w:val="00616D98"/>
    <w:rsid w:val="00616ED5"/>
    <w:rsid w:val="00616F0A"/>
    <w:rsid w:val="006170A8"/>
    <w:rsid w:val="00617130"/>
    <w:rsid w:val="00617139"/>
    <w:rsid w:val="006171B4"/>
    <w:rsid w:val="0061728F"/>
    <w:rsid w:val="00617379"/>
    <w:rsid w:val="00617544"/>
    <w:rsid w:val="00617652"/>
    <w:rsid w:val="00617788"/>
    <w:rsid w:val="00617831"/>
    <w:rsid w:val="006179FA"/>
    <w:rsid w:val="00617B40"/>
    <w:rsid w:val="00617C7E"/>
    <w:rsid w:val="00617CB2"/>
    <w:rsid w:val="00617EB8"/>
    <w:rsid w:val="00620005"/>
    <w:rsid w:val="006200D2"/>
    <w:rsid w:val="006200F5"/>
    <w:rsid w:val="006202BD"/>
    <w:rsid w:val="006203B5"/>
    <w:rsid w:val="006203E3"/>
    <w:rsid w:val="00620501"/>
    <w:rsid w:val="00620641"/>
    <w:rsid w:val="006206E8"/>
    <w:rsid w:val="0062096B"/>
    <w:rsid w:val="00620A06"/>
    <w:rsid w:val="00620AA2"/>
    <w:rsid w:val="00620ABC"/>
    <w:rsid w:val="00620CE7"/>
    <w:rsid w:val="00620D93"/>
    <w:rsid w:val="00620E87"/>
    <w:rsid w:val="00621387"/>
    <w:rsid w:val="00621415"/>
    <w:rsid w:val="006214B0"/>
    <w:rsid w:val="00621981"/>
    <w:rsid w:val="00622397"/>
    <w:rsid w:val="0062277F"/>
    <w:rsid w:val="00622A26"/>
    <w:rsid w:val="00622A5F"/>
    <w:rsid w:val="00622AEF"/>
    <w:rsid w:val="00622B40"/>
    <w:rsid w:val="00622B5C"/>
    <w:rsid w:val="00622EBF"/>
    <w:rsid w:val="00623046"/>
    <w:rsid w:val="006230E1"/>
    <w:rsid w:val="00623229"/>
    <w:rsid w:val="0062340B"/>
    <w:rsid w:val="00623D69"/>
    <w:rsid w:val="00623F93"/>
    <w:rsid w:val="00623FD9"/>
    <w:rsid w:val="0062445B"/>
    <w:rsid w:val="006245D8"/>
    <w:rsid w:val="006247B7"/>
    <w:rsid w:val="0062481E"/>
    <w:rsid w:val="00624872"/>
    <w:rsid w:val="006249D2"/>
    <w:rsid w:val="00624A69"/>
    <w:rsid w:val="00624BF2"/>
    <w:rsid w:val="00624D66"/>
    <w:rsid w:val="00624F3E"/>
    <w:rsid w:val="00624FE6"/>
    <w:rsid w:val="006250AD"/>
    <w:rsid w:val="00625207"/>
    <w:rsid w:val="006254C1"/>
    <w:rsid w:val="006254FA"/>
    <w:rsid w:val="006255A6"/>
    <w:rsid w:val="00625D20"/>
    <w:rsid w:val="00625D76"/>
    <w:rsid w:val="00625D7B"/>
    <w:rsid w:val="00625DBD"/>
    <w:rsid w:val="00625E84"/>
    <w:rsid w:val="00625EE2"/>
    <w:rsid w:val="00626013"/>
    <w:rsid w:val="00626071"/>
    <w:rsid w:val="006261D3"/>
    <w:rsid w:val="006261D7"/>
    <w:rsid w:val="00626305"/>
    <w:rsid w:val="00626336"/>
    <w:rsid w:val="00626C59"/>
    <w:rsid w:val="00626FC1"/>
    <w:rsid w:val="00627000"/>
    <w:rsid w:val="006273C8"/>
    <w:rsid w:val="00627583"/>
    <w:rsid w:val="0062770D"/>
    <w:rsid w:val="00627A5C"/>
    <w:rsid w:val="00627D79"/>
    <w:rsid w:val="00627DEE"/>
    <w:rsid w:val="00627FF3"/>
    <w:rsid w:val="00630170"/>
    <w:rsid w:val="0063029D"/>
    <w:rsid w:val="0063037A"/>
    <w:rsid w:val="006304A7"/>
    <w:rsid w:val="006306CD"/>
    <w:rsid w:val="006306D3"/>
    <w:rsid w:val="00630735"/>
    <w:rsid w:val="0063075F"/>
    <w:rsid w:val="0063077E"/>
    <w:rsid w:val="00630966"/>
    <w:rsid w:val="006309C6"/>
    <w:rsid w:val="00630BD2"/>
    <w:rsid w:val="00631026"/>
    <w:rsid w:val="006313D3"/>
    <w:rsid w:val="0063151E"/>
    <w:rsid w:val="0063187B"/>
    <w:rsid w:val="00631A75"/>
    <w:rsid w:val="00631AF6"/>
    <w:rsid w:val="00631C7C"/>
    <w:rsid w:val="00632021"/>
    <w:rsid w:val="00632415"/>
    <w:rsid w:val="006325D4"/>
    <w:rsid w:val="00632843"/>
    <w:rsid w:val="00632DF4"/>
    <w:rsid w:val="00632F3D"/>
    <w:rsid w:val="0063326E"/>
    <w:rsid w:val="00633274"/>
    <w:rsid w:val="006332D5"/>
    <w:rsid w:val="0063354C"/>
    <w:rsid w:val="0063358F"/>
    <w:rsid w:val="006335A2"/>
    <w:rsid w:val="006338FA"/>
    <w:rsid w:val="00633B4E"/>
    <w:rsid w:val="00633B8C"/>
    <w:rsid w:val="00633C2B"/>
    <w:rsid w:val="00633C8B"/>
    <w:rsid w:val="00633D7D"/>
    <w:rsid w:val="00633E6E"/>
    <w:rsid w:val="00634106"/>
    <w:rsid w:val="00634322"/>
    <w:rsid w:val="0063446B"/>
    <w:rsid w:val="00634523"/>
    <w:rsid w:val="00634694"/>
    <w:rsid w:val="00634723"/>
    <w:rsid w:val="00634863"/>
    <w:rsid w:val="006348B1"/>
    <w:rsid w:val="006348E6"/>
    <w:rsid w:val="00634A90"/>
    <w:rsid w:val="00634BE5"/>
    <w:rsid w:val="00634D80"/>
    <w:rsid w:val="00634F73"/>
    <w:rsid w:val="00635027"/>
    <w:rsid w:val="00635311"/>
    <w:rsid w:val="0063539D"/>
    <w:rsid w:val="00635610"/>
    <w:rsid w:val="00635A9E"/>
    <w:rsid w:val="00635C3E"/>
    <w:rsid w:val="00635C69"/>
    <w:rsid w:val="00635E17"/>
    <w:rsid w:val="006360DD"/>
    <w:rsid w:val="0063615C"/>
    <w:rsid w:val="006364DA"/>
    <w:rsid w:val="00636753"/>
    <w:rsid w:val="0063689E"/>
    <w:rsid w:val="00636F5B"/>
    <w:rsid w:val="00636F64"/>
    <w:rsid w:val="00636F89"/>
    <w:rsid w:val="00636FB4"/>
    <w:rsid w:val="00637212"/>
    <w:rsid w:val="00637620"/>
    <w:rsid w:val="0063796D"/>
    <w:rsid w:val="00637AE0"/>
    <w:rsid w:val="00637B2B"/>
    <w:rsid w:val="00637B35"/>
    <w:rsid w:val="00637C27"/>
    <w:rsid w:val="00637C30"/>
    <w:rsid w:val="0064002E"/>
    <w:rsid w:val="0064022E"/>
    <w:rsid w:val="0064027A"/>
    <w:rsid w:val="00640331"/>
    <w:rsid w:val="0064054D"/>
    <w:rsid w:val="00640644"/>
    <w:rsid w:val="00640A57"/>
    <w:rsid w:val="00640AB9"/>
    <w:rsid w:val="00640B3D"/>
    <w:rsid w:val="00640B48"/>
    <w:rsid w:val="006414BF"/>
    <w:rsid w:val="006414DA"/>
    <w:rsid w:val="006414FD"/>
    <w:rsid w:val="006415DE"/>
    <w:rsid w:val="006418DB"/>
    <w:rsid w:val="00641C29"/>
    <w:rsid w:val="00641C42"/>
    <w:rsid w:val="00641E7D"/>
    <w:rsid w:val="00641ED6"/>
    <w:rsid w:val="00641F5E"/>
    <w:rsid w:val="00641F82"/>
    <w:rsid w:val="00642336"/>
    <w:rsid w:val="0064244F"/>
    <w:rsid w:val="00642469"/>
    <w:rsid w:val="006424EA"/>
    <w:rsid w:val="00642603"/>
    <w:rsid w:val="006426A1"/>
    <w:rsid w:val="006426E6"/>
    <w:rsid w:val="00642BA4"/>
    <w:rsid w:val="00642BB7"/>
    <w:rsid w:val="00642BFD"/>
    <w:rsid w:val="00642CE5"/>
    <w:rsid w:val="00642E52"/>
    <w:rsid w:val="00642F01"/>
    <w:rsid w:val="006430CD"/>
    <w:rsid w:val="00643385"/>
    <w:rsid w:val="006434F7"/>
    <w:rsid w:val="006435FB"/>
    <w:rsid w:val="00643809"/>
    <w:rsid w:val="0064393F"/>
    <w:rsid w:val="00643B69"/>
    <w:rsid w:val="00643B75"/>
    <w:rsid w:val="00643C28"/>
    <w:rsid w:val="00643DC2"/>
    <w:rsid w:val="00644255"/>
    <w:rsid w:val="0064433D"/>
    <w:rsid w:val="006444C1"/>
    <w:rsid w:val="0064465A"/>
    <w:rsid w:val="00644C24"/>
    <w:rsid w:val="00644D7B"/>
    <w:rsid w:val="00644F46"/>
    <w:rsid w:val="00645053"/>
    <w:rsid w:val="00645318"/>
    <w:rsid w:val="006453FA"/>
    <w:rsid w:val="006455F8"/>
    <w:rsid w:val="006457BA"/>
    <w:rsid w:val="0064580B"/>
    <w:rsid w:val="006459A5"/>
    <w:rsid w:val="00645D29"/>
    <w:rsid w:val="00645DF7"/>
    <w:rsid w:val="00645F30"/>
    <w:rsid w:val="006461F7"/>
    <w:rsid w:val="00646467"/>
    <w:rsid w:val="00646503"/>
    <w:rsid w:val="006467F6"/>
    <w:rsid w:val="00646904"/>
    <w:rsid w:val="00646922"/>
    <w:rsid w:val="00646AB5"/>
    <w:rsid w:val="00646C3A"/>
    <w:rsid w:val="00646DA7"/>
    <w:rsid w:val="00646DC6"/>
    <w:rsid w:val="00646EFD"/>
    <w:rsid w:val="00646FE6"/>
    <w:rsid w:val="00647347"/>
    <w:rsid w:val="006474BB"/>
    <w:rsid w:val="0064763B"/>
    <w:rsid w:val="00647785"/>
    <w:rsid w:val="00647919"/>
    <w:rsid w:val="00647DB4"/>
    <w:rsid w:val="00647F27"/>
    <w:rsid w:val="0065003C"/>
    <w:rsid w:val="0065003F"/>
    <w:rsid w:val="0065009B"/>
    <w:rsid w:val="00650404"/>
    <w:rsid w:val="006504EA"/>
    <w:rsid w:val="0065103B"/>
    <w:rsid w:val="00651150"/>
    <w:rsid w:val="006511F3"/>
    <w:rsid w:val="006511F9"/>
    <w:rsid w:val="006512A4"/>
    <w:rsid w:val="006513AB"/>
    <w:rsid w:val="00651520"/>
    <w:rsid w:val="006517D8"/>
    <w:rsid w:val="00651B35"/>
    <w:rsid w:val="00651BBC"/>
    <w:rsid w:val="00651D61"/>
    <w:rsid w:val="00651F22"/>
    <w:rsid w:val="00651F6C"/>
    <w:rsid w:val="00652153"/>
    <w:rsid w:val="0065246A"/>
    <w:rsid w:val="006524F6"/>
    <w:rsid w:val="00652517"/>
    <w:rsid w:val="006526ED"/>
    <w:rsid w:val="00652996"/>
    <w:rsid w:val="00652D5F"/>
    <w:rsid w:val="00652EA9"/>
    <w:rsid w:val="0065300F"/>
    <w:rsid w:val="00653054"/>
    <w:rsid w:val="00653181"/>
    <w:rsid w:val="006531FB"/>
    <w:rsid w:val="006532EC"/>
    <w:rsid w:val="00653364"/>
    <w:rsid w:val="0065344C"/>
    <w:rsid w:val="006535B1"/>
    <w:rsid w:val="006535D2"/>
    <w:rsid w:val="006536DF"/>
    <w:rsid w:val="006538EE"/>
    <w:rsid w:val="00653A05"/>
    <w:rsid w:val="00653C80"/>
    <w:rsid w:val="00653F7E"/>
    <w:rsid w:val="00653FD4"/>
    <w:rsid w:val="00653FE3"/>
    <w:rsid w:val="006540AE"/>
    <w:rsid w:val="006540D5"/>
    <w:rsid w:val="00654193"/>
    <w:rsid w:val="006542F7"/>
    <w:rsid w:val="00654694"/>
    <w:rsid w:val="0065474E"/>
    <w:rsid w:val="00654BD2"/>
    <w:rsid w:val="00654C5B"/>
    <w:rsid w:val="00654E26"/>
    <w:rsid w:val="00654FC6"/>
    <w:rsid w:val="00654FCB"/>
    <w:rsid w:val="00655005"/>
    <w:rsid w:val="0065536E"/>
    <w:rsid w:val="00655CBC"/>
    <w:rsid w:val="00655D0F"/>
    <w:rsid w:val="00655E7D"/>
    <w:rsid w:val="006560A6"/>
    <w:rsid w:val="00656265"/>
    <w:rsid w:val="006564ED"/>
    <w:rsid w:val="006565BC"/>
    <w:rsid w:val="00656C1E"/>
    <w:rsid w:val="00656D6B"/>
    <w:rsid w:val="00656E57"/>
    <w:rsid w:val="00656E5D"/>
    <w:rsid w:val="00656E82"/>
    <w:rsid w:val="0065700D"/>
    <w:rsid w:val="006571B9"/>
    <w:rsid w:val="00657517"/>
    <w:rsid w:val="00657578"/>
    <w:rsid w:val="00657668"/>
    <w:rsid w:val="00657C9D"/>
    <w:rsid w:val="00657E6B"/>
    <w:rsid w:val="00657F48"/>
    <w:rsid w:val="00660367"/>
    <w:rsid w:val="006605FD"/>
    <w:rsid w:val="006607EF"/>
    <w:rsid w:val="00660A18"/>
    <w:rsid w:val="00660BF5"/>
    <w:rsid w:val="00660CCB"/>
    <w:rsid w:val="00660DBC"/>
    <w:rsid w:val="00660E46"/>
    <w:rsid w:val="0066107B"/>
    <w:rsid w:val="0066118A"/>
    <w:rsid w:val="006617F5"/>
    <w:rsid w:val="00661825"/>
    <w:rsid w:val="00661A86"/>
    <w:rsid w:val="00661F35"/>
    <w:rsid w:val="00662028"/>
    <w:rsid w:val="006623BD"/>
    <w:rsid w:val="006623FC"/>
    <w:rsid w:val="006625AB"/>
    <w:rsid w:val="006625CA"/>
    <w:rsid w:val="00662820"/>
    <w:rsid w:val="00662935"/>
    <w:rsid w:val="006629C9"/>
    <w:rsid w:val="00662A8F"/>
    <w:rsid w:val="00662E90"/>
    <w:rsid w:val="00662FA6"/>
    <w:rsid w:val="00662FE0"/>
    <w:rsid w:val="00663180"/>
    <w:rsid w:val="006631E7"/>
    <w:rsid w:val="00663226"/>
    <w:rsid w:val="0066322D"/>
    <w:rsid w:val="006632B2"/>
    <w:rsid w:val="0066346B"/>
    <w:rsid w:val="006636F0"/>
    <w:rsid w:val="0066384B"/>
    <w:rsid w:val="00663859"/>
    <w:rsid w:val="006639D2"/>
    <w:rsid w:val="00663A0D"/>
    <w:rsid w:val="00663A17"/>
    <w:rsid w:val="00663ADF"/>
    <w:rsid w:val="00663C4F"/>
    <w:rsid w:val="00663D81"/>
    <w:rsid w:val="00663E31"/>
    <w:rsid w:val="00663F73"/>
    <w:rsid w:val="0066420A"/>
    <w:rsid w:val="0066435F"/>
    <w:rsid w:val="00664428"/>
    <w:rsid w:val="00664719"/>
    <w:rsid w:val="006647A4"/>
    <w:rsid w:val="0066484E"/>
    <w:rsid w:val="00664918"/>
    <w:rsid w:val="00664972"/>
    <w:rsid w:val="00664BDE"/>
    <w:rsid w:val="00664CD6"/>
    <w:rsid w:val="00664D99"/>
    <w:rsid w:val="0066516C"/>
    <w:rsid w:val="006652C8"/>
    <w:rsid w:val="00665401"/>
    <w:rsid w:val="0066553F"/>
    <w:rsid w:val="006655B3"/>
    <w:rsid w:val="00665BAE"/>
    <w:rsid w:val="00665C4A"/>
    <w:rsid w:val="00665C4F"/>
    <w:rsid w:val="00666299"/>
    <w:rsid w:val="00666425"/>
    <w:rsid w:val="006665CF"/>
    <w:rsid w:val="00666951"/>
    <w:rsid w:val="00667083"/>
    <w:rsid w:val="00667265"/>
    <w:rsid w:val="0066742E"/>
    <w:rsid w:val="006674B6"/>
    <w:rsid w:val="0066757C"/>
    <w:rsid w:val="006675C3"/>
    <w:rsid w:val="006677AE"/>
    <w:rsid w:val="0066786E"/>
    <w:rsid w:val="00667A53"/>
    <w:rsid w:val="00667B8C"/>
    <w:rsid w:val="00667DFE"/>
    <w:rsid w:val="00667E81"/>
    <w:rsid w:val="00667FC2"/>
    <w:rsid w:val="0067000A"/>
    <w:rsid w:val="00670A41"/>
    <w:rsid w:val="00670AFF"/>
    <w:rsid w:val="00670D1D"/>
    <w:rsid w:val="00670D39"/>
    <w:rsid w:val="00670D4B"/>
    <w:rsid w:val="00670E0D"/>
    <w:rsid w:val="00670F07"/>
    <w:rsid w:val="0067136D"/>
    <w:rsid w:val="0067148F"/>
    <w:rsid w:val="00671627"/>
    <w:rsid w:val="00671896"/>
    <w:rsid w:val="00671A4D"/>
    <w:rsid w:val="00671ADE"/>
    <w:rsid w:val="00671D62"/>
    <w:rsid w:val="00671D63"/>
    <w:rsid w:val="00672057"/>
    <w:rsid w:val="00672108"/>
    <w:rsid w:val="006723C2"/>
    <w:rsid w:val="00672C5D"/>
    <w:rsid w:val="00673043"/>
    <w:rsid w:val="0067324A"/>
    <w:rsid w:val="00673298"/>
    <w:rsid w:val="00673411"/>
    <w:rsid w:val="00673511"/>
    <w:rsid w:val="00673A2E"/>
    <w:rsid w:val="00673AB8"/>
    <w:rsid w:val="00673E8D"/>
    <w:rsid w:val="00673EF3"/>
    <w:rsid w:val="00673F75"/>
    <w:rsid w:val="0067449A"/>
    <w:rsid w:val="0067453B"/>
    <w:rsid w:val="006745CF"/>
    <w:rsid w:val="00674831"/>
    <w:rsid w:val="00674871"/>
    <w:rsid w:val="006749EB"/>
    <w:rsid w:val="00674A21"/>
    <w:rsid w:val="00674AA8"/>
    <w:rsid w:val="00674C3E"/>
    <w:rsid w:val="00674E11"/>
    <w:rsid w:val="006752B8"/>
    <w:rsid w:val="00675650"/>
    <w:rsid w:val="006757D2"/>
    <w:rsid w:val="00675837"/>
    <w:rsid w:val="00675856"/>
    <w:rsid w:val="00675930"/>
    <w:rsid w:val="00675E74"/>
    <w:rsid w:val="00675EC3"/>
    <w:rsid w:val="00675F83"/>
    <w:rsid w:val="00676015"/>
    <w:rsid w:val="00676111"/>
    <w:rsid w:val="006763C3"/>
    <w:rsid w:val="0067655E"/>
    <w:rsid w:val="00676753"/>
    <w:rsid w:val="006767F9"/>
    <w:rsid w:val="00676876"/>
    <w:rsid w:val="006769E4"/>
    <w:rsid w:val="00676DF9"/>
    <w:rsid w:val="00676E62"/>
    <w:rsid w:val="00676FF3"/>
    <w:rsid w:val="00677210"/>
    <w:rsid w:val="00677360"/>
    <w:rsid w:val="0067738E"/>
    <w:rsid w:val="006774AD"/>
    <w:rsid w:val="00677649"/>
    <w:rsid w:val="00677AFA"/>
    <w:rsid w:val="00677C4F"/>
    <w:rsid w:val="00677EEB"/>
    <w:rsid w:val="00680028"/>
    <w:rsid w:val="006801E2"/>
    <w:rsid w:val="0068043D"/>
    <w:rsid w:val="006806E1"/>
    <w:rsid w:val="00680857"/>
    <w:rsid w:val="006809F6"/>
    <w:rsid w:val="00680A09"/>
    <w:rsid w:val="00680BFD"/>
    <w:rsid w:val="00680CC7"/>
    <w:rsid w:val="00680D8E"/>
    <w:rsid w:val="006810D2"/>
    <w:rsid w:val="00681351"/>
    <w:rsid w:val="0068140D"/>
    <w:rsid w:val="006814A7"/>
    <w:rsid w:val="006816A8"/>
    <w:rsid w:val="006816DC"/>
    <w:rsid w:val="006817AD"/>
    <w:rsid w:val="00681801"/>
    <w:rsid w:val="00681C55"/>
    <w:rsid w:val="00681D19"/>
    <w:rsid w:val="00681D85"/>
    <w:rsid w:val="006821A9"/>
    <w:rsid w:val="006821F5"/>
    <w:rsid w:val="0068269A"/>
    <w:rsid w:val="006826FD"/>
    <w:rsid w:val="00682848"/>
    <w:rsid w:val="00682A34"/>
    <w:rsid w:val="00682B03"/>
    <w:rsid w:val="00682BCD"/>
    <w:rsid w:val="00682C69"/>
    <w:rsid w:val="00682EA4"/>
    <w:rsid w:val="006831BE"/>
    <w:rsid w:val="006831D6"/>
    <w:rsid w:val="00683464"/>
    <w:rsid w:val="00683471"/>
    <w:rsid w:val="00683E64"/>
    <w:rsid w:val="00683F62"/>
    <w:rsid w:val="00684352"/>
    <w:rsid w:val="006843D9"/>
    <w:rsid w:val="00684574"/>
    <w:rsid w:val="00684622"/>
    <w:rsid w:val="00684A9E"/>
    <w:rsid w:val="00684BB7"/>
    <w:rsid w:val="00684E1B"/>
    <w:rsid w:val="00684E5B"/>
    <w:rsid w:val="00684EED"/>
    <w:rsid w:val="006854B4"/>
    <w:rsid w:val="006855A3"/>
    <w:rsid w:val="00685BB3"/>
    <w:rsid w:val="00685D45"/>
    <w:rsid w:val="006860D5"/>
    <w:rsid w:val="006863CC"/>
    <w:rsid w:val="0068674A"/>
    <w:rsid w:val="00686ACA"/>
    <w:rsid w:val="00686D58"/>
    <w:rsid w:val="00686DC2"/>
    <w:rsid w:val="00686E80"/>
    <w:rsid w:val="00686F0A"/>
    <w:rsid w:val="00686F66"/>
    <w:rsid w:val="0068751D"/>
    <w:rsid w:val="0068758F"/>
    <w:rsid w:val="00687679"/>
    <w:rsid w:val="006877B6"/>
    <w:rsid w:val="006879D7"/>
    <w:rsid w:val="006879D8"/>
    <w:rsid w:val="00687BB4"/>
    <w:rsid w:val="00687CE5"/>
    <w:rsid w:val="00690009"/>
    <w:rsid w:val="006901EA"/>
    <w:rsid w:val="006904CA"/>
    <w:rsid w:val="006904FF"/>
    <w:rsid w:val="00690655"/>
    <w:rsid w:val="00690718"/>
    <w:rsid w:val="00690D3F"/>
    <w:rsid w:val="00690EFD"/>
    <w:rsid w:val="00690FEE"/>
    <w:rsid w:val="006912B6"/>
    <w:rsid w:val="00691491"/>
    <w:rsid w:val="006914FA"/>
    <w:rsid w:val="00691564"/>
    <w:rsid w:val="006918BC"/>
    <w:rsid w:val="00691C92"/>
    <w:rsid w:val="00691DA6"/>
    <w:rsid w:val="00691F71"/>
    <w:rsid w:val="006922D5"/>
    <w:rsid w:val="00692390"/>
    <w:rsid w:val="00692550"/>
    <w:rsid w:val="00692960"/>
    <w:rsid w:val="00692984"/>
    <w:rsid w:val="00692B6A"/>
    <w:rsid w:val="00692C63"/>
    <w:rsid w:val="00692E62"/>
    <w:rsid w:val="00692EC1"/>
    <w:rsid w:val="00692F57"/>
    <w:rsid w:val="00693033"/>
    <w:rsid w:val="00693179"/>
    <w:rsid w:val="00693D99"/>
    <w:rsid w:val="00693EAB"/>
    <w:rsid w:val="00693FA8"/>
    <w:rsid w:val="006940D2"/>
    <w:rsid w:val="00694347"/>
    <w:rsid w:val="006943A1"/>
    <w:rsid w:val="006944CA"/>
    <w:rsid w:val="0069452E"/>
    <w:rsid w:val="00694542"/>
    <w:rsid w:val="00694624"/>
    <w:rsid w:val="006946FE"/>
    <w:rsid w:val="00694B32"/>
    <w:rsid w:val="00694C6E"/>
    <w:rsid w:val="00694D73"/>
    <w:rsid w:val="00694E18"/>
    <w:rsid w:val="00694F2E"/>
    <w:rsid w:val="00694F9E"/>
    <w:rsid w:val="00694FD7"/>
    <w:rsid w:val="006952E7"/>
    <w:rsid w:val="006952FC"/>
    <w:rsid w:val="00695403"/>
    <w:rsid w:val="00695642"/>
    <w:rsid w:val="00695870"/>
    <w:rsid w:val="0069595A"/>
    <w:rsid w:val="00695980"/>
    <w:rsid w:val="00695BC5"/>
    <w:rsid w:val="00695C7E"/>
    <w:rsid w:val="00695EF9"/>
    <w:rsid w:val="00696228"/>
    <w:rsid w:val="00696307"/>
    <w:rsid w:val="006963E6"/>
    <w:rsid w:val="00696408"/>
    <w:rsid w:val="006969A5"/>
    <w:rsid w:val="00696BCF"/>
    <w:rsid w:val="00696E42"/>
    <w:rsid w:val="00696E97"/>
    <w:rsid w:val="0069714C"/>
    <w:rsid w:val="0069768F"/>
    <w:rsid w:val="006976EB"/>
    <w:rsid w:val="006978A6"/>
    <w:rsid w:val="00697A27"/>
    <w:rsid w:val="00697A6D"/>
    <w:rsid w:val="00697BAF"/>
    <w:rsid w:val="00697C1B"/>
    <w:rsid w:val="00697C53"/>
    <w:rsid w:val="00697D10"/>
    <w:rsid w:val="00697E69"/>
    <w:rsid w:val="00697EA4"/>
    <w:rsid w:val="00697EF3"/>
    <w:rsid w:val="00697F7F"/>
    <w:rsid w:val="00697F86"/>
    <w:rsid w:val="006A001A"/>
    <w:rsid w:val="006A0242"/>
    <w:rsid w:val="006A0272"/>
    <w:rsid w:val="006A0314"/>
    <w:rsid w:val="006A0C37"/>
    <w:rsid w:val="006A0C77"/>
    <w:rsid w:val="006A1397"/>
    <w:rsid w:val="006A13B7"/>
    <w:rsid w:val="006A1597"/>
    <w:rsid w:val="006A1757"/>
    <w:rsid w:val="006A19C2"/>
    <w:rsid w:val="006A19ED"/>
    <w:rsid w:val="006A1D39"/>
    <w:rsid w:val="006A1D98"/>
    <w:rsid w:val="006A1DB0"/>
    <w:rsid w:val="006A1FED"/>
    <w:rsid w:val="006A203B"/>
    <w:rsid w:val="006A24BF"/>
    <w:rsid w:val="006A25B2"/>
    <w:rsid w:val="006A28B4"/>
    <w:rsid w:val="006A29AC"/>
    <w:rsid w:val="006A2D79"/>
    <w:rsid w:val="006A2F9E"/>
    <w:rsid w:val="006A3188"/>
    <w:rsid w:val="006A3703"/>
    <w:rsid w:val="006A371E"/>
    <w:rsid w:val="006A386D"/>
    <w:rsid w:val="006A38A7"/>
    <w:rsid w:val="006A3ADC"/>
    <w:rsid w:val="006A3C71"/>
    <w:rsid w:val="006A3EA9"/>
    <w:rsid w:val="006A4021"/>
    <w:rsid w:val="006A4027"/>
    <w:rsid w:val="006A41D6"/>
    <w:rsid w:val="006A41E4"/>
    <w:rsid w:val="006A4273"/>
    <w:rsid w:val="006A42A7"/>
    <w:rsid w:val="006A4374"/>
    <w:rsid w:val="006A47C6"/>
    <w:rsid w:val="006A483E"/>
    <w:rsid w:val="006A4929"/>
    <w:rsid w:val="006A496D"/>
    <w:rsid w:val="006A49DC"/>
    <w:rsid w:val="006A4C12"/>
    <w:rsid w:val="006A4E65"/>
    <w:rsid w:val="006A4EEA"/>
    <w:rsid w:val="006A51F8"/>
    <w:rsid w:val="006A522B"/>
    <w:rsid w:val="006A52AC"/>
    <w:rsid w:val="006A5307"/>
    <w:rsid w:val="006A5389"/>
    <w:rsid w:val="006A55AF"/>
    <w:rsid w:val="006A5732"/>
    <w:rsid w:val="006A57CF"/>
    <w:rsid w:val="006A59F0"/>
    <w:rsid w:val="006A5C6B"/>
    <w:rsid w:val="006A5DB3"/>
    <w:rsid w:val="006A5DFA"/>
    <w:rsid w:val="006A5E24"/>
    <w:rsid w:val="006A6408"/>
    <w:rsid w:val="006A643E"/>
    <w:rsid w:val="006A65D0"/>
    <w:rsid w:val="006A66E9"/>
    <w:rsid w:val="006A67A9"/>
    <w:rsid w:val="006A68F8"/>
    <w:rsid w:val="006A6B80"/>
    <w:rsid w:val="006A7042"/>
    <w:rsid w:val="006A70D1"/>
    <w:rsid w:val="006A70F8"/>
    <w:rsid w:val="006A71C9"/>
    <w:rsid w:val="006A730B"/>
    <w:rsid w:val="006A7322"/>
    <w:rsid w:val="006A75B9"/>
    <w:rsid w:val="006A7648"/>
    <w:rsid w:val="006A779C"/>
    <w:rsid w:val="006A781F"/>
    <w:rsid w:val="006A7909"/>
    <w:rsid w:val="006A791B"/>
    <w:rsid w:val="006A79C4"/>
    <w:rsid w:val="006A7CB8"/>
    <w:rsid w:val="006A7CD0"/>
    <w:rsid w:val="006A7D99"/>
    <w:rsid w:val="006B00A4"/>
    <w:rsid w:val="006B014F"/>
    <w:rsid w:val="006B0340"/>
    <w:rsid w:val="006B03C8"/>
    <w:rsid w:val="006B0B20"/>
    <w:rsid w:val="006B0EFB"/>
    <w:rsid w:val="006B1033"/>
    <w:rsid w:val="006B1398"/>
    <w:rsid w:val="006B1550"/>
    <w:rsid w:val="006B1B67"/>
    <w:rsid w:val="006B1DA5"/>
    <w:rsid w:val="006B1F03"/>
    <w:rsid w:val="006B1FCF"/>
    <w:rsid w:val="006B226F"/>
    <w:rsid w:val="006B22DB"/>
    <w:rsid w:val="006B2563"/>
    <w:rsid w:val="006B26CA"/>
    <w:rsid w:val="006B28B9"/>
    <w:rsid w:val="006B2A51"/>
    <w:rsid w:val="006B2AC6"/>
    <w:rsid w:val="006B2B14"/>
    <w:rsid w:val="006B2C60"/>
    <w:rsid w:val="006B2D76"/>
    <w:rsid w:val="006B2D89"/>
    <w:rsid w:val="006B347C"/>
    <w:rsid w:val="006B359F"/>
    <w:rsid w:val="006B37CE"/>
    <w:rsid w:val="006B40D4"/>
    <w:rsid w:val="006B42E4"/>
    <w:rsid w:val="006B42F5"/>
    <w:rsid w:val="006B4333"/>
    <w:rsid w:val="006B48F8"/>
    <w:rsid w:val="006B4928"/>
    <w:rsid w:val="006B494B"/>
    <w:rsid w:val="006B4C19"/>
    <w:rsid w:val="006B4CBD"/>
    <w:rsid w:val="006B4E67"/>
    <w:rsid w:val="006B4EE6"/>
    <w:rsid w:val="006B4FFE"/>
    <w:rsid w:val="006B503E"/>
    <w:rsid w:val="006B55C6"/>
    <w:rsid w:val="006B5823"/>
    <w:rsid w:val="006B58CA"/>
    <w:rsid w:val="006B5C97"/>
    <w:rsid w:val="006B5D82"/>
    <w:rsid w:val="006B5E3E"/>
    <w:rsid w:val="006B5EF6"/>
    <w:rsid w:val="006B6216"/>
    <w:rsid w:val="006B69BD"/>
    <w:rsid w:val="006B6B76"/>
    <w:rsid w:val="006B6B97"/>
    <w:rsid w:val="006B6C68"/>
    <w:rsid w:val="006B6DC4"/>
    <w:rsid w:val="006B6E22"/>
    <w:rsid w:val="006B6EEF"/>
    <w:rsid w:val="006B7623"/>
    <w:rsid w:val="006B7AD1"/>
    <w:rsid w:val="006B7EB4"/>
    <w:rsid w:val="006B7EF6"/>
    <w:rsid w:val="006C003C"/>
    <w:rsid w:val="006C00A1"/>
    <w:rsid w:val="006C0202"/>
    <w:rsid w:val="006C0302"/>
    <w:rsid w:val="006C0381"/>
    <w:rsid w:val="006C03F1"/>
    <w:rsid w:val="006C0530"/>
    <w:rsid w:val="006C0796"/>
    <w:rsid w:val="006C0AA6"/>
    <w:rsid w:val="006C0B2B"/>
    <w:rsid w:val="006C0B71"/>
    <w:rsid w:val="006C0C8A"/>
    <w:rsid w:val="006C0CC1"/>
    <w:rsid w:val="006C0D3F"/>
    <w:rsid w:val="006C0FEB"/>
    <w:rsid w:val="006C1259"/>
    <w:rsid w:val="006C12CE"/>
    <w:rsid w:val="006C1316"/>
    <w:rsid w:val="006C14FF"/>
    <w:rsid w:val="006C1565"/>
    <w:rsid w:val="006C15B5"/>
    <w:rsid w:val="006C162F"/>
    <w:rsid w:val="006C167C"/>
    <w:rsid w:val="006C16A7"/>
    <w:rsid w:val="006C18CF"/>
    <w:rsid w:val="006C1B2A"/>
    <w:rsid w:val="006C1D91"/>
    <w:rsid w:val="006C2188"/>
    <w:rsid w:val="006C2408"/>
    <w:rsid w:val="006C2610"/>
    <w:rsid w:val="006C2719"/>
    <w:rsid w:val="006C284F"/>
    <w:rsid w:val="006C28F9"/>
    <w:rsid w:val="006C2CF6"/>
    <w:rsid w:val="006C2E00"/>
    <w:rsid w:val="006C3013"/>
    <w:rsid w:val="006C316C"/>
    <w:rsid w:val="006C33AA"/>
    <w:rsid w:val="006C3676"/>
    <w:rsid w:val="006C377D"/>
    <w:rsid w:val="006C3955"/>
    <w:rsid w:val="006C39CE"/>
    <w:rsid w:val="006C3DCA"/>
    <w:rsid w:val="006C3F9B"/>
    <w:rsid w:val="006C40CE"/>
    <w:rsid w:val="006C4102"/>
    <w:rsid w:val="006C41CC"/>
    <w:rsid w:val="006C4480"/>
    <w:rsid w:val="006C449C"/>
    <w:rsid w:val="006C45F0"/>
    <w:rsid w:val="006C473D"/>
    <w:rsid w:val="006C4A4C"/>
    <w:rsid w:val="006C4A99"/>
    <w:rsid w:val="006C4BC5"/>
    <w:rsid w:val="006C50C5"/>
    <w:rsid w:val="006C5272"/>
    <w:rsid w:val="006C53D5"/>
    <w:rsid w:val="006C554B"/>
    <w:rsid w:val="006C563A"/>
    <w:rsid w:val="006C57A5"/>
    <w:rsid w:val="006C59DF"/>
    <w:rsid w:val="006C5B7B"/>
    <w:rsid w:val="006C5C72"/>
    <w:rsid w:val="006C5FA8"/>
    <w:rsid w:val="006C613C"/>
    <w:rsid w:val="006C648E"/>
    <w:rsid w:val="006C669A"/>
    <w:rsid w:val="006C6722"/>
    <w:rsid w:val="006C68DB"/>
    <w:rsid w:val="006C73E2"/>
    <w:rsid w:val="006C750D"/>
    <w:rsid w:val="006C7811"/>
    <w:rsid w:val="006C79BD"/>
    <w:rsid w:val="006C79F6"/>
    <w:rsid w:val="006C7A1A"/>
    <w:rsid w:val="006C7B3D"/>
    <w:rsid w:val="006C7B9E"/>
    <w:rsid w:val="006C7F43"/>
    <w:rsid w:val="006D00A4"/>
    <w:rsid w:val="006D0200"/>
    <w:rsid w:val="006D0494"/>
    <w:rsid w:val="006D08F9"/>
    <w:rsid w:val="006D09C2"/>
    <w:rsid w:val="006D0A44"/>
    <w:rsid w:val="006D0CED"/>
    <w:rsid w:val="006D131A"/>
    <w:rsid w:val="006D1417"/>
    <w:rsid w:val="006D1452"/>
    <w:rsid w:val="006D163C"/>
    <w:rsid w:val="006D189A"/>
    <w:rsid w:val="006D193B"/>
    <w:rsid w:val="006D1BC3"/>
    <w:rsid w:val="006D1C24"/>
    <w:rsid w:val="006D1FFA"/>
    <w:rsid w:val="006D2362"/>
    <w:rsid w:val="006D251D"/>
    <w:rsid w:val="006D253A"/>
    <w:rsid w:val="006D255B"/>
    <w:rsid w:val="006D26D2"/>
    <w:rsid w:val="006D2D13"/>
    <w:rsid w:val="006D2D1E"/>
    <w:rsid w:val="006D3016"/>
    <w:rsid w:val="006D31C2"/>
    <w:rsid w:val="006D31CC"/>
    <w:rsid w:val="006D3220"/>
    <w:rsid w:val="006D34DE"/>
    <w:rsid w:val="006D36F8"/>
    <w:rsid w:val="006D3A1B"/>
    <w:rsid w:val="006D3E2D"/>
    <w:rsid w:val="006D3E34"/>
    <w:rsid w:val="006D402F"/>
    <w:rsid w:val="006D4132"/>
    <w:rsid w:val="006D4194"/>
    <w:rsid w:val="006D43B6"/>
    <w:rsid w:val="006D4402"/>
    <w:rsid w:val="006D4412"/>
    <w:rsid w:val="006D4906"/>
    <w:rsid w:val="006D4930"/>
    <w:rsid w:val="006D4A16"/>
    <w:rsid w:val="006D4B20"/>
    <w:rsid w:val="006D4E40"/>
    <w:rsid w:val="006D4ED4"/>
    <w:rsid w:val="006D4FA7"/>
    <w:rsid w:val="006D5059"/>
    <w:rsid w:val="006D5219"/>
    <w:rsid w:val="006D54DA"/>
    <w:rsid w:val="006D5FA2"/>
    <w:rsid w:val="006D6321"/>
    <w:rsid w:val="006D6503"/>
    <w:rsid w:val="006D6587"/>
    <w:rsid w:val="006D659E"/>
    <w:rsid w:val="006D661E"/>
    <w:rsid w:val="006D66BA"/>
    <w:rsid w:val="006D68A2"/>
    <w:rsid w:val="006D6BCF"/>
    <w:rsid w:val="006D6DC3"/>
    <w:rsid w:val="006D6E9B"/>
    <w:rsid w:val="006D6EF3"/>
    <w:rsid w:val="006D6F47"/>
    <w:rsid w:val="006D71FB"/>
    <w:rsid w:val="006D727C"/>
    <w:rsid w:val="006D72E5"/>
    <w:rsid w:val="006D7308"/>
    <w:rsid w:val="006D7414"/>
    <w:rsid w:val="006D759C"/>
    <w:rsid w:val="006D76ED"/>
    <w:rsid w:val="006D77BC"/>
    <w:rsid w:val="006D77E4"/>
    <w:rsid w:val="006D783F"/>
    <w:rsid w:val="006D7854"/>
    <w:rsid w:val="006D78A4"/>
    <w:rsid w:val="006D7B15"/>
    <w:rsid w:val="006D7B5E"/>
    <w:rsid w:val="006D7CFD"/>
    <w:rsid w:val="006D7DCA"/>
    <w:rsid w:val="006D7DD0"/>
    <w:rsid w:val="006D7E3F"/>
    <w:rsid w:val="006D7E8A"/>
    <w:rsid w:val="006D7EDE"/>
    <w:rsid w:val="006E051C"/>
    <w:rsid w:val="006E07E8"/>
    <w:rsid w:val="006E084B"/>
    <w:rsid w:val="006E09D7"/>
    <w:rsid w:val="006E0A94"/>
    <w:rsid w:val="006E0EF4"/>
    <w:rsid w:val="006E1252"/>
    <w:rsid w:val="006E1513"/>
    <w:rsid w:val="006E157B"/>
    <w:rsid w:val="006E16F4"/>
    <w:rsid w:val="006E188D"/>
    <w:rsid w:val="006E19A1"/>
    <w:rsid w:val="006E1ACE"/>
    <w:rsid w:val="006E1B4E"/>
    <w:rsid w:val="006E1F5B"/>
    <w:rsid w:val="006E1F7B"/>
    <w:rsid w:val="006E1FAA"/>
    <w:rsid w:val="006E1FBD"/>
    <w:rsid w:val="006E2164"/>
    <w:rsid w:val="006E22C9"/>
    <w:rsid w:val="006E23C0"/>
    <w:rsid w:val="006E23DB"/>
    <w:rsid w:val="006E2AB1"/>
    <w:rsid w:val="006E2B9D"/>
    <w:rsid w:val="006E2EA0"/>
    <w:rsid w:val="006E2EF7"/>
    <w:rsid w:val="006E2FA8"/>
    <w:rsid w:val="006E3016"/>
    <w:rsid w:val="006E312E"/>
    <w:rsid w:val="006E31E3"/>
    <w:rsid w:val="006E322F"/>
    <w:rsid w:val="006E335F"/>
    <w:rsid w:val="006E33E9"/>
    <w:rsid w:val="006E373D"/>
    <w:rsid w:val="006E3A36"/>
    <w:rsid w:val="006E40E2"/>
    <w:rsid w:val="006E425D"/>
    <w:rsid w:val="006E4351"/>
    <w:rsid w:val="006E436E"/>
    <w:rsid w:val="006E43BD"/>
    <w:rsid w:val="006E454B"/>
    <w:rsid w:val="006E46FC"/>
    <w:rsid w:val="006E495E"/>
    <w:rsid w:val="006E49B1"/>
    <w:rsid w:val="006E4FCA"/>
    <w:rsid w:val="006E5099"/>
    <w:rsid w:val="006E54F4"/>
    <w:rsid w:val="006E57D4"/>
    <w:rsid w:val="006E581F"/>
    <w:rsid w:val="006E5862"/>
    <w:rsid w:val="006E5AE1"/>
    <w:rsid w:val="006E5B9C"/>
    <w:rsid w:val="006E5FCD"/>
    <w:rsid w:val="006E6012"/>
    <w:rsid w:val="006E60B7"/>
    <w:rsid w:val="006E635F"/>
    <w:rsid w:val="006E63C0"/>
    <w:rsid w:val="006E6532"/>
    <w:rsid w:val="006E6AC1"/>
    <w:rsid w:val="006E6D0E"/>
    <w:rsid w:val="006E6DD2"/>
    <w:rsid w:val="006E6F18"/>
    <w:rsid w:val="006E6F75"/>
    <w:rsid w:val="006E6FDD"/>
    <w:rsid w:val="006E6FEB"/>
    <w:rsid w:val="006E7032"/>
    <w:rsid w:val="006E703D"/>
    <w:rsid w:val="006E71D4"/>
    <w:rsid w:val="006E7414"/>
    <w:rsid w:val="006E7BFC"/>
    <w:rsid w:val="006E7D0D"/>
    <w:rsid w:val="006E7D94"/>
    <w:rsid w:val="006F00D9"/>
    <w:rsid w:val="006F0557"/>
    <w:rsid w:val="006F0837"/>
    <w:rsid w:val="006F08DE"/>
    <w:rsid w:val="006F0A0D"/>
    <w:rsid w:val="006F0A2C"/>
    <w:rsid w:val="006F12DE"/>
    <w:rsid w:val="006F132F"/>
    <w:rsid w:val="006F1451"/>
    <w:rsid w:val="006F159C"/>
    <w:rsid w:val="006F16D3"/>
    <w:rsid w:val="006F180A"/>
    <w:rsid w:val="006F1852"/>
    <w:rsid w:val="006F1DBC"/>
    <w:rsid w:val="006F1E11"/>
    <w:rsid w:val="006F1ECE"/>
    <w:rsid w:val="006F1F93"/>
    <w:rsid w:val="006F21D2"/>
    <w:rsid w:val="006F21F6"/>
    <w:rsid w:val="006F24A7"/>
    <w:rsid w:val="006F24BF"/>
    <w:rsid w:val="006F273C"/>
    <w:rsid w:val="006F2921"/>
    <w:rsid w:val="006F2A01"/>
    <w:rsid w:val="006F2B84"/>
    <w:rsid w:val="006F2D73"/>
    <w:rsid w:val="006F2DA8"/>
    <w:rsid w:val="006F3294"/>
    <w:rsid w:val="006F36CB"/>
    <w:rsid w:val="006F371B"/>
    <w:rsid w:val="006F373D"/>
    <w:rsid w:val="006F3744"/>
    <w:rsid w:val="006F374E"/>
    <w:rsid w:val="006F384F"/>
    <w:rsid w:val="006F3B62"/>
    <w:rsid w:val="006F3BA3"/>
    <w:rsid w:val="006F3C87"/>
    <w:rsid w:val="006F3D00"/>
    <w:rsid w:val="006F3DBA"/>
    <w:rsid w:val="006F3EAC"/>
    <w:rsid w:val="006F3F93"/>
    <w:rsid w:val="006F4182"/>
    <w:rsid w:val="006F41AA"/>
    <w:rsid w:val="006F42BF"/>
    <w:rsid w:val="006F435C"/>
    <w:rsid w:val="006F45EC"/>
    <w:rsid w:val="006F4A60"/>
    <w:rsid w:val="006F4B8E"/>
    <w:rsid w:val="006F4BAE"/>
    <w:rsid w:val="006F4E2B"/>
    <w:rsid w:val="006F4E6D"/>
    <w:rsid w:val="006F4F70"/>
    <w:rsid w:val="006F5278"/>
    <w:rsid w:val="006F52FA"/>
    <w:rsid w:val="006F551D"/>
    <w:rsid w:val="006F570C"/>
    <w:rsid w:val="006F5AC0"/>
    <w:rsid w:val="006F5AC6"/>
    <w:rsid w:val="006F5B94"/>
    <w:rsid w:val="006F5BE6"/>
    <w:rsid w:val="006F5CD1"/>
    <w:rsid w:val="006F5F9A"/>
    <w:rsid w:val="006F60C4"/>
    <w:rsid w:val="006F6125"/>
    <w:rsid w:val="006F6415"/>
    <w:rsid w:val="006F647A"/>
    <w:rsid w:val="006F682F"/>
    <w:rsid w:val="006F6881"/>
    <w:rsid w:val="006F68C2"/>
    <w:rsid w:val="006F6A2E"/>
    <w:rsid w:val="006F6B16"/>
    <w:rsid w:val="006F6C6C"/>
    <w:rsid w:val="006F6DD3"/>
    <w:rsid w:val="006F6E4D"/>
    <w:rsid w:val="006F6EDA"/>
    <w:rsid w:val="006F7031"/>
    <w:rsid w:val="006F7070"/>
    <w:rsid w:val="006F732E"/>
    <w:rsid w:val="006F751D"/>
    <w:rsid w:val="006F7661"/>
    <w:rsid w:val="006F7684"/>
    <w:rsid w:val="006F7698"/>
    <w:rsid w:val="006F7822"/>
    <w:rsid w:val="006F79AF"/>
    <w:rsid w:val="006F7B9C"/>
    <w:rsid w:val="006F7F69"/>
    <w:rsid w:val="006F7FEE"/>
    <w:rsid w:val="007002C2"/>
    <w:rsid w:val="00700402"/>
    <w:rsid w:val="00700470"/>
    <w:rsid w:val="0070062F"/>
    <w:rsid w:val="007007BB"/>
    <w:rsid w:val="0070081B"/>
    <w:rsid w:val="00700AC9"/>
    <w:rsid w:val="00700C6C"/>
    <w:rsid w:val="0070103A"/>
    <w:rsid w:val="0070110A"/>
    <w:rsid w:val="0070117D"/>
    <w:rsid w:val="00701209"/>
    <w:rsid w:val="007012FE"/>
    <w:rsid w:val="007015A1"/>
    <w:rsid w:val="00701D2E"/>
    <w:rsid w:val="00701DFC"/>
    <w:rsid w:val="00701EFE"/>
    <w:rsid w:val="007021B4"/>
    <w:rsid w:val="00702272"/>
    <w:rsid w:val="00702460"/>
    <w:rsid w:val="0070259A"/>
    <w:rsid w:val="0070261D"/>
    <w:rsid w:val="007026AB"/>
    <w:rsid w:val="00702720"/>
    <w:rsid w:val="0070293F"/>
    <w:rsid w:val="00702B77"/>
    <w:rsid w:val="00702BED"/>
    <w:rsid w:val="00702C48"/>
    <w:rsid w:val="00702D68"/>
    <w:rsid w:val="00702DB6"/>
    <w:rsid w:val="00702FF5"/>
    <w:rsid w:val="00703265"/>
    <w:rsid w:val="00703475"/>
    <w:rsid w:val="007034E4"/>
    <w:rsid w:val="00703512"/>
    <w:rsid w:val="007037C6"/>
    <w:rsid w:val="00703BAA"/>
    <w:rsid w:val="00704502"/>
    <w:rsid w:val="00704548"/>
    <w:rsid w:val="007046CE"/>
    <w:rsid w:val="00704A99"/>
    <w:rsid w:val="00704B78"/>
    <w:rsid w:val="00704E69"/>
    <w:rsid w:val="00704E82"/>
    <w:rsid w:val="0070548A"/>
    <w:rsid w:val="007054EC"/>
    <w:rsid w:val="00705940"/>
    <w:rsid w:val="0070597C"/>
    <w:rsid w:val="00705C8C"/>
    <w:rsid w:val="00705D1E"/>
    <w:rsid w:val="00705D60"/>
    <w:rsid w:val="00705D9F"/>
    <w:rsid w:val="00705DB9"/>
    <w:rsid w:val="00705EB3"/>
    <w:rsid w:val="007062EA"/>
    <w:rsid w:val="007063A7"/>
    <w:rsid w:val="007064C0"/>
    <w:rsid w:val="007064EF"/>
    <w:rsid w:val="0070663E"/>
    <w:rsid w:val="0070673C"/>
    <w:rsid w:val="00706782"/>
    <w:rsid w:val="007067A9"/>
    <w:rsid w:val="007067FC"/>
    <w:rsid w:val="0070683C"/>
    <w:rsid w:val="00706A54"/>
    <w:rsid w:val="00706AFF"/>
    <w:rsid w:val="00706DAE"/>
    <w:rsid w:val="0070710A"/>
    <w:rsid w:val="0070738C"/>
    <w:rsid w:val="00707444"/>
    <w:rsid w:val="007075CF"/>
    <w:rsid w:val="00707601"/>
    <w:rsid w:val="0070778F"/>
    <w:rsid w:val="007077FF"/>
    <w:rsid w:val="00707C20"/>
    <w:rsid w:val="00707CB0"/>
    <w:rsid w:val="00707D40"/>
    <w:rsid w:val="00707D58"/>
    <w:rsid w:val="00710293"/>
    <w:rsid w:val="00710478"/>
    <w:rsid w:val="00710596"/>
    <w:rsid w:val="00710A1F"/>
    <w:rsid w:val="00710B3E"/>
    <w:rsid w:val="00710B5E"/>
    <w:rsid w:val="00710CC9"/>
    <w:rsid w:val="00710F2A"/>
    <w:rsid w:val="007111B9"/>
    <w:rsid w:val="007114C3"/>
    <w:rsid w:val="00711780"/>
    <w:rsid w:val="00711793"/>
    <w:rsid w:val="007117A1"/>
    <w:rsid w:val="00711927"/>
    <w:rsid w:val="00711AA0"/>
    <w:rsid w:val="00711F97"/>
    <w:rsid w:val="00712078"/>
    <w:rsid w:val="007120E8"/>
    <w:rsid w:val="00712114"/>
    <w:rsid w:val="007122E0"/>
    <w:rsid w:val="00712487"/>
    <w:rsid w:val="007125D9"/>
    <w:rsid w:val="0071262A"/>
    <w:rsid w:val="007126B6"/>
    <w:rsid w:val="0071291A"/>
    <w:rsid w:val="007129A2"/>
    <w:rsid w:val="00712D20"/>
    <w:rsid w:val="00712EB9"/>
    <w:rsid w:val="00712FA8"/>
    <w:rsid w:val="00713324"/>
    <w:rsid w:val="0071369C"/>
    <w:rsid w:val="007136C2"/>
    <w:rsid w:val="00713ABE"/>
    <w:rsid w:val="00713C07"/>
    <w:rsid w:val="00714005"/>
    <w:rsid w:val="00714486"/>
    <w:rsid w:val="007144C3"/>
    <w:rsid w:val="00714689"/>
    <w:rsid w:val="0071468A"/>
    <w:rsid w:val="0071476F"/>
    <w:rsid w:val="007147FC"/>
    <w:rsid w:val="00714A39"/>
    <w:rsid w:val="00714AD9"/>
    <w:rsid w:val="00714C1D"/>
    <w:rsid w:val="00714CCD"/>
    <w:rsid w:val="00714F5C"/>
    <w:rsid w:val="00715298"/>
    <w:rsid w:val="007152C9"/>
    <w:rsid w:val="007153ED"/>
    <w:rsid w:val="0071554A"/>
    <w:rsid w:val="007159DD"/>
    <w:rsid w:val="00715CC3"/>
    <w:rsid w:val="00716132"/>
    <w:rsid w:val="007165B8"/>
    <w:rsid w:val="007168BF"/>
    <w:rsid w:val="00716975"/>
    <w:rsid w:val="007169EC"/>
    <w:rsid w:val="00716A12"/>
    <w:rsid w:val="00717074"/>
    <w:rsid w:val="00717284"/>
    <w:rsid w:val="00717BB7"/>
    <w:rsid w:val="00717D12"/>
    <w:rsid w:val="00717E8E"/>
    <w:rsid w:val="00720173"/>
    <w:rsid w:val="00720647"/>
    <w:rsid w:val="007207ED"/>
    <w:rsid w:val="0072085D"/>
    <w:rsid w:val="007208C0"/>
    <w:rsid w:val="00720D7B"/>
    <w:rsid w:val="007214A9"/>
    <w:rsid w:val="00721B0D"/>
    <w:rsid w:val="00721B3C"/>
    <w:rsid w:val="00721B7A"/>
    <w:rsid w:val="00721BB9"/>
    <w:rsid w:val="00721C65"/>
    <w:rsid w:val="00721E5B"/>
    <w:rsid w:val="007221BC"/>
    <w:rsid w:val="00722449"/>
    <w:rsid w:val="00722CCA"/>
    <w:rsid w:val="00722D34"/>
    <w:rsid w:val="00722E1B"/>
    <w:rsid w:val="00722F36"/>
    <w:rsid w:val="00723007"/>
    <w:rsid w:val="00723130"/>
    <w:rsid w:val="007231B7"/>
    <w:rsid w:val="00723237"/>
    <w:rsid w:val="0072329D"/>
    <w:rsid w:val="00723430"/>
    <w:rsid w:val="007234E7"/>
    <w:rsid w:val="00723630"/>
    <w:rsid w:val="00723645"/>
    <w:rsid w:val="00723677"/>
    <w:rsid w:val="00723855"/>
    <w:rsid w:val="00723881"/>
    <w:rsid w:val="007239A0"/>
    <w:rsid w:val="00723A6E"/>
    <w:rsid w:val="00723C05"/>
    <w:rsid w:val="00723E7C"/>
    <w:rsid w:val="00723F22"/>
    <w:rsid w:val="00723F5B"/>
    <w:rsid w:val="00724135"/>
    <w:rsid w:val="00724139"/>
    <w:rsid w:val="0072456C"/>
    <w:rsid w:val="007247AD"/>
    <w:rsid w:val="007247FB"/>
    <w:rsid w:val="0072481F"/>
    <w:rsid w:val="00724A98"/>
    <w:rsid w:val="00724B31"/>
    <w:rsid w:val="00724B78"/>
    <w:rsid w:val="00724B9E"/>
    <w:rsid w:val="00724E70"/>
    <w:rsid w:val="00724ED8"/>
    <w:rsid w:val="00724FA2"/>
    <w:rsid w:val="00725049"/>
    <w:rsid w:val="00725482"/>
    <w:rsid w:val="00725583"/>
    <w:rsid w:val="007256B3"/>
    <w:rsid w:val="00725811"/>
    <w:rsid w:val="0072589B"/>
    <w:rsid w:val="007258F4"/>
    <w:rsid w:val="00725C8C"/>
    <w:rsid w:val="0072619D"/>
    <w:rsid w:val="00726379"/>
    <w:rsid w:val="00726454"/>
    <w:rsid w:val="007265BE"/>
    <w:rsid w:val="007269FB"/>
    <w:rsid w:val="00726B00"/>
    <w:rsid w:val="00726C11"/>
    <w:rsid w:val="00726E5B"/>
    <w:rsid w:val="00726E76"/>
    <w:rsid w:val="00726EBB"/>
    <w:rsid w:val="00726F57"/>
    <w:rsid w:val="00727355"/>
    <w:rsid w:val="007273CC"/>
    <w:rsid w:val="007276D8"/>
    <w:rsid w:val="007276F5"/>
    <w:rsid w:val="00727911"/>
    <w:rsid w:val="00727916"/>
    <w:rsid w:val="0072797A"/>
    <w:rsid w:val="00727A5E"/>
    <w:rsid w:val="00727C4D"/>
    <w:rsid w:val="00727CE7"/>
    <w:rsid w:val="00727FE0"/>
    <w:rsid w:val="00730111"/>
    <w:rsid w:val="0073038A"/>
    <w:rsid w:val="00730664"/>
    <w:rsid w:val="00730838"/>
    <w:rsid w:val="00730878"/>
    <w:rsid w:val="00730A53"/>
    <w:rsid w:val="00730A5D"/>
    <w:rsid w:val="0073105D"/>
    <w:rsid w:val="00731157"/>
    <w:rsid w:val="007317CB"/>
    <w:rsid w:val="0073181F"/>
    <w:rsid w:val="00731975"/>
    <w:rsid w:val="00731B42"/>
    <w:rsid w:val="00731C25"/>
    <w:rsid w:val="00731E6B"/>
    <w:rsid w:val="00731E80"/>
    <w:rsid w:val="007321B8"/>
    <w:rsid w:val="00732387"/>
    <w:rsid w:val="007324C3"/>
    <w:rsid w:val="00732605"/>
    <w:rsid w:val="007326E9"/>
    <w:rsid w:val="007327DF"/>
    <w:rsid w:val="00732BE1"/>
    <w:rsid w:val="00732C9B"/>
    <w:rsid w:val="00732D9D"/>
    <w:rsid w:val="00732DC2"/>
    <w:rsid w:val="00732E88"/>
    <w:rsid w:val="00732FF4"/>
    <w:rsid w:val="007333F3"/>
    <w:rsid w:val="00733528"/>
    <w:rsid w:val="007336FD"/>
    <w:rsid w:val="00733958"/>
    <w:rsid w:val="00733A4D"/>
    <w:rsid w:val="00733D14"/>
    <w:rsid w:val="00733D59"/>
    <w:rsid w:val="00733FB0"/>
    <w:rsid w:val="007340CB"/>
    <w:rsid w:val="0073415C"/>
    <w:rsid w:val="007342AC"/>
    <w:rsid w:val="007344F9"/>
    <w:rsid w:val="00734571"/>
    <w:rsid w:val="00734583"/>
    <w:rsid w:val="007348B1"/>
    <w:rsid w:val="00734AAF"/>
    <w:rsid w:val="00734AD0"/>
    <w:rsid w:val="00734C2A"/>
    <w:rsid w:val="00735335"/>
    <w:rsid w:val="007354F4"/>
    <w:rsid w:val="007356F0"/>
    <w:rsid w:val="00735788"/>
    <w:rsid w:val="007358CC"/>
    <w:rsid w:val="00735961"/>
    <w:rsid w:val="0073596C"/>
    <w:rsid w:val="00735A90"/>
    <w:rsid w:val="00735CD0"/>
    <w:rsid w:val="00735FDE"/>
    <w:rsid w:val="0073616F"/>
    <w:rsid w:val="007364C9"/>
    <w:rsid w:val="00736525"/>
    <w:rsid w:val="007365F0"/>
    <w:rsid w:val="0073675A"/>
    <w:rsid w:val="007367B4"/>
    <w:rsid w:val="00736ABE"/>
    <w:rsid w:val="00736D07"/>
    <w:rsid w:val="00736F9E"/>
    <w:rsid w:val="00737639"/>
    <w:rsid w:val="00737B05"/>
    <w:rsid w:val="00737BFC"/>
    <w:rsid w:val="00737F77"/>
    <w:rsid w:val="00740054"/>
    <w:rsid w:val="00740217"/>
    <w:rsid w:val="007402E8"/>
    <w:rsid w:val="0074032E"/>
    <w:rsid w:val="007404A9"/>
    <w:rsid w:val="007404B3"/>
    <w:rsid w:val="0074091B"/>
    <w:rsid w:val="007409ED"/>
    <w:rsid w:val="00740A6D"/>
    <w:rsid w:val="00740E46"/>
    <w:rsid w:val="007411B2"/>
    <w:rsid w:val="0074163B"/>
    <w:rsid w:val="007416BC"/>
    <w:rsid w:val="007416D7"/>
    <w:rsid w:val="00741966"/>
    <w:rsid w:val="00741A08"/>
    <w:rsid w:val="00741ACE"/>
    <w:rsid w:val="00741B74"/>
    <w:rsid w:val="00741D0E"/>
    <w:rsid w:val="00741D8B"/>
    <w:rsid w:val="00741F08"/>
    <w:rsid w:val="00741F15"/>
    <w:rsid w:val="00742017"/>
    <w:rsid w:val="007420F9"/>
    <w:rsid w:val="0074228D"/>
    <w:rsid w:val="007424C1"/>
    <w:rsid w:val="00742696"/>
    <w:rsid w:val="007426DC"/>
    <w:rsid w:val="007426E2"/>
    <w:rsid w:val="00742737"/>
    <w:rsid w:val="00742CE2"/>
    <w:rsid w:val="00742D1D"/>
    <w:rsid w:val="00742D74"/>
    <w:rsid w:val="00742F50"/>
    <w:rsid w:val="00743018"/>
    <w:rsid w:val="0074325E"/>
    <w:rsid w:val="007435A3"/>
    <w:rsid w:val="0074391A"/>
    <w:rsid w:val="007439F4"/>
    <w:rsid w:val="00743BFE"/>
    <w:rsid w:val="00743E29"/>
    <w:rsid w:val="00743F20"/>
    <w:rsid w:val="0074413A"/>
    <w:rsid w:val="007442FE"/>
    <w:rsid w:val="0074435D"/>
    <w:rsid w:val="00744461"/>
    <w:rsid w:val="007448AA"/>
    <w:rsid w:val="00744963"/>
    <w:rsid w:val="00744A17"/>
    <w:rsid w:val="00744A3D"/>
    <w:rsid w:val="007450CF"/>
    <w:rsid w:val="00745229"/>
    <w:rsid w:val="007452CB"/>
    <w:rsid w:val="00745464"/>
    <w:rsid w:val="00745865"/>
    <w:rsid w:val="00745882"/>
    <w:rsid w:val="00745BE6"/>
    <w:rsid w:val="00745C7A"/>
    <w:rsid w:val="00745E4B"/>
    <w:rsid w:val="00745F2E"/>
    <w:rsid w:val="00745FA9"/>
    <w:rsid w:val="0074600B"/>
    <w:rsid w:val="007462B8"/>
    <w:rsid w:val="0074638B"/>
    <w:rsid w:val="007466BD"/>
    <w:rsid w:val="00746705"/>
    <w:rsid w:val="0074673F"/>
    <w:rsid w:val="007467E1"/>
    <w:rsid w:val="00746B33"/>
    <w:rsid w:val="00746B84"/>
    <w:rsid w:val="00746B8A"/>
    <w:rsid w:val="00746CCD"/>
    <w:rsid w:val="00746D69"/>
    <w:rsid w:val="00746E90"/>
    <w:rsid w:val="00746FD3"/>
    <w:rsid w:val="00747419"/>
    <w:rsid w:val="00747468"/>
    <w:rsid w:val="007474E3"/>
    <w:rsid w:val="00747DDA"/>
    <w:rsid w:val="00747E9D"/>
    <w:rsid w:val="0075009F"/>
    <w:rsid w:val="007501AC"/>
    <w:rsid w:val="007502CC"/>
    <w:rsid w:val="00750310"/>
    <w:rsid w:val="0075034C"/>
    <w:rsid w:val="00750419"/>
    <w:rsid w:val="0075046D"/>
    <w:rsid w:val="007508DA"/>
    <w:rsid w:val="00750A18"/>
    <w:rsid w:val="00750F08"/>
    <w:rsid w:val="00750F31"/>
    <w:rsid w:val="007511DC"/>
    <w:rsid w:val="00751410"/>
    <w:rsid w:val="0075163B"/>
    <w:rsid w:val="00751C59"/>
    <w:rsid w:val="00751CCA"/>
    <w:rsid w:val="00751F10"/>
    <w:rsid w:val="00752001"/>
    <w:rsid w:val="007520BD"/>
    <w:rsid w:val="007520D4"/>
    <w:rsid w:val="00752193"/>
    <w:rsid w:val="00752359"/>
    <w:rsid w:val="00752543"/>
    <w:rsid w:val="00752557"/>
    <w:rsid w:val="00752610"/>
    <w:rsid w:val="00752724"/>
    <w:rsid w:val="007527DD"/>
    <w:rsid w:val="0075283F"/>
    <w:rsid w:val="00752A64"/>
    <w:rsid w:val="00752D43"/>
    <w:rsid w:val="00752F7D"/>
    <w:rsid w:val="007534A2"/>
    <w:rsid w:val="00753545"/>
    <w:rsid w:val="007536B6"/>
    <w:rsid w:val="00753AEE"/>
    <w:rsid w:val="00753BB9"/>
    <w:rsid w:val="00753EDF"/>
    <w:rsid w:val="00754323"/>
    <w:rsid w:val="0075442A"/>
    <w:rsid w:val="00754564"/>
    <w:rsid w:val="00754611"/>
    <w:rsid w:val="0075465F"/>
    <w:rsid w:val="00754833"/>
    <w:rsid w:val="00754879"/>
    <w:rsid w:val="0075493D"/>
    <w:rsid w:val="00754972"/>
    <w:rsid w:val="00754D6B"/>
    <w:rsid w:val="00754D6F"/>
    <w:rsid w:val="007550B5"/>
    <w:rsid w:val="007550FC"/>
    <w:rsid w:val="0075518B"/>
    <w:rsid w:val="0075523E"/>
    <w:rsid w:val="007555F2"/>
    <w:rsid w:val="00755819"/>
    <w:rsid w:val="00755879"/>
    <w:rsid w:val="00755C37"/>
    <w:rsid w:val="00755C3E"/>
    <w:rsid w:val="00755EC5"/>
    <w:rsid w:val="00755F66"/>
    <w:rsid w:val="00756016"/>
    <w:rsid w:val="00756117"/>
    <w:rsid w:val="00756259"/>
    <w:rsid w:val="007562C0"/>
    <w:rsid w:val="00756354"/>
    <w:rsid w:val="007564AF"/>
    <w:rsid w:val="007564C0"/>
    <w:rsid w:val="00756650"/>
    <w:rsid w:val="00756691"/>
    <w:rsid w:val="00756A21"/>
    <w:rsid w:val="00756C55"/>
    <w:rsid w:val="00756EC5"/>
    <w:rsid w:val="00757053"/>
    <w:rsid w:val="00757229"/>
    <w:rsid w:val="0075744C"/>
    <w:rsid w:val="007574B3"/>
    <w:rsid w:val="00757541"/>
    <w:rsid w:val="00757727"/>
    <w:rsid w:val="00757B94"/>
    <w:rsid w:val="00757CF9"/>
    <w:rsid w:val="007601DE"/>
    <w:rsid w:val="00760355"/>
    <w:rsid w:val="00760540"/>
    <w:rsid w:val="0076069D"/>
    <w:rsid w:val="007606B2"/>
    <w:rsid w:val="0076070A"/>
    <w:rsid w:val="00760735"/>
    <w:rsid w:val="007608AA"/>
    <w:rsid w:val="00760976"/>
    <w:rsid w:val="00760A9D"/>
    <w:rsid w:val="00760C02"/>
    <w:rsid w:val="00760CBE"/>
    <w:rsid w:val="00760F17"/>
    <w:rsid w:val="00761103"/>
    <w:rsid w:val="00761142"/>
    <w:rsid w:val="00761409"/>
    <w:rsid w:val="00761498"/>
    <w:rsid w:val="007614B9"/>
    <w:rsid w:val="007616BA"/>
    <w:rsid w:val="00761832"/>
    <w:rsid w:val="0076193D"/>
    <w:rsid w:val="00761CBE"/>
    <w:rsid w:val="00761D1C"/>
    <w:rsid w:val="0076206D"/>
    <w:rsid w:val="0076222C"/>
    <w:rsid w:val="007623A3"/>
    <w:rsid w:val="0076258A"/>
    <w:rsid w:val="00762737"/>
    <w:rsid w:val="00762963"/>
    <w:rsid w:val="00762977"/>
    <w:rsid w:val="00762A61"/>
    <w:rsid w:val="00762C0D"/>
    <w:rsid w:val="0076307F"/>
    <w:rsid w:val="00763483"/>
    <w:rsid w:val="00763CC5"/>
    <w:rsid w:val="00763DBC"/>
    <w:rsid w:val="00763F90"/>
    <w:rsid w:val="007643C8"/>
    <w:rsid w:val="00764452"/>
    <w:rsid w:val="00764972"/>
    <w:rsid w:val="00764B75"/>
    <w:rsid w:val="00764D0B"/>
    <w:rsid w:val="00764D4A"/>
    <w:rsid w:val="00764F2A"/>
    <w:rsid w:val="00765008"/>
    <w:rsid w:val="007650A6"/>
    <w:rsid w:val="0076511D"/>
    <w:rsid w:val="0076530B"/>
    <w:rsid w:val="0076581E"/>
    <w:rsid w:val="0076590C"/>
    <w:rsid w:val="00765B96"/>
    <w:rsid w:val="00766020"/>
    <w:rsid w:val="00766278"/>
    <w:rsid w:val="007662FD"/>
    <w:rsid w:val="007664C4"/>
    <w:rsid w:val="007664D2"/>
    <w:rsid w:val="00766549"/>
    <w:rsid w:val="007665B2"/>
    <w:rsid w:val="007667F3"/>
    <w:rsid w:val="0076683E"/>
    <w:rsid w:val="00766A26"/>
    <w:rsid w:val="00766D38"/>
    <w:rsid w:val="00767164"/>
    <w:rsid w:val="00767297"/>
    <w:rsid w:val="00767343"/>
    <w:rsid w:val="007676B2"/>
    <w:rsid w:val="00767717"/>
    <w:rsid w:val="00767891"/>
    <w:rsid w:val="007678B1"/>
    <w:rsid w:val="007678D1"/>
    <w:rsid w:val="00767A72"/>
    <w:rsid w:val="00767ABB"/>
    <w:rsid w:val="00767B54"/>
    <w:rsid w:val="00767BDD"/>
    <w:rsid w:val="00767DAF"/>
    <w:rsid w:val="00770039"/>
    <w:rsid w:val="007703F5"/>
    <w:rsid w:val="007704C8"/>
    <w:rsid w:val="0077054F"/>
    <w:rsid w:val="007705B4"/>
    <w:rsid w:val="007708A6"/>
    <w:rsid w:val="00770C64"/>
    <w:rsid w:val="00770D12"/>
    <w:rsid w:val="00770F1C"/>
    <w:rsid w:val="00770F69"/>
    <w:rsid w:val="00770FB8"/>
    <w:rsid w:val="007710F8"/>
    <w:rsid w:val="007716E6"/>
    <w:rsid w:val="00771C9E"/>
    <w:rsid w:val="0077231F"/>
    <w:rsid w:val="00772440"/>
    <w:rsid w:val="00772A4D"/>
    <w:rsid w:val="00772A87"/>
    <w:rsid w:val="00772AAF"/>
    <w:rsid w:val="00772B2D"/>
    <w:rsid w:val="00772BD2"/>
    <w:rsid w:val="00772D3B"/>
    <w:rsid w:val="00772D8B"/>
    <w:rsid w:val="00772DF6"/>
    <w:rsid w:val="00772E28"/>
    <w:rsid w:val="0077384C"/>
    <w:rsid w:val="00773DC9"/>
    <w:rsid w:val="00773F6A"/>
    <w:rsid w:val="007742EF"/>
    <w:rsid w:val="00774392"/>
    <w:rsid w:val="007744DE"/>
    <w:rsid w:val="0077466A"/>
    <w:rsid w:val="007749C1"/>
    <w:rsid w:val="00774A0E"/>
    <w:rsid w:val="00774A74"/>
    <w:rsid w:val="00774B16"/>
    <w:rsid w:val="0077515A"/>
    <w:rsid w:val="00775411"/>
    <w:rsid w:val="00775460"/>
    <w:rsid w:val="00775492"/>
    <w:rsid w:val="0077551A"/>
    <w:rsid w:val="007755E4"/>
    <w:rsid w:val="0077568B"/>
    <w:rsid w:val="0077582F"/>
    <w:rsid w:val="00775A2E"/>
    <w:rsid w:val="00775DA4"/>
    <w:rsid w:val="0077638E"/>
    <w:rsid w:val="007763AA"/>
    <w:rsid w:val="00776405"/>
    <w:rsid w:val="00776592"/>
    <w:rsid w:val="007767DC"/>
    <w:rsid w:val="007767E8"/>
    <w:rsid w:val="00776B2C"/>
    <w:rsid w:val="00777267"/>
    <w:rsid w:val="00777CE4"/>
    <w:rsid w:val="00777DDF"/>
    <w:rsid w:val="00780483"/>
    <w:rsid w:val="007804B2"/>
    <w:rsid w:val="007805A1"/>
    <w:rsid w:val="007809E9"/>
    <w:rsid w:val="00780D75"/>
    <w:rsid w:val="00780E5A"/>
    <w:rsid w:val="00781576"/>
    <w:rsid w:val="00781682"/>
    <w:rsid w:val="00781A25"/>
    <w:rsid w:val="00781CD8"/>
    <w:rsid w:val="00781E8C"/>
    <w:rsid w:val="00781EFA"/>
    <w:rsid w:val="007820DC"/>
    <w:rsid w:val="0078212D"/>
    <w:rsid w:val="007827B6"/>
    <w:rsid w:val="00782A55"/>
    <w:rsid w:val="00782ADE"/>
    <w:rsid w:val="00782E10"/>
    <w:rsid w:val="00782EDC"/>
    <w:rsid w:val="00782FED"/>
    <w:rsid w:val="00783053"/>
    <w:rsid w:val="0078307A"/>
    <w:rsid w:val="00783106"/>
    <w:rsid w:val="007834D0"/>
    <w:rsid w:val="00783616"/>
    <w:rsid w:val="007838DE"/>
    <w:rsid w:val="00783E0D"/>
    <w:rsid w:val="00784029"/>
    <w:rsid w:val="00784176"/>
    <w:rsid w:val="00784278"/>
    <w:rsid w:val="007843C9"/>
    <w:rsid w:val="00784614"/>
    <w:rsid w:val="00784752"/>
    <w:rsid w:val="007847AB"/>
    <w:rsid w:val="00784820"/>
    <w:rsid w:val="007849B2"/>
    <w:rsid w:val="00784B10"/>
    <w:rsid w:val="00785599"/>
    <w:rsid w:val="007856A1"/>
    <w:rsid w:val="007856CF"/>
    <w:rsid w:val="00785771"/>
    <w:rsid w:val="007858AB"/>
    <w:rsid w:val="00785B9A"/>
    <w:rsid w:val="00785C41"/>
    <w:rsid w:val="00785EB1"/>
    <w:rsid w:val="00786046"/>
    <w:rsid w:val="00786450"/>
    <w:rsid w:val="007864F2"/>
    <w:rsid w:val="00786660"/>
    <w:rsid w:val="00786794"/>
    <w:rsid w:val="007868A8"/>
    <w:rsid w:val="007868AC"/>
    <w:rsid w:val="007869BD"/>
    <w:rsid w:val="00786B73"/>
    <w:rsid w:val="00786EBD"/>
    <w:rsid w:val="0078706A"/>
    <w:rsid w:val="007873D9"/>
    <w:rsid w:val="00787403"/>
    <w:rsid w:val="00787404"/>
    <w:rsid w:val="007875AA"/>
    <w:rsid w:val="007876C0"/>
    <w:rsid w:val="00787C3E"/>
    <w:rsid w:val="00787DD0"/>
    <w:rsid w:val="00787E6F"/>
    <w:rsid w:val="00790066"/>
    <w:rsid w:val="00790248"/>
    <w:rsid w:val="00790290"/>
    <w:rsid w:val="007904C3"/>
    <w:rsid w:val="00790507"/>
    <w:rsid w:val="007905CD"/>
    <w:rsid w:val="0079074D"/>
    <w:rsid w:val="00790888"/>
    <w:rsid w:val="00790928"/>
    <w:rsid w:val="007909AD"/>
    <w:rsid w:val="00790ADE"/>
    <w:rsid w:val="00790B4B"/>
    <w:rsid w:val="00790BD2"/>
    <w:rsid w:val="00790FA8"/>
    <w:rsid w:val="00791124"/>
    <w:rsid w:val="0079115C"/>
    <w:rsid w:val="00791474"/>
    <w:rsid w:val="007917A1"/>
    <w:rsid w:val="00791AA5"/>
    <w:rsid w:val="00791B49"/>
    <w:rsid w:val="00791E5F"/>
    <w:rsid w:val="00791FED"/>
    <w:rsid w:val="00792060"/>
    <w:rsid w:val="007920FE"/>
    <w:rsid w:val="007922AB"/>
    <w:rsid w:val="0079258C"/>
    <w:rsid w:val="007925AD"/>
    <w:rsid w:val="00792613"/>
    <w:rsid w:val="0079271F"/>
    <w:rsid w:val="00792866"/>
    <w:rsid w:val="00792904"/>
    <w:rsid w:val="00792A47"/>
    <w:rsid w:val="00792FD9"/>
    <w:rsid w:val="00793196"/>
    <w:rsid w:val="007931CD"/>
    <w:rsid w:val="0079325A"/>
    <w:rsid w:val="007932F7"/>
    <w:rsid w:val="0079353F"/>
    <w:rsid w:val="00793611"/>
    <w:rsid w:val="00793672"/>
    <w:rsid w:val="007937A4"/>
    <w:rsid w:val="00793BD8"/>
    <w:rsid w:val="00793E80"/>
    <w:rsid w:val="00793ED7"/>
    <w:rsid w:val="007940CA"/>
    <w:rsid w:val="0079417C"/>
    <w:rsid w:val="00794282"/>
    <w:rsid w:val="0079436B"/>
    <w:rsid w:val="007943FA"/>
    <w:rsid w:val="00794653"/>
    <w:rsid w:val="0079471A"/>
    <w:rsid w:val="00794A5E"/>
    <w:rsid w:val="00794B89"/>
    <w:rsid w:val="00794C17"/>
    <w:rsid w:val="00794C89"/>
    <w:rsid w:val="007950EB"/>
    <w:rsid w:val="0079527B"/>
    <w:rsid w:val="00795510"/>
    <w:rsid w:val="00795875"/>
    <w:rsid w:val="007959A6"/>
    <w:rsid w:val="007959C1"/>
    <w:rsid w:val="00795A2E"/>
    <w:rsid w:val="00795D89"/>
    <w:rsid w:val="00795ECC"/>
    <w:rsid w:val="00795EDE"/>
    <w:rsid w:val="00795F02"/>
    <w:rsid w:val="00795F40"/>
    <w:rsid w:val="00796024"/>
    <w:rsid w:val="007960FF"/>
    <w:rsid w:val="0079611F"/>
    <w:rsid w:val="00796490"/>
    <w:rsid w:val="00796612"/>
    <w:rsid w:val="007966A9"/>
    <w:rsid w:val="00796965"/>
    <w:rsid w:val="00796C03"/>
    <w:rsid w:val="00796D35"/>
    <w:rsid w:val="00796F2E"/>
    <w:rsid w:val="007970F1"/>
    <w:rsid w:val="007973F3"/>
    <w:rsid w:val="0079746A"/>
    <w:rsid w:val="00797630"/>
    <w:rsid w:val="007976C9"/>
    <w:rsid w:val="00797C6E"/>
    <w:rsid w:val="00797E30"/>
    <w:rsid w:val="00797EDD"/>
    <w:rsid w:val="007A0140"/>
    <w:rsid w:val="007A01C9"/>
    <w:rsid w:val="007A05E8"/>
    <w:rsid w:val="007A06EA"/>
    <w:rsid w:val="007A0712"/>
    <w:rsid w:val="007A0A72"/>
    <w:rsid w:val="007A0ADD"/>
    <w:rsid w:val="007A0BB4"/>
    <w:rsid w:val="007A0F3E"/>
    <w:rsid w:val="007A0FF0"/>
    <w:rsid w:val="007A1158"/>
    <w:rsid w:val="007A155C"/>
    <w:rsid w:val="007A15FD"/>
    <w:rsid w:val="007A160E"/>
    <w:rsid w:val="007A1753"/>
    <w:rsid w:val="007A1800"/>
    <w:rsid w:val="007A1A19"/>
    <w:rsid w:val="007A1AF7"/>
    <w:rsid w:val="007A1B3F"/>
    <w:rsid w:val="007A1BC8"/>
    <w:rsid w:val="007A1C8C"/>
    <w:rsid w:val="007A1F92"/>
    <w:rsid w:val="007A20C2"/>
    <w:rsid w:val="007A2296"/>
    <w:rsid w:val="007A22CF"/>
    <w:rsid w:val="007A22FC"/>
    <w:rsid w:val="007A232C"/>
    <w:rsid w:val="007A240D"/>
    <w:rsid w:val="007A2420"/>
    <w:rsid w:val="007A2805"/>
    <w:rsid w:val="007A2A37"/>
    <w:rsid w:val="007A2B60"/>
    <w:rsid w:val="007A2BE9"/>
    <w:rsid w:val="007A2D3B"/>
    <w:rsid w:val="007A2DA0"/>
    <w:rsid w:val="007A2F15"/>
    <w:rsid w:val="007A3304"/>
    <w:rsid w:val="007A3861"/>
    <w:rsid w:val="007A39A8"/>
    <w:rsid w:val="007A3BF9"/>
    <w:rsid w:val="007A3CA5"/>
    <w:rsid w:val="007A3CB2"/>
    <w:rsid w:val="007A3ED7"/>
    <w:rsid w:val="007A4432"/>
    <w:rsid w:val="007A4631"/>
    <w:rsid w:val="007A4780"/>
    <w:rsid w:val="007A47D5"/>
    <w:rsid w:val="007A4C59"/>
    <w:rsid w:val="007A4D02"/>
    <w:rsid w:val="007A4DF1"/>
    <w:rsid w:val="007A4F44"/>
    <w:rsid w:val="007A50C7"/>
    <w:rsid w:val="007A51EF"/>
    <w:rsid w:val="007A5285"/>
    <w:rsid w:val="007A53D5"/>
    <w:rsid w:val="007A5A96"/>
    <w:rsid w:val="007A5C74"/>
    <w:rsid w:val="007A5E5E"/>
    <w:rsid w:val="007A615C"/>
    <w:rsid w:val="007A64E6"/>
    <w:rsid w:val="007A677C"/>
    <w:rsid w:val="007A68A1"/>
    <w:rsid w:val="007A6979"/>
    <w:rsid w:val="007A6985"/>
    <w:rsid w:val="007A6A23"/>
    <w:rsid w:val="007A6AC3"/>
    <w:rsid w:val="007A6AD3"/>
    <w:rsid w:val="007A6B3F"/>
    <w:rsid w:val="007A6C52"/>
    <w:rsid w:val="007A6CD7"/>
    <w:rsid w:val="007A6CFB"/>
    <w:rsid w:val="007A6DAC"/>
    <w:rsid w:val="007A6DBF"/>
    <w:rsid w:val="007A7222"/>
    <w:rsid w:val="007A7390"/>
    <w:rsid w:val="007A78E3"/>
    <w:rsid w:val="007A7A56"/>
    <w:rsid w:val="007A7CF8"/>
    <w:rsid w:val="007A7DDB"/>
    <w:rsid w:val="007B02AB"/>
    <w:rsid w:val="007B02D9"/>
    <w:rsid w:val="007B0350"/>
    <w:rsid w:val="007B0657"/>
    <w:rsid w:val="007B08E7"/>
    <w:rsid w:val="007B0E1D"/>
    <w:rsid w:val="007B1605"/>
    <w:rsid w:val="007B16D6"/>
    <w:rsid w:val="007B17B3"/>
    <w:rsid w:val="007B186A"/>
    <w:rsid w:val="007B1A27"/>
    <w:rsid w:val="007B1DB0"/>
    <w:rsid w:val="007B1E5C"/>
    <w:rsid w:val="007B20F9"/>
    <w:rsid w:val="007B24E8"/>
    <w:rsid w:val="007B260E"/>
    <w:rsid w:val="007B278C"/>
    <w:rsid w:val="007B28B9"/>
    <w:rsid w:val="007B2B43"/>
    <w:rsid w:val="007B2C61"/>
    <w:rsid w:val="007B2D54"/>
    <w:rsid w:val="007B2D6C"/>
    <w:rsid w:val="007B35B5"/>
    <w:rsid w:val="007B39C8"/>
    <w:rsid w:val="007B3EF2"/>
    <w:rsid w:val="007B3FD9"/>
    <w:rsid w:val="007B41BA"/>
    <w:rsid w:val="007B4216"/>
    <w:rsid w:val="007B421B"/>
    <w:rsid w:val="007B430F"/>
    <w:rsid w:val="007B43E7"/>
    <w:rsid w:val="007B4518"/>
    <w:rsid w:val="007B472C"/>
    <w:rsid w:val="007B477A"/>
    <w:rsid w:val="007B4895"/>
    <w:rsid w:val="007B4961"/>
    <w:rsid w:val="007B4AB9"/>
    <w:rsid w:val="007B4B6B"/>
    <w:rsid w:val="007B4E19"/>
    <w:rsid w:val="007B50F5"/>
    <w:rsid w:val="007B51BA"/>
    <w:rsid w:val="007B5472"/>
    <w:rsid w:val="007B578B"/>
    <w:rsid w:val="007B57C1"/>
    <w:rsid w:val="007B5C20"/>
    <w:rsid w:val="007B5CF8"/>
    <w:rsid w:val="007B609E"/>
    <w:rsid w:val="007B61FC"/>
    <w:rsid w:val="007B6390"/>
    <w:rsid w:val="007B6484"/>
    <w:rsid w:val="007B6496"/>
    <w:rsid w:val="007B66D7"/>
    <w:rsid w:val="007B691A"/>
    <w:rsid w:val="007B6B1E"/>
    <w:rsid w:val="007B6D9F"/>
    <w:rsid w:val="007B717B"/>
    <w:rsid w:val="007B7692"/>
    <w:rsid w:val="007B7784"/>
    <w:rsid w:val="007B785F"/>
    <w:rsid w:val="007B7C25"/>
    <w:rsid w:val="007B7CDB"/>
    <w:rsid w:val="007B7DCD"/>
    <w:rsid w:val="007C0104"/>
    <w:rsid w:val="007C0340"/>
    <w:rsid w:val="007C04DB"/>
    <w:rsid w:val="007C054E"/>
    <w:rsid w:val="007C05A4"/>
    <w:rsid w:val="007C080C"/>
    <w:rsid w:val="007C0A8F"/>
    <w:rsid w:val="007C0BCF"/>
    <w:rsid w:val="007C0F24"/>
    <w:rsid w:val="007C10B2"/>
    <w:rsid w:val="007C1355"/>
    <w:rsid w:val="007C1530"/>
    <w:rsid w:val="007C1A7B"/>
    <w:rsid w:val="007C1ABD"/>
    <w:rsid w:val="007C1ACF"/>
    <w:rsid w:val="007C1DFE"/>
    <w:rsid w:val="007C20BB"/>
    <w:rsid w:val="007C2135"/>
    <w:rsid w:val="007C214A"/>
    <w:rsid w:val="007C215A"/>
    <w:rsid w:val="007C219C"/>
    <w:rsid w:val="007C2331"/>
    <w:rsid w:val="007C23BE"/>
    <w:rsid w:val="007C252A"/>
    <w:rsid w:val="007C2793"/>
    <w:rsid w:val="007C2840"/>
    <w:rsid w:val="007C2845"/>
    <w:rsid w:val="007C295D"/>
    <w:rsid w:val="007C29D5"/>
    <w:rsid w:val="007C2AE7"/>
    <w:rsid w:val="007C2D4B"/>
    <w:rsid w:val="007C2DAE"/>
    <w:rsid w:val="007C2E1A"/>
    <w:rsid w:val="007C2EF7"/>
    <w:rsid w:val="007C2F48"/>
    <w:rsid w:val="007C30B6"/>
    <w:rsid w:val="007C3137"/>
    <w:rsid w:val="007C31C8"/>
    <w:rsid w:val="007C3247"/>
    <w:rsid w:val="007C325A"/>
    <w:rsid w:val="007C3595"/>
    <w:rsid w:val="007C36D3"/>
    <w:rsid w:val="007C3C9B"/>
    <w:rsid w:val="007C3D2B"/>
    <w:rsid w:val="007C3D3C"/>
    <w:rsid w:val="007C42EE"/>
    <w:rsid w:val="007C43F2"/>
    <w:rsid w:val="007C443A"/>
    <w:rsid w:val="007C45A4"/>
    <w:rsid w:val="007C4610"/>
    <w:rsid w:val="007C4618"/>
    <w:rsid w:val="007C4786"/>
    <w:rsid w:val="007C47A5"/>
    <w:rsid w:val="007C483B"/>
    <w:rsid w:val="007C48FB"/>
    <w:rsid w:val="007C4A32"/>
    <w:rsid w:val="007C4A80"/>
    <w:rsid w:val="007C5014"/>
    <w:rsid w:val="007C509C"/>
    <w:rsid w:val="007C5294"/>
    <w:rsid w:val="007C5381"/>
    <w:rsid w:val="007C57A8"/>
    <w:rsid w:val="007C5B16"/>
    <w:rsid w:val="007C5C52"/>
    <w:rsid w:val="007C5CB4"/>
    <w:rsid w:val="007C5CD8"/>
    <w:rsid w:val="007C5D73"/>
    <w:rsid w:val="007C6215"/>
    <w:rsid w:val="007C63E0"/>
    <w:rsid w:val="007C64A6"/>
    <w:rsid w:val="007C64C5"/>
    <w:rsid w:val="007C64CE"/>
    <w:rsid w:val="007C67E8"/>
    <w:rsid w:val="007C6AFD"/>
    <w:rsid w:val="007C6C4A"/>
    <w:rsid w:val="007C6F14"/>
    <w:rsid w:val="007C6FFA"/>
    <w:rsid w:val="007C7011"/>
    <w:rsid w:val="007C70CE"/>
    <w:rsid w:val="007C73B5"/>
    <w:rsid w:val="007C7A96"/>
    <w:rsid w:val="007C7AB0"/>
    <w:rsid w:val="007C7C9E"/>
    <w:rsid w:val="007C7E49"/>
    <w:rsid w:val="007D0005"/>
    <w:rsid w:val="007D048C"/>
    <w:rsid w:val="007D0490"/>
    <w:rsid w:val="007D0520"/>
    <w:rsid w:val="007D054D"/>
    <w:rsid w:val="007D05E2"/>
    <w:rsid w:val="007D0A99"/>
    <w:rsid w:val="007D0AC1"/>
    <w:rsid w:val="007D0D78"/>
    <w:rsid w:val="007D10C6"/>
    <w:rsid w:val="007D115A"/>
    <w:rsid w:val="007D141D"/>
    <w:rsid w:val="007D15BE"/>
    <w:rsid w:val="007D1632"/>
    <w:rsid w:val="007D1D6E"/>
    <w:rsid w:val="007D1DF7"/>
    <w:rsid w:val="007D1E85"/>
    <w:rsid w:val="007D2028"/>
    <w:rsid w:val="007D202A"/>
    <w:rsid w:val="007D20FE"/>
    <w:rsid w:val="007D21C8"/>
    <w:rsid w:val="007D232A"/>
    <w:rsid w:val="007D240A"/>
    <w:rsid w:val="007D262A"/>
    <w:rsid w:val="007D26BB"/>
    <w:rsid w:val="007D27B0"/>
    <w:rsid w:val="007D2ABA"/>
    <w:rsid w:val="007D2B36"/>
    <w:rsid w:val="007D2BAE"/>
    <w:rsid w:val="007D2C18"/>
    <w:rsid w:val="007D2E8A"/>
    <w:rsid w:val="007D2EE9"/>
    <w:rsid w:val="007D30EE"/>
    <w:rsid w:val="007D311B"/>
    <w:rsid w:val="007D3198"/>
    <w:rsid w:val="007D3267"/>
    <w:rsid w:val="007D3391"/>
    <w:rsid w:val="007D3894"/>
    <w:rsid w:val="007D38C4"/>
    <w:rsid w:val="007D3A8E"/>
    <w:rsid w:val="007D3FF6"/>
    <w:rsid w:val="007D40D0"/>
    <w:rsid w:val="007D43DD"/>
    <w:rsid w:val="007D470F"/>
    <w:rsid w:val="007D4792"/>
    <w:rsid w:val="007D47C3"/>
    <w:rsid w:val="007D47F9"/>
    <w:rsid w:val="007D485C"/>
    <w:rsid w:val="007D48CC"/>
    <w:rsid w:val="007D4919"/>
    <w:rsid w:val="007D4942"/>
    <w:rsid w:val="007D4B5C"/>
    <w:rsid w:val="007D4BDD"/>
    <w:rsid w:val="007D4BE2"/>
    <w:rsid w:val="007D4D18"/>
    <w:rsid w:val="007D4E84"/>
    <w:rsid w:val="007D4EEE"/>
    <w:rsid w:val="007D51F6"/>
    <w:rsid w:val="007D5219"/>
    <w:rsid w:val="007D53CA"/>
    <w:rsid w:val="007D541E"/>
    <w:rsid w:val="007D57AE"/>
    <w:rsid w:val="007D59A9"/>
    <w:rsid w:val="007D5C3E"/>
    <w:rsid w:val="007D60EF"/>
    <w:rsid w:val="007D61F4"/>
    <w:rsid w:val="007D6401"/>
    <w:rsid w:val="007D661A"/>
    <w:rsid w:val="007D665F"/>
    <w:rsid w:val="007D68DD"/>
    <w:rsid w:val="007D68E4"/>
    <w:rsid w:val="007D69CD"/>
    <w:rsid w:val="007D6D03"/>
    <w:rsid w:val="007D6FAA"/>
    <w:rsid w:val="007D7227"/>
    <w:rsid w:val="007D724C"/>
    <w:rsid w:val="007D765B"/>
    <w:rsid w:val="007D774A"/>
    <w:rsid w:val="007D78E5"/>
    <w:rsid w:val="007D7935"/>
    <w:rsid w:val="007D7AA6"/>
    <w:rsid w:val="007D7BE3"/>
    <w:rsid w:val="007D7BF9"/>
    <w:rsid w:val="007E00CE"/>
    <w:rsid w:val="007E06F0"/>
    <w:rsid w:val="007E0903"/>
    <w:rsid w:val="007E0A5D"/>
    <w:rsid w:val="007E0B4E"/>
    <w:rsid w:val="007E0D54"/>
    <w:rsid w:val="007E0D5D"/>
    <w:rsid w:val="007E0F6E"/>
    <w:rsid w:val="007E1082"/>
    <w:rsid w:val="007E10BC"/>
    <w:rsid w:val="007E130E"/>
    <w:rsid w:val="007E13D4"/>
    <w:rsid w:val="007E15A2"/>
    <w:rsid w:val="007E1721"/>
    <w:rsid w:val="007E17A2"/>
    <w:rsid w:val="007E17D9"/>
    <w:rsid w:val="007E1937"/>
    <w:rsid w:val="007E1B1A"/>
    <w:rsid w:val="007E1C08"/>
    <w:rsid w:val="007E1CE8"/>
    <w:rsid w:val="007E1CF3"/>
    <w:rsid w:val="007E1D52"/>
    <w:rsid w:val="007E1E45"/>
    <w:rsid w:val="007E1E56"/>
    <w:rsid w:val="007E1EF6"/>
    <w:rsid w:val="007E1FC7"/>
    <w:rsid w:val="007E2012"/>
    <w:rsid w:val="007E2193"/>
    <w:rsid w:val="007E2816"/>
    <w:rsid w:val="007E29BC"/>
    <w:rsid w:val="007E2D50"/>
    <w:rsid w:val="007E2EAB"/>
    <w:rsid w:val="007E2F65"/>
    <w:rsid w:val="007E3054"/>
    <w:rsid w:val="007E323D"/>
    <w:rsid w:val="007E32EB"/>
    <w:rsid w:val="007E3480"/>
    <w:rsid w:val="007E3690"/>
    <w:rsid w:val="007E3700"/>
    <w:rsid w:val="007E380E"/>
    <w:rsid w:val="007E38D2"/>
    <w:rsid w:val="007E3925"/>
    <w:rsid w:val="007E3AE0"/>
    <w:rsid w:val="007E3CDC"/>
    <w:rsid w:val="007E3F73"/>
    <w:rsid w:val="007E414A"/>
    <w:rsid w:val="007E4A55"/>
    <w:rsid w:val="007E4C11"/>
    <w:rsid w:val="007E5235"/>
    <w:rsid w:val="007E5277"/>
    <w:rsid w:val="007E5571"/>
    <w:rsid w:val="007E588F"/>
    <w:rsid w:val="007E5C35"/>
    <w:rsid w:val="007E5DBC"/>
    <w:rsid w:val="007E5DF3"/>
    <w:rsid w:val="007E639A"/>
    <w:rsid w:val="007E647D"/>
    <w:rsid w:val="007E6490"/>
    <w:rsid w:val="007E6545"/>
    <w:rsid w:val="007E666E"/>
    <w:rsid w:val="007E67C4"/>
    <w:rsid w:val="007E699D"/>
    <w:rsid w:val="007E6A11"/>
    <w:rsid w:val="007E6ADC"/>
    <w:rsid w:val="007E6B04"/>
    <w:rsid w:val="007E6DB3"/>
    <w:rsid w:val="007E710F"/>
    <w:rsid w:val="007E72B0"/>
    <w:rsid w:val="007E749D"/>
    <w:rsid w:val="007E74F2"/>
    <w:rsid w:val="007E7564"/>
    <w:rsid w:val="007E7637"/>
    <w:rsid w:val="007E7A09"/>
    <w:rsid w:val="007E7A7E"/>
    <w:rsid w:val="007E7B86"/>
    <w:rsid w:val="007E7D66"/>
    <w:rsid w:val="007E7D6E"/>
    <w:rsid w:val="007F01B0"/>
    <w:rsid w:val="007F05DA"/>
    <w:rsid w:val="007F07DE"/>
    <w:rsid w:val="007F080A"/>
    <w:rsid w:val="007F091B"/>
    <w:rsid w:val="007F097A"/>
    <w:rsid w:val="007F0AC2"/>
    <w:rsid w:val="007F0AF6"/>
    <w:rsid w:val="007F0BF1"/>
    <w:rsid w:val="007F0C21"/>
    <w:rsid w:val="007F0CB1"/>
    <w:rsid w:val="007F0ED4"/>
    <w:rsid w:val="007F0FA0"/>
    <w:rsid w:val="007F0FF7"/>
    <w:rsid w:val="007F1192"/>
    <w:rsid w:val="007F11D1"/>
    <w:rsid w:val="007F1605"/>
    <w:rsid w:val="007F1AE4"/>
    <w:rsid w:val="007F1CFA"/>
    <w:rsid w:val="007F1D4D"/>
    <w:rsid w:val="007F1E05"/>
    <w:rsid w:val="007F1E67"/>
    <w:rsid w:val="007F1E73"/>
    <w:rsid w:val="007F1EBE"/>
    <w:rsid w:val="007F1F67"/>
    <w:rsid w:val="007F2519"/>
    <w:rsid w:val="007F27B1"/>
    <w:rsid w:val="007F2873"/>
    <w:rsid w:val="007F2A38"/>
    <w:rsid w:val="007F2A4F"/>
    <w:rsid w:val="007F2A6A"/>
    <w:rsid w:val="007F2C12"/>
    <w:rsid w:val="007F2CA2"/>
    <w:rsid w:val="007F3133"/>
    <w:rsid w:val="007F3226"/>
    <w:rsid w:val="007F38D3"/>
    <w:rsid w:val="007F3918"/>
    <w:rsid w:val="007F3935"/>
    <w:rsid w:val="007F3AEB"/>
    <w:rsid w:val="007F3AF9"/>
    <w:rsid w:val="007F3B2F"/>
    <w:rsid w:val="007F3CED"/>
    <w:rsid w:val="007F3DF8"/>
    <w:rsid w:val="007F3E88"/>
    <w:rsid w:val="007F3E8F"/>
    <w:rsid w:val="007F40B0"/>
    <w:rsid w:val="007F42DD"/>
    <w:rsid w:val="007F490F"/>
    <w:rsid w:val="007F4A7B"/>
    <w:rsid w:val="007F4AC1"/>
    <w:rsid w:val="007F4C24"/>
    <w:rsid w:val="007F4C59"/>
    <w:rsid w:val="007F4D6B"/>
    <w:rsid w:val="007F4F56"/>
    <w:rsid w:val="007F50D2"/>
    <w:rsid w:val="007F516A"/>
    <w:rsid w:val="007F5265"/>
    <w:rsid w:val="007F549D"/>
    <w:rsid w:val="007F5639"/>
    <w:rsid w:val="007F56B3"/>
    <w:rsid w:val="007F56C2"/>
    <w:rsid w:val="007F572D"/>
    <w:rsid w:val="007F57B5"/>
    <w:rsid w:val="007F5A2E"/>
    <w:rsid w:val="007F5A6E"/>
    <w:rsid w:val="007F5C4D"/>
    <w:rsid w:val="007F5D41"/>
    <w:rsid w:val="007F5FA9"/>
    <w:rsid w:val="007F61C8"/>
    <w:rsid w:val="007F621D"/>
    <w:rsid w:val="007F62FA"/>
    <w:rsid w:val="007F63CA"/>
    <w:rsid w:val="007F63DD"/>
    <w:rsid w:val="007F6470"/>
    <w:rsid w:val="007F6A08"/>
    <w:rsid w:val="007F6AA4"/>
    <w:rsid w:val="007F6B6C"/>
    <w:rsid w:val="007F6F67"/>
    <w:rsid w:val="007F735B"/>
    <w:rsid w:val="007F7720"/>
    <w:rsid w:val="007F7BC6"/>
    <w:rsid w:val="007F7C32"/>
    <w:rsid w:val="007F7D65"/>
    <w:rsid w:val="007F7E82"/>
    <w:rsid w:val="007F7F2E"/>
    <w:rsid w:val="0080008A"/>
    <w:rsid w:val="008000C1"/>
    <w:rsid w:val="00800196"/>
    <w:rsid w:val="00800325"/>
    <w:rsid w:val="0080037D"/>
    <w:rsid w:val="0080047E"/>
    <w:rsid w:val="008004C8"/>
    <w:rsid w:val="00800604"/>
    <w:rsid w:val="00800835"/>
    <w:rsid w:val="008008E2"/>
    <w:rsid w:val="008008EA"/>
    <w:rsid w:val="00800916"/>
    <w:rsid w:val="00800BA9"/>
    <w:rsid w:val="00800BCA"/>
    <w:rsid w:val="00800C8A"/>
    <w:rsid w:val="00800F1A"/>
    <w:rsid w:val="00800FBC"/>
    <w:rsid w:val="00801374"/>
    <w:rsid w:val="0080156C"/>
    <w:rsid w:val="008017B4"/>
    <w:rsid w:val="0080180B"/>
    <w:rsid w:val="008019AE"/>
    <w:rsid w:val="00801B95"/>
    <w:rsid w:val="00801D7A"/>
    <w:rsid w:val="00801F0C"/>
    <w:rsid w:val="00801F99"/>
    <w:rsid w:val="00802163"/>
    <w:rsid w:val="00802242"/>
    <w:rsid w:val="0080279A"/>
    <w:rsid w:val="0080281A"/>
    <w:rsid w:val="00802880"/>
    <w:rsid w:val="008028BA"/>
    <w:rsid w:val="00802905"/>
    <w:rsid w:val="00802982"/>
    <w:rsid w:val="00802AA6"/>
    <w:rsid w:val="00802AE0"/>
    <w:rsid w:val="00802BD5"/>
    <w:rsid w:val="00802D3B"/>
    <w:rsid w:val="00802E19"/>
    <w:rsid w:val="00803339"/>
    <w:rsid w:val="0080340A"/>
    <w:rsid w:val="00803479"/>
    <w:rsid w:val="00803846"/>
    <w:rsid w:val="00803984"/>
    <w:rsid w:val="008039E9"/>
    <w:rsid w:val="00803A1D"/>
    <w:rsid w:val="00803AEC"/>
    <w:rsid w:val="00803CAB"/>
    <w:rsid w:val="00803CB0"/>
    <w:rsid w:val="00803E03"/>
    <w:rsid w:val="00803E81"/>
    <w:rsid w:val="00803ECF"/>
    <w:rsid w:val="00804326"/>
    <w:rsid w:val="0080438A"/>
    <w:rsid w:val="008045E9"/>
    <w:rsid w:val="00804BFE"/>
    <w:rsid w:val="00804C13"/>
    <w:rsid w:val="00804C2A"/>
    <w:rsid w:val="008051D8"/>
    <w:rsid w:val="008052B3"/>
    <w:rsid w:val="00805493"/>
    <w:rsid w:val="00805500"/>
    <w:rsid w:val="00805805"/>
    <w:rsid w:val="008059F2"/>
    <w:rsid w:val="00805BCC"/>
    <w:rsid w:val="00805D19"/>
    <w:rsid w:val="00805EDD"/>
    <w:rsid w:val="0080602B"/>
    <w:rsid w:val="00806170"/>
    <w:rsid w:val="008061B8"/>
    <w:rsid w:val="00806372"/>
    <w:rsid w:val="008063C9"/>
    <w:rsid w:val="00806713"/>
    <w:rsid w:val="008069C6"/>
    <w:rsid w:val="00806FA7"/>
    <w:rsid w:val="00806FE7"/>
    <w:rsid w:val="00807011"/>
    <w:rsid w:val="00807148"/>
    <w:rsid w:val="008072F6"/>
    <w:rsid w:val="008076E0"/>
    <w:rsid w:val="00807849"/>
    <w:rsid w:val="008078B7"/>
    <w:rsid w:val="00807941"/>
    <w:rsid w:val="00807B02"/>
    <w:rsid w:val="00807C04"/>
    <w:rsid w:val="00807C93"/>
    <w:rsid w:val="00807D5C"/>
    <w:rsid w:val="00807FCB"/>
    <w:rsid w:val="00810023"/>
    <w:rsid w:val="008102FB"/>
    <w:rsid w:val="00810364"/>
    <w:rsid w:val="0081038C"/>
    <w:rsid w:val="008104BA"/>
    <w:rsid w:val="00810522"/>
    <w:rsid w:val="00810549"/>
    <w:rsid w:val="00810586"/>
    <w:rsid w:val="0081066A"/>
    <w:rsid w:val="00810786"/>
    <w:rsid w:val="0081088F"/>
    <w:rsid w:val="00810A72"/>
    <w:rsid w:val="00810ADD"/>
    <w:rsid w:val="00810C97"/>
    <w:rsid w:val="00810DDC"/>
    <w:rsid w:val="00810FB8"/>
    <w:rsid w:val="00811086"/>
    <w:rsid w:val="0081109F"/>
    <w:rsid w:val="008110E1"/>
    <w:rsid w:val="008118E6"/>
    <w:rsid w:val="00811965"/>
    <w:rsid w:val="00811D56"/>
    <w:rsid w:val="00811EB4"/>
    <w:rsid w:val="00812688"/>
    <w:rsid w:val="008128BE"/>
    <w:rsid w:val="00812BC7"/>
    <w:rsid w:val="00812C12"/>
    <w:rsid w:val="00812C91"/>
    <w:rsid w:val="00812CF5"/>
    <w:rsid w:val="00812EF9"/>
    <w:rsid w:val="00813022"/>
    <w:rsid w:val="008130DD"/>
    <w:rsid w:val="00813216"/>
    <w:rsid w:val="00813263"/>
    <w:rsid w:val="008132AD"/>
    <w:rsid w:val="008137E9"/>
    <w:rsid w:val="0081383B"/>
    <w:rsid w:val="0081390B"/>
    <w:rsid w:val="00813A21"/>
    <w:rsid w:val="00813A53"/>
    <w:rsid w:val="00813CEF"/>
    <w:rsid w:val="00813DAC"/>
    <w:rsid w:val="008140D7"/>
    <w:rsid w:val="0081432E"/>
    <w:rsid w:val="0081477C"/>
    <w:rsid w:val="0081497B"/>
    <w:rsid w:val="00814B12"/>
    <w:rsid w:val="00814B41"/>
    <w:rsid w:val="00814BA3"/>
    <w:rsid w:val="00814BCA"/>
    <w:rsid w:val="00814ED5"/>
    <w:rsid w:val="00814FA3"/>
    <w:rsid w:val="00815423"/>
    <w:rsid w:val="00815488"/>
    <w:rsid w:val="00815798"/>
    <w:rsid w:val="008159E5"/>
    <w:rsid w:val="00815B74"/>
    <w:rsid w:val="00815BE0"/>
    <w:rsid w:val="00815F9B"/>
    <w:rsid w:val="0081629F"/>
    <w:rsid w:val="008163D4"/>
    <w:rsid w:val="00816629"/>
    <w:rsid w:val="008166D8"/>
    <w:rsid w:val="008166F2"/>
    <w:rsid w:val="008168EF"/>
    <w:rsid w:val="00816D93"/>
    <w:rsid w:val="00817021"/>
    <w:rsid w:val="0081704B"/>
    <w:rsid w:val="0081717C"/>
    <w:rsid w:val="008171F6"/>
    <w:rsid w:val="0081769B"/>
    <w:rsid w:val="008176EC"/>
    <w:rsid w:val="00817777"/>
    <w:rsid w:val="00817873"/>
    <w:rsid w:val="00817B29"/>
    <w:rsid w:val="00817B90"/>
    <w:rsid w:val="00817DDD"/>
    <w:rsid w:val="00817E1E"/>
    <w:rsid w:val="00820091"/>
    <w:rsid w:val="008201C5"/>
    <w:rsid w:val="008202BA"/>
    <w:rsid w:val="00820588"/>
    <w:rsid w:val="00820682"/>
    <w:rsid w:val="00820E3C"/>
    <w:rsid w:val="00820EBA"/>
    <w:rsid w:val="0082131F"/>
    <w:rsid w:val="0082134D"/>
    <w:rsid w:val="00821464"/>
    <w:rsid w:val="00821958"/>
    <w:rsid w:val="00821ACC"/>
    <w:rsid w:val="00821B15"/>
    <w:rsid w:val="00821D5B"/>
    <w:rsid w:val="00821FA0"/>
    <w:rsid w:val="008220CD"/>
    <w:rsid w:val="00822232"/>
    <w:rsid w:val="00822239"/>
    <w:rsid w:val="008223A9"/>
    <w:rsid w:val="008226DF"/>
    <w:rsid w:val="008228D2"/>
    <w:rsid w:val="0082299E"/>
    <w:rsid w:val="008229CC"/>
    <w:rsid w:val="008230C5"/>
    <w:rsid w:val="008231DD"/>
    <w:rsid w:val="00823631"/>
    <w:rsid w:val="0082409A"/>
    <w:rsid w:val="00824101"/>
    <w:rsid w:val="008242E6"/>
    <w:rsid w:val="00824573"/>
    <w:rsid w:val="008249CF"/>
    <w:rsid w:val="00824BA5"/>
    <w:rsid w:val="00824F29"/>
    <w:rsid w:val="00824FDC"/>
    <w:rsid w:val="00825005"/>
    <w:rsid w:val="00825231"/>
    <w:rsid w:val="0082555D"/>
    <w:rsid w:val="008257E4"/>
    <w:rsid w:val="008258AA"/>
    <w:rsid w:val="008258FC"/>
    <w:rsid w:val="00825CE4"/>
    <w:rsid w:val="00825F5F"/>
    <w:rsid w:val="00826056"/>
    <w:rsid w:val="00826364"/>
    <w:rsid w:val="00826581"/>
    <w:rsid w:val="00826644"/>
    <w:rsid w:val="0082684C"/>
    <w:rsid w:val="008269FC"/>
    <w:rsid w:val="00826BB8"/>
    <w:rsid w:val="00826F2A"/>
    <w:rsid w:val="00827291"/>
    <w:rsid w:val="00827485"/>
    <w:rsid w:val="00827508"/>
    <w:rsid w:val="0082767C"/>
    <w:rsid w:val="00827683"/>
    <w:rsid w:val="008279C9"/>
    <w:rsid w:val="00827A83"/>
    <w:rsid w:val="00827BB3"/>
    <w:rsid w:val="00827CF3"/>
    <w:rsid w:val="00827D40"/>
    <w:rsid w:val="00827E29"/>
    <w:rsid w:val="00827FEE"/>
    <w:rsid w:val="00830034"/>
    <w:rsid w:val="008300EB"/>
    <w:rsid w:val="008300F1"/>
    <w:rsid w:val="008302EE"/>
    <w:rsid w:val="008303E9"/>
    <w:rsid w:val="0083071A"/>
    <w:rsid w:val="008307B2"/>
    <w:rsid w:val="008307CE"/>
    <w:rsid w:val="00830B34"/>
    <w:rsid w:val="00830B8F"/>
    <w:rsid w:val="00830DE8"/>
    <w:rsid w:val="00830E61"/>
    <w:rsid w:val="00830EAA"/>
    <w:rsid w:val="00830EDC"/>
    <w:rsid w:val="008311D2"/>
    <w:rsid w:val="008312AE"/>
    <w:rsid w:val="00831532"/>
    <w:rsid w:val="00831542"/>
    <w:rsid w:val="0083174A"/>
    <w:rsid w:val="008318AB"/>
    <w:rsid w:val="00831AC4"/>
    <w:rsid w:val="00831C24"/>
    <w:rsid w:val="00831C53"/>
    <w:rsid w:val="00831F8C"/>
    <w:rsid w:val="008326F3"/>
    <w:rsid w:val="0083278E"/>
    <w:rsid w:val="0083289B"/>
    <w:rsid w:val="00832A29"/>
    <w:rsid w:val="00832D45"/>
    <w:rsid w:val="00832F4B"/>
    <w:rsid w:val="008331B6"/>
    <w:rsid w:val="0083326E"/>
    <w:rsid w:val="008333FA"/>
    <w:rsid w:val="0083341D"/>
    <w:rsid w:val="00833483"/>
    <w:rsid w:val="0083374A"/>
    <w:rsid w:val="008339E1"/>
    <w:rsid w:val="00833A13"/>
    <w:rsid w:val="00833E3E"/>
    <w:rsid w:val="00833E68"/>
    <w:rsid w:val="008340AC"/>
    <w:rsid w:val="008341F4"/>
    <w:rsid w:val="0083420B"/>
    <w:rsid w:val="00834285"/>
    <w:rsid w:val="00834365"/>
    <w:rsid w:val="008344A5"/>
    <w:rsid w:val="008345C1"/>
    <w:rsid w:val="008345F7"/>
    <w:rsid w:val="00834A29"/>
    <w:rsid w:val="00834C4C"/>
    <w:rsid w:val="00834D8C"/>
    <w:rsid w:val="00834DCE"/>
    <w:rsid w:val="00834E34"/>
    <w:rsid w:val="00834FEF"/>
    <w:rsid w:val="0083516D"/>
    <w:rsid w:val="008353DD"/>
    <w:rsid w:val="008354DF"/>
    <w:rsid w:val="0083568E"/>
    <w:rsid w:val="00835AE8"/>
    <w:rsid w:val="00835DB8"/>
    <w:rsid w:val="00835F81"/>
    <w:rsid w:val="00836089"/>
    <w:rsid w:val="008360F2"/>
    <w:rsid w:val="00836337"/>
    <w:rsid w:val="0083635F"/>
    <w:rsid w:val="0083640B"/>
    <w:rsid w:val="008365BF"/>
    <w:rsid w:val="008367F4"/>
    <w:rsid w:val="008368A1"/>
    <w:rsid w:val="00836BD0"/>
    <w:rsid w:val="00836C20"/>
    <w:rsid w:val="00836DB0"/>
    <w:rsid w:val="00836FAB"/>
    <w:rsid w:val="00836FD5"/>
    <w:rsid w:val="008377CE"/>
    <w:rsid w:val="008379EE"/>
    <w:rsid w:val="00837B22"/>
    <w:rsid w:val="00837B76"/>
    <w:rsid w:val="00837C2B"/>
    <w:rsid w:val="00837E0D"/>
    <w:rsid w:val="00837F97"/>
    <w:rsid w:val="00840009"/>
    <w:rsid w:val="008401EF"/>
    <w:rsid w:val="0084040E"/>
    <w:rsid w:val="008404B4"/>
    <w:rsid w:val="00840570"/>
    <w:rsid w:val="0084076E"/>
    <w:rsid w:val="008407FE"/>
    <w:rsid w:val="00840912"/>
    <w:rsid w:val="00840AB5"/>
    <w:rsid w:val="00840C40"/>
    <w:rsid w:val="00841050"/>
    <w:rsid w:val="008419D5"/>
    <w:rsid w:val="00841B57"/>
    <w:rsid w:val="00841BEB"/>
    <w:rsid w:val="00841E6D"/>
    <w:rsid w:val="00842074"/>
    <w:rsid w:val="00842314"/>
    <w:rsid w:val="0084239C"/>
    <w:rsid w:val="00842435"/>
    <w:rsid w:val="00842A67"/>
    <w:rsid w:val="00842BFB"/>
    <w:rsid w:val="00842C34"/>
    <w:rsid w:val="00842D68"/>
    <w:rsid w:val="00842EAA"/>
    <w:rsid w:val="00842F1D"/>
    <w:rsid w:val="0084309C"/>
    <w:rsid w:val="0084331B"/>
    <w:rsid w:val="008433BB"/>
    <w:rsid w:val="0084366A"/>
    <w:rsid w:val="0084388E"/>
    <w:rsid w:val="00843A67"/>
    <w:rsid w:val="00843AFB"/>
    <w:rsid w:val="00843C36"/>
    <w:rsid w:val="00843DBD"/>
    <w:rsid w:val="00843DF9"/>
    <w:rsid w:val="00843F20"/>
    <w:rsid w:val="00843F77"/>
    <w:rsid w:val="00844024"/>
    <w:rsid w:val="008442E7"/>
    <w:rsid w:val="00844344"/>
    <w:rsid w:val="0084455C"/>
    <w:rsid w:val="00844586"/>
    <w:rsid w:val="008447AD"/>
    <w:rsid w:val="00844891"/>
    <w:rsid w:val="00844916"/>
    <w:rsid w:val="008449FD"/>
    <w:rsid w:val="00844D33"/>
    <w:rsid w:val="00844F26"/>
    <w:rsid w:val="00845104"/>
    <w:rsid w:val="00845112"/>
    <w:rsid w:val="0084527F"/>
    <w:rsid w:val="008454C7"/>
    <w:rsid w:val="0084555F"/>
    <w:rsid w:val="00845666"/>
    <w:rsid w:val="00845675"/>
    <w:rsid w:val="008456C8"/>
    <w:rsid w:val="00845880"/>
    <w:rsid w:val="008458A8"/>
    <w:rsid w:val="00845A1C"/>
    <w:rsid w:val="00845DC1"/>
    <w:rsid w:val="00845F17"/>
    <w:rsid w:val="00846107"/>
    <w:rsid w:val="00846258"/>
    <w:rsid w:val="008462A7"/>
    <w:rsid w:val="0084640B"/>
    <w:rsid w:val="00846959"/>
    <w:rsid w:val="00846BC5"/>
    <w:rsid w:val="00846D6B"/>
    <w:rsid w:val="00846D95"/>
    <w:rsid w:val="00847068"/>
    <w:rsid w:val="008473AC"/>
    <w:rsid w:val="0084781A"/>
    <w:rsid w:val="00847B19"/>
    <w:rsid w:val="00847B2F"/>
    <w:rsid w:val="00847F02"/>
    <w:rsid w:val="00850135"/>
    <w:rsid w:val="00850147"/>
    <w:rsid w:val="00850231"/>
    <w:rsid w:val="008502A0"/>
    <w:rsid w:val="0085054E"/>
    <w:rsid w:val="00850720"/>
    <w:rsid w:val="00850964"/>
    <w:rsid w:val="00850CC5"/>
    <w:rsid w:val="00850ECA"/>
    <w:rsid w:val="00850F2E"/>
    <w:rsid w:val="00850F43"/>
    <w:rsid w:val="00851709"/>
    <w:rsid w:val="00851723"/>
    <w:rsid w:val="00851743"/>
    <w:rsid w:val="00851BE1"/>
    <w:rsid w:val="00851FBB"/>
    <w:rsid w:val="0085232D"/>
    <w:rsid w:val="008524CF"/>
    <w:rsid w:val="00852734"/>
    <w:rsid w:val="00852A4D"/>
    <w:rsid w:val="00852A5A"/>
    <w:rsid w:val="00852AD5"/>
    <w:rsid w:val="00852B31"/>
    <w:rsid w:val="00852C80"/>
    <w:rsid w:val="00852C94"/>
    <w:rsid w:val="00852D57"/>
    <w:rsid w:val="00852E58"/>
    <w:rsid w:val="00852F0A"/>
    <w:rsid w:val="00852F28"/>
    <w:rsid w:val="0085318C"/>
    <w:rsid w:val="00853562"/>
    <w:rsid w:val="0085356A"/>
    <w:rsid w:val="008538B0"/>
    <w:rsid w:val="00853D47"/>
    <w:rsid w:val="00854229"/>
    <w:rsid w:val="0085441D"/>
    <w:rsid w:val="008545A2"/>
    <w:rsid w:val="0085465D"/>
    <w:rsid w:val="00854676"/>
    <w:rsid w:val="0085495D"/>
    <w:rsid w:val="00854C7E"/>
    <w:rsid w:val="008552BD"/>
    <w:rsid w:val="00855604"/>
    <w:rsid w:val="00855805"/>
    <w:rsid w:val="008558FC"/>
    <w:rsid w:val="0085590A"/>
    <w:rsid w:val="00855DDE"/>
    <w:rsid w:val="00855E65"/>
    <w:rsid w:val="008560C0"/>
    <w:rsid w:val="008560E9"/>
    <w:rsid w:val="008562B5"/>
    <w:rsid w:val="0085641A"/>
    <w:rsid w:val="0085642A"/>
    <w:rsid w:val="008564CA"/>
    <w:rsid w:val="008565A5"/>
    <w:rsid w:val="00856798"/>
    <w:rsid w:val="008568B0"/>
    <w:rsid w:val="008568E5"/>
    <w:rsid w:val="00856960"/>
    <w:rsid w:val="00856E8F"/>
    <w:rsid w:val="00856F26"/>
    <w:rsid w:val="00857226"/>
    <w:rsid w:val="008573BB"/>
    <w:rsid w:val="00857681"/>
    <w:rsid w:val="0085770D"/>
    <w:rsid w:val="00857717"/>
    <w:rsid w:val="0085782D"/>
    <w:rsid w:val="00857D6C"/>
    <w:rsid w:val="00857E1C"/>
    <w:rsid w:val="00857E47"/>
    <w:rsid w:val="00860070"/>
    <w:rsid w:val="00860254"/>
    <w:rsid w:val="008602DA"/>
    <w:rsid w:val="008602E9"/>
    <w:rsid w:val="00860381"/>
    <w:rsid w:val="008603B2"/>
    <w:rsid w:val="008608AC"/>
    <w:rsid w:val="00860ACB"/>
    <w:rsid w:val="00861084"/>
    <w:rsid w:val="008610EB"/>
    <w:rsid w:val="00861449"/>
    <w:rsid w:val="00861A72"/>
    <w:rsid w:val="00861D99"/>
    <w:rsid w:val="00861EDA"/>
    <w:rsid w:val="00861F17"/>
    <w:rsid w:val="00862386"/>
    <w:rsid w:val="00862603"/>
    <w:rsid w:val="008626DE"/>
    <w:rsid w:val="00862892"/>
    <w:rsid w:val="00862924"/>
    <w:rsid w:val="008629DA"/>
    <w:rsid w:val="00862AA3"/>
    <w:rsid w:val="00862B0B"/>
    <w:rsid w:val="00862EB1"/>
    <w:rsid w:val="00862F6C"/>
    <w:rsid w:val="008630CE"/>
    <w:rsid w:val="0086317D"/>
    <w:rsid w:val="00863420"/>
    <w:rsid w:val="008637CF"/>
    <w:rsid w:val="008638BB"/>
    <w:rsid w:val="00863A08"/>
    <w:rsid w:val="00863BB0"/>
    <w:rsid w:val="00863CCC"/>
    <w:rsid w:val="00863EDB"/>
    <w:rsid w:val="008642DB"/>
    <w:rsid w:val="0086454E"/>
    <w:rsid w:val="00864561"/>
    <w:rsid w:val="008647EC"/>
    <w:rsid w:val="00864947"/>
    <w:rsid w:val="0086507A"/>
    <w:rsid w:val="0086510C"/>
    <w:rsid w:val="00865366"/>
    <w:rsid w:val="00865565"/>
    <w:rsid w:val="0086559A"/>
    <w:rsid w:val="008657AA"/>
    <w:rsid w:val="00865A9B"/>
    <w:rsid w:val="00865B6A"/>
    <w:rsid w:val="00865DF8"/>
    <w:rsid w:val="00866013"/>
    <w:rsid w:val="008660E4"/>
    <w:rsid w:val="00866178"/>
    <w:rsid w:val="008662ED"/>
    <w:rsid w:val="00866884"/>
    <w:rsid w:val="008668D1"/>
    <w:rsid w:val="008669E2"/>
    <w:rsid w:val="00866B32"/>
    <w:rsid w:val="00866C54"/>
    <w:rsid w:val="00866F10"/>
    <w:rsid w:val="00866F5C"/>
    <w:rsid w:val="00867435"/>
    <w:rsid w:val="00867531"/>
    <w:rsid w:val="0086758E"/>
    <w:rsid w:val="008679AD"/>
    <w:rsid w:val="00867B92"/>
    <w:rsid w:val="00867C66"/>
    <w:rsid w:val="00867F34"/>
    <w:rsid w:val="008700D8"/>
    <w:rsid w:val="008700FA"/>
    <w:rsid w:val="008700FE"/>
    <w:rsid w:val="008703FF"/>
    <w:rsid w:val="008705CD"/>
    <w:rsid w:val="0087071E"/>
    <w:rsid w:val="00870B4C"/>
    <w:rsid w:val="00870BC4"/>
    <w:rsid w:val="00870E68"/>
    <w:rsid w:val="00870F0C"/>
    <w:rsid w:val="0087182A"/>
    <w:rsid w:val="0087185D"/>
    <w:rsid w:val="00871A4F"/>
    <w:rsid w:val="00871C0B"/>
    <w:rsid w:val="00871CA7"/>
    <w:rsid w:val="00871CB8"/>
    <w:rsid w:val="00871D96"/>
    <w:rsid w:val="0087207D"/>
    <w:rsid w:val="00872140"/>
    <w:rsid w:val="0087228F"/>
    <w:rsid w:val="0087257A"/>
    <w:rsid w:val="00872843"/>
    <w:rsid w:val="0087290D"/>
    <w:rsid w:val="00872AC7"/>
    <w:rsid w:val="00872ADD"/>
    <w:rsid w:val="00873056"/>
    <w:rsid w:val="008730C8"/>
    <w:rsid w:val="00873251"/>
    <w:rsid w:val="0087342C"/>
    <w:rsid w:val="008734B1"/>
    <w:rsid w:val="008735A1"/>
    <w:rsid w:val="0087387A"/>
    <w:rsid w:val="008739C1"/>
    <w:rsid w:val="00873C38"/>
    <w:rsid w:val="00873D45"/>
    <w:rsid w:val="00873EEB"/>
    <w:rsid w:val="00874155"/>
    <w:rsid w:val="0087438C"/>
    <w:rsid w:val="008743EB"/>
    <w:rsid w:val="00874462"/>
    <w:rsid w:val="008745B7"/>
    <w:rsid w:val="00874B36"/>
    <w:rsid w:val="00874B7D"/>
    <w:rsid w:val="00874F5F"/>
    <w:rsid w:val="008751F9"/>
    <w:rsid w:val="0087556F"/>
    <w:rsid w:val="008759C6"/>
    <w:rsid w:val="008759E3"/>
    <w:rsid w:val="00875AD9"/>
    <w:rsid w:val="00875C31"/>
    <w:rsid w:val="00875CEC"/>
    <w:rsid w:val="00875FFE"/>
    <w:rsid w:val="00876012"/>
    <w:rsid w:val="00876064"/>
    <w:rsid w:val="00876499"/>
    <w:rsid w:val="00876589"/>
    <w:rsid w:val="00876598"/>
    <w:rsid w:val="008765A6"/>
    <w:rsid w:val="008766DF"/>
    <w:rsid w:val="00876983"/>
    <w:rsid w:val="008769FD"/>
    <w:rsid w:val="00876CC9"/>
    <w:rsid w:val="00876D25"/>
    <w:rsid w:val="00876DA1"/>
    <w:rsid w:val="00876EA0"/>
    <w:rsid w:val="00877034"/>
    <w:rsid w:val="00877057"/>
    <w:rsid w:val="0087712E"/>
    <w:rsid w:val="008771D9"/>
    <w:rsid w:val="008772D1"/>
    <w:rsid w:val="0087756F"/>
    <w:rsid w:val="008775BA"/>
    <w:rsid w:val="0087760D"/>
    <w:rsid w:val="00877645"/>
    <w:rsid w:val="00877B22"/>
    <w:rsid w:val="00877B26"/>
    <w:rsid w:val="00877B92"/>
    <w:rsid w:val="00877BFD"/>
    <w:rsid w:val="00877DEB"/>
    <w:rsid w:val="00880041"/>
    <w:rsid w:val="0088021E"/>
    <w:rsid w:val="00880279"/>
    <w:rsid w:val="008804E8"/>
    <w:rsid w:val="0088053B"/>
    <w:rsid w:val="008805F5"/>
    <w:rsid w:val="00880796"/>
    <w:rsid w:val="00880826"/>
    <w:rsid w:val="008809DD"/>
    <w:rsid w:val="00880A30"/>
    <w:rsid w:val="00880AEE"/>
    <w:rsid w:val="00880C2E"/>
    <w:rsid w:val="00880DA5"/>
    <w:rsid w:val="00880F17"/>
    <w:rsid w:val="008810CA"/>
    <w:rsid w:val="008811B1"/>
    <w:rsid w:val="00881283"/>
    <w:rsid w:val="00881375"/>
    <w:rsid w:val="0088142D"/>
    <w:rsid w:val="00881619"/>
    <w:rsid w:val="00881664"/>
    <w:rsid w:val="00881ADF"/>
    <w:rsid w:val="00881D70"/>
    <w:rsid w:val="00881E7F"/>
    <w:rsid w:val="00881F55"/>
    <w:rsid w:val="00881FE4"/>
    <w:rsid w:val="00882027"/>
    <w:rsid w:val="008820B3"/>
    <w:rsid w:val="00882155"/>
    <w:rsid w:val="00882468"/>
    <w:rsid w:val="00882B5E"/>
    <w:rsid w:val="008834B9"/>
    <w:rsid w:val="008834E3"/>
    <w:rsid w:val="008835B0"/>
    <w:rsid w:val="00883AE6"/>
    <w:rsid w:val="00883BD3"/>
    <w:rsid w:val="0088435A"/>
    <w:rsid w:val="0088435F"/>
    <w:rsid w:val="008843E4"/>
    <w:rsid w:val="008843F2"/>
    <w:rsid w:val="0088444A"/>
    <w:rsid w:val="00884993"/>
    <w:rsid w:val="00884A8F"/>
    <w:rsid w:val="00884DD4"/>
    <w:rsid w:val="00884E1F"/>
    <w:rsid w:val="00884EDD"/>
    <w:rsid w:val="00884F9E"/>
    <w:rsid w:val="00884FC1"/>
    <w:rsid w:val="008850DE"/>
    <w:rsid w:val="00885391"/>
    <w:rsid w:val="00885699"/>
    <w:rsid w:val="0088583F"/>
    <w:rsid w:val="0088592D"/>
    <w:rsid w:val="00885953"/>
    <w:rsid w:val="00885A90"/>
    <w:rsid w:val="00885CA6"/>
    <w:rsid w:val="00885E5B"/>
    <w:rsid w:val="00885FCE"/>
    <w:rsid w:val="00886423"/>
    <w:rsid w:val="0088682B"/>
    <w:rsid w:val="0088693A"/>
    <w:rsid w:val="00886EA0"/>
    <w:rsid w:val="00886F0B"/>
    <w:rsid w:val="00887036"/>
    <w:rsid w:val="00887055"/>
    <w:rsid w:val="00887269"/>
    <w:rsid w:val="0088737B"/>
    <w:rsid w:val="00887402"/>
    <w:rsid w:val="00887A37"/>
    <w:rsid w:val="00887AA4"/>
    <w:rsid w:val="00887BF7"/>
    <w:rsid w:val="00887C78"/>
    <w:rsid w:val="00887C8C"/>
    <w:rsid w:val="00887D22"/>
    <w:rsid w:val="00890091"/>
    <w:rsid w:val="008900B6"/>
    <w:rsid w:val="00890139"/>
    <w:rsid w:val="0089040C"/>
    <w:rsid w:val="0089045E"/>
    <w:rsid w:val="00890579"/>
    <w:rsid w:val="008906D6"/>
    <w:rsid w:val="00890919"/>
    <w:rsid w:val="00890BD2"/>
    <w:rsid w:val="00890D08"/>
    <w:rsid w:val="00891360"/>
    <w:rsid w:val="0089148D"/>
    <w:rsid w:val="00891D31"/>
    <w:rsid w:val="00891E0C"/>
    <w:rsid w:val="00891EE9"/>
    <w:rsid w:val="0089214D"/>
    <w:rsid w:val="00892185"/>
    <w:rsid w:val="008923B3"/>
    <w:rsid w:val="008923D0"/>
    <w:rsid w:val="00892524"/>
    <w:rsid w:val="008925E8"/>
    <w:rsid w:val="0089296E"/>
    <w:rsid w:val="00892A08"/>
    <w:rsid w:val="00892A20"/>
    <w:rsid w:val="00892BAB"/>
    <w:rsid w:val="00892C17"/>
    <w:rsid w:val="00892C4C"/>
    <w:rsid w:val="00892C9E"/>
    <w:rsid w:val="00892E7C"/>
    <w:rsid w:val="00892E80"/>
    <w:rsid w:val="00892F1F"/>
    <w:rsid w:val="00892F27"/>
    <w:rsid w:val="00892F82"/>
    <w:rsid w:val="00892FC6"/>
    <w:rsid w:val="0089308A"/>
    <w:rsid w:val="0089316F"/>
    <w:rsid w:val="0089328A"/>
    <w:rsid w:val="00893309"/>
    <w:rsid w:val="00893352"/>
    <w:rsid w:val="008933BB"/>
    <w:rsid w:val="00893407"/>
    <w:rsid w:val="008936EE"/>
    <w:rsid w:val="00893A8D"/>
    <w:rsid w:val="00893CC4"/>
    <w:rsid w:val="00893DAE"/>
    <w:rsid w:val="00893E54"/>
    <w:rsid w:val="008941DA"/>
    <w:rsid w:val="008942DD"/>
    <w:rsid w:val="00894344"/>
    <w:rsid w:val="0089440F"/>
    <w:rsid w:val="0089449B"/>
    <w:rsid w:val="00894715"/>
    <w:rsid w:val="00894A9E"/>
    <w:rsid w:val="00894B9C"/>
    <w:rsid w:val="00894E9C"/>
    <w:rsid w:val="00894EE2"/>
    <w:rsid w:val="008955AD"/>
    <w:rsid w:val="00895605"/>
    <w:rsid w:val="008956B5"/>
    <w:rsid w:val="00895907"/>
    <w:rsid w:val="00896090"/>
    <w:rsid w:val="0089610E"/>
    <w:rsid w:val="00896312"/>
    <w:rsid w:val="008965FF"/>
    <w:rsid w:val="008968E9"/>
    <w:rsid w:val="00896AE7"/>
    <w:rsid w:val="00896DFB"/>
    <w:rsid w:val="00896F8A"/>
    <w:rsid w:val="008973CD"/>
    <w:rsid w:val="008974F0"/>
    <w:rsid w:val="0089763B"/>
    <w:rsid w:val="00897747"/>
    <w:rsid w:val="00897A1D"/>
    <w:rsid w:val="00897B91"/>
    <w:rsid w:val="00897BB1"/>
    <w:rsid w:val="00897BB5"/>
    <w:rsid w:val="00897FB0"/>
    <w:rsid w:val="00897FE0"/>
    <w:rsid w:val="00897FEC"/>
    <w:rsid w:val="008A000E"/>
    <w:rsid w:val="008A00DC"/>
    <w:rsid w:val="008A0241"/>
    <w:rsid w:val="008A051D"/>
    <w:rsid w:val="008A094D"/>
    <w:rsid w:val="008A0C56"/>
    <w:rsid w:val="008A0E85"/>
    <w:rsid w:val="008A0E9D"/>
    <w:rsid w:val="008A11A3"/>
    <w:rsid w:val="008A12BD"/>
    <w:rsid w:val="008A1B3B"/>
    <w:rsid w:val="008A1E80"/>
    <w:rsid w:val="008A1F44"/>
    <w:rsid w:val="008A2580"/>
    <w:rsid w:val="008A25D9"/>
    <w:rsid w:val="008A26F3"/>
    <w:rsid w:val="008A27CF"/>
    <w:rsid w:val="008A2807"/>
    <w:rsid w:val="008A2A53"/>
    <w:rsid w:val="008A2A60"/>
    <w:rsid w:val="008A2A82"/>
    <w:rsid w:val="008A2ACA"/>
    <w:rsid w:val="008A2BAF"/>
    <w:rsid w:val="008A2BF2"/>
    <w:rsid w:val="008A2C1C"/>
    <w:rsid w:val="008A2CCF"/>
    <w:rsid w:val="008A2D0E"/>
    <w:rsid w:val="008A2D7C"/>
    <w:rsid w:val="008A2DBD"/>
    <w:rsid w:val="008A32F9"/>
    <w:rsid w:val="008A36D7"/>
    <w:rsid w:val="008A3780"/>
    <w:rsid w:val="008A380B"/>
    <w:rsid w:val="008A3A65"/>
    <w:rsid w:val="008A4014"/>
    <w:rsid w:val="008A403A"/>
    <w:rsid w:val="008A41BF"/>
    <w:rsid w:val="008A459E"/>
    <w:rsid w:val="008A4886"/>
    <w:rsid w:val="008A499E"/>
    <w:rsid w:val="008A4E14"/>
    <w:rsid w:val="008A515A"/>
    <w:rsid w:val="008A517F"/>
    <w:rsid w:val="008A51CE"/>
    <w:rsid w:val="008A51E6"/>
    <w:rsid w:val="008A51F6"/>
    <w:rsid w:val="008A538A"/>
    <w:rsid w:val="008A53EB"/>
    <w:rsid w:val="008A57ED"/>
    <w:rsid w:val="008A5817"/>
    <w:rsid w:val="008A5857"/>
    <w:rsid w:val="008A5996"/>
    <w:rsid w:val="008A5A34"/>
    <w:rsid w:val="008A5AB7"/>
    <w:rsid w:val="008A5ADE"/>
    <w:rsid w:val="008A6188"/>
    <w:rsid w:val="008A626B"/>
    <w:rsid w:val="008A62A1"/>
    <w:rsid w:val="008A63A4"/>
    <w:rsid w:val="008A6C80"/>
    <w:rsid w:val="008A6D77"/>
    <w:rsid w:val="008A6DFE"/>
    <w:rsid w:val="008A6FA6"/>
    <w:rsid w:val="008A7150"/>
    <w:rsid w:val="008A7213"/>
    <w:rsid w:val="008A723E"/>
    <w:rsid w:val="008A7309"/>
    <w:rsid w:val="008A7586"/>
    <w:rsid w:val="008A7600"/>
    <w:rsid w:val="008A76D5"/>
    <w:rsid w:val="008A7934"/>
    <w:rsid w:val="008A7EB8"/>
    <w:rsid w:val="008B0135"/>
    <w:rsid w:val="008B0175"/>
    <w:rsid w:val="008B0211"/>
    <w:rsid w:val="008B062E"/>
    <w:rsid w:val="008B08B5"/>
    <w:rsid w:val="008B0BCF"/>
    <w:rsid w:val="008B0C82"/>
    <w:rsid w:val="008B0D23"/>
    <w:rsid w:val="008B0FB6"/>
    <w:rsid w:val="008B1027"/>
    <w:rsid w:val="008B110C"/>
    <w:rsid w:val="008B12F3"/>
    <w:rsid w:val="008B13A3"/>
    <w:rsid w:val="008B1AB3"/>
    <w:rsid w:val="008B1DA4"/>
    <w:rsid w:val="008B1EB2"/>
    <w:rsid w:val="008B207B"/>
    <w:rsid w:val="008B2187"/>
    <w:rsid w:val="008B21A7"/>
    <w:rsid w:val="008B21AB"/>
    <w:rsid w:val="008B239C"/>
    <w:rsid w:val="008B25DD"/>
    <w:rsid w:val="008B2A8B"/>
    <w:rsid w:val="008B2AB2"/>
    <w:rsid w:val="008B2C1F"/>
    <w:rsid w:val="008B2D53"/>
    <w:rsid w:val="008B2EB0"/>
    <w:rsid w:val="008B2F70"/>
    <w:rsid w:val="008B30FD"/>
    <w:rsid w:val="008B323F"/>
    <w:rsid w:val="008B3746"/>
    <w:rsid w:val="008B3A20"/>
    <w:rsid w:val="008B3BBC"/>
    <w:rsid w:val="008B3DC8"/>
    <w:rsid w:val="008B3E06"/>
    <w:rsid w:val="008B3E35"/>
    <w:rsid w:val="008B41C6"/>
    <w:rsid w:val="008B4577"/>
    <w:rsid w:val="008B45F5"/>
    <w:rsid w:val="008B47EA"/>
    <w:rsid w:val="008B4BD9"/>
    <w:rsid w:val="008B4E51"/>
    <w:rsid w:val="008B4E53"/>
    <w:rsid w:val="008B4E8E"/>
    <w:rsid w:val="008B4FA7"/>
    <w:rsid w:val="008B52D7"/>
    <w:rsid w:val="008B57B9"/>
    <w:rsid w:val="008B57C0"/>
    <w:rsid w:val="008B5B2C"/>
    <w:rsid w:val="008B5C4E"/>
    <w:rsid w:val="008B5FF1"/>
    <w:rsid w:val="008B607E"/>
    <w:rsid w:val="008B60E7"/>
    <w:rsid w:val="008B62D9"/>
    <w:rsid w:val="008B6323"/>
    <w:rsid w:val="008B6621"/>
    <w:rsid w:val="008B666D"/>
    <w:rsid w:val="008B6A2F"/>
    <w:rsid w:val="008B6B88"/>
    <w:rsid w:val="008B6C28"/>
    <w:rsid w:val="008B6CD7"/>
    <w:rsid w:val="008B6D86"/>
    <w:rsid w:val="008B6E6A"/>
    <w:rsid w:val="008B6E98"/>
    <w:rsid w:val="008B7724"/>
    <w:rsid w:val="008B77C2"/>
    <w:rsid w:val="008B7BE2"/>
    <w:rsid w:val="008B7CA1"/>
    <w:rsid w:val="008B7EA2"/>
    <w:rsid w:val="008C000C"/>
    <w:rsid w:val="008C0159"/>
    <w:rsid w:val="008C0549"/>
    <w:rsid w:val="008C070B"/>
    <w:rsid w:val="008C072C"/>
    <w:rsid w:val="008C083B"/>
    <w:rsid w:val="008C0970"/>
    <w:rsid w:val="008C0B3F"/>
    <w:rsid w:val="008C0C5C"/>
    <w:rsid w:val="008C0CC4"/>
    <w:rsid w:val="008C0CE3"/>
    <w:rsid w:val="008C0F2D"/>
    <w:rsid w:val="008C1041"/>
    <w:rsid w:val="008C12F4"/>
    <w:rsid w:val="008C156B"/>
    <w:rsid w:val="008C179D"/>
    <w:rsid w:val="008C1A26"/>
    <w:rsid w:val="008C1CC7"/>
    <w:rsid w:val="008C1CEA"/>
    <w:rsid w:val="008C1D0A"/>
    <w:rsid w:val="008C1EAF"/>
    <w:rsid w:val="008C20E1"/>
    <w:rsid w:val="008C21EF"/>
    <w:rsid w:val="008C2415"/>
    <w:rsid w:val="008C25C1"/>
    <w:rsid w:val="008C264C"/>
    <w:rsid w:val="008C2861"/>
    <w:rsid w:val="008C2A92"/>
    <w:rsid w:val="008C2CAC"/>
    <w:rsid w:val="008C2CBD"/>
    <w:rsid w:val="008C2ED8"/>
    <w:rsid w:val="008C2FD9"/>
    <w:rsid w:val="008C3085"/>
    <w:rsid w:val="008C3121"/>
    <w:rsid w:val="008C3315"/>
    <w:rsid w:val="008C3418"/>
    <w:rsid w:val="008C3514"/>
    <w:rsid w:val="008C3BBE"/>
    <w:rsid w:val="008C3ED6"/>
    <w:rsid w:val="008C4101"/>
    <w:rsid w:val="008C4120"/>
    <w:rsid w:val="008C4381"/>
    <w:rsid w:val="008C4407"/>
    <w:rsid w:val="008C465A"/>
    <w:rsid w:val="008C49C6"/>
    <w:rsid w:val="008C4A95"/>
    <w:rsid w:val="008C4D7C"/>
    <w:rsid w:val="008C4D93"/>
    <w:rsid w:val="008C573E"/>
    <w:rsid w:val="008C5CF9"/>
    <w:rsid w:val="008C5E16"/>
    <w:rsid w:val="008C63CC"/>
    <w:rsid w:val="008C647A"/>
    <w:rsid w:val="008C65AD"/>
    <w:rsid w:val="008C6675"/>
    <w:rsid w:val="008C67C7"/>
    <w:rsid w:val="008C6EF0"/>
    <w:rsid w:val="008C7092"/>
    <w:rsid w:val="008C749A"/>
    <w:rsid w:val="008C7662"/>
    <w:rsid w:val="008C774D"/>
    <w:rsid w:val="008C7808"/>
    <w:rsid w:val="008C7874"/>
    <w:rsid w:val="008C78F8"/>
    <w:rsid w:val="008C7AB1"/>
    <w:rsid w:val="008C7B5D"/>
    <w:rsid w:val="008D021B"/>
    <w:rsid w:val="008D0335"/>
    <w:rsid w:val="008D04CE"/>
    <w:rsid w:val="008D0980"/>
    <w:rsid w:val="008D0DC1"/>
    <w:rsid w:val="008D0EDF"/>
    <w:rsid w:val="008D0F78"/>
    <w:rsid w:val="008D125D"/>
    <w:rsid w:val="008D1261"/>
    <w:rsid w:val="008D1382"/>
    <w:rsid w:val="008D1551"/>
    <w:rsid w:val="008D18F9"/>
    <w:rsid w:val="008D1931"/>
    <w:rsid w:val="008D1982"/>
    <w:rsid w:val="008D1A93"/>
    <w:rsid w:val="008D1ACA"/>
    <w:rsid w:val="008D1CE1"/>
    <w:rsid w:val="008D1D70"/>
    <w:rsid w:val="008D1D71"/>
    <w:rsid w:val="008D2139"/>
    <w:rsid w:val="008D21C0"/>
    <w:rsid w:val="008D2553"/>
    <w:rsid w:val="008D25B4"/>
    <w:rsid w:val="008D269C"/>
    <w:rsid w:val="008D288D"/>
    <w:rsid w:val="008D29FE"/>
    <w:rsid w:val="008D318B"/>
    <w:rsid w:val="008D3241"/>
    <w:rsid w:val="008D3276"/>
    <w:rsid w:val="008D381E"/>
    <w:rsid w:val="008D3831"/>
    <w:rsid w:val="008D39FC"/>
    <w:rsid w:val="008D3D2B"/>
    <w:rsid w:val="008D3EA6"/>
    <w:rsid w:val="008D3F60"/>
    <w:rsid w:val="008D3FD4"/>
    <w:rsid w:val="008D41E4"/>
    <w:rsid w:val="008D42AD"/>
    <w:rsid w:val="008D4546"/>
    <w:rsid w:val="008D4858"/>
    <w:rsid w:val="008D4889"/>
    <w:rsid w:val="008D48AA"/>
    <w:rsid w:val="008D4AEC"/>
    <w:rsid w:val="008D4B1E"/>
    <w:rsid w:val="008D4C9B"/>
    <w:rsid w:val="008D4CB5"/>
    <w:rsid w:val="008D4D8F"/>
    <w:rsid w:val="008D4DC5"/>
    <w:rsid w:val="008D4F73"/>
    <w:rsid w:val="008D5073"/>
    <w:rsid w:val="008D530F"/>
    <w:rsid w:val="008D558C"/>
    <w:rsid w:val="008D55BC"/>
    <w:rsid w:val="008D56C1"/>
    <w:rsid w:val="008D5748"/>
    <w:rsid w:val="008D575C"/>
    <w:rsid w:val="008D5913"/>
    <w:rsid w:val="008D5930"/>
    <w:rsid w:val="008D5A7E"/>
    <w:rsid w:val="008D5B06"/>
    <w:rsid w:val="008D5DC5"/>
    <w:rsid w:val="008D5E36"/>
    <w:rsid w:val="008D5E38"/>
    <w:rsid w:val="008D5FB3"/>
    <w:rsid w:val="008D62CC"/>
    <w:rsid w:val="008D635D"/>
    <w:rsid w:val="008D664A"/>
    <w:rsid w:val="008D6652"/>
    <w:rsid w:val="008D680A"/>
    <w:rsid w:val="008D6C32"/>
    <w:rsid w:val="008D6EBB"/>
    <w:rsid w:val="008D6EBC"/>
    <w:rsid w:val="008D77E7"/>
    <w:rsid w:val="008D77FA"/>
    <w:rsid w:val="008D7A1A"/>
    <w:rsid w:val="008E01B8"/>
    <w:rsid w:val="008E04EB"/>
    <w:rsid w:val="008E0556"/>
    <w:rsid w:val="008E064C"/>
    <w:rsid w:val="008E06B0"/>
    <w:rsid w:val="008E070B"/>
    <w:rsid w:val="008E079B"/>
    <w:rsid w:val="008E09E3"/>
    <w:rsid w:val="008E0CD1"/>
    <w:rsid w:val="008E11C4"/>
    <w:rsid w:val="008E1593"/>
    <w:rsid w:val="008E161E"/>
    <w:rsid w:val="008E16F3"/>
    <w:rsid w:val="008E179B"/>
    <w:rsid w:val="008E17AF"/>
    <w:rsid w:val="008E1824"/>
    <w:rsid w:val="008E1A49"/>
    <w:rsid w:val="008E1AB8"/>
    <w:rsid w:val="008E1DB4"/>
    <w:rsid w:val="008E208E"/>
    <w:rsid w:val="008E2185"/>
    <w:rsid w:val="008E2699"/>
    <w:rsid w:val="008E26CD"/>
    <w:rsid w:val="008E275D"/>
    <w:rsid w:val="008E2941"/>
    <w:rsid w:val="008E2A1E"/>
    <w:rsid w:val="008E2BC0"/>
    <w:rsid w:val="008E2BEB"/>
    <w:rsid w:val="008E2F02"/>
    <w:rsid w:val="008E31C8"/>
    <w:rsid w:val="008E3593"/>
    <w:rsid w:val="008E3795"/>
    <w:rsid w:val="008E3939"/>
    <w:rsid w:val="008E3AC8"/>
    <w:rsid w:val="008E3AD1"/>
    <w:rsid w:val="008E3D3D"/>
    <w:rsid w:val="008E4261"/>
    <w:rsid w:val="008E42A6"/>
    <w:rsid w:val="008E455A"/>
    <w:rsid w:val="008E476A"/>
    <w:rsid w:val="008E4B16"/>
    <w:rsid w:val="008E4C17"/>
    <w:rsid w:val="008E4C26"/>
    <w:rsid w:val="008E4CB5"/>
    <w:rsid w:val="008E4E5E"/>
    <w:rsid w:val="008E5022"/>
    <w:rsid w:val="008E5043"/>
    <w:rsid w:val="008E53F4"/>
    <w:rsid w:val="008E555F"/>
    <w:rsid w:val="008E59DE"/>
    <w:rsid w:val="008E5C5B"/>
    <w:rsid w:val="008E5DCE"/>
    <w:rsid w:val="008E5E84"/>
    <w:rsid w:val="008E5E8A"/>
    <w:rsid w:val="008E5EDD"/>
    <w:rsid w:val="008E601C"/>
    <w:rsid w:val="008E607B"/>
    <w:rsid w:val="008E611E"/>
    <w:rsid w:val="008E620E"/>
    <w:rsid w:val="008E67FC"/>
    <w:rsid w:val="008E68D3"/>
    <w:rsid w:val="008E6E81"/>
    <w:rsid w:val="008E6ED8"/>
    <w:rsid w:val="008E6F2F"/>
    <w:rsid w:val="008E7357"/>
    <w:rsid w:val="008E74BC"/>
    <w:rsid w:val="008E76F7"/>
    <w:rsid w:val="008E791E"/>
    <w:rsid w:val="008E79F7"/>
    <w:rsid w:val="008E7A46"/>
    <w:rsid w:val="008E7C42"/>
    <w:rsid w:val="008E7D84"/>
    <w:rsid w:val="008E7D96"/>
    <w:rsid w:val="008E7E93"/>
    <w:rsid w:val="008E7EED"/>
    <w:rsid w:val="008F0062"/>
    <w:rsid w:val="008F00D2"/>
    <w:rsid w:val="008F05B5"/>
    <w:rsid w:val="008F0666"/>
    <w:rsid w:val="008F07F9"/>
    <w:rsid w:val="008F0999"/>
    <w:rsid w:val="008F0E9F"/>
    <w:rsid w:val="008F100F"/>
    <w:rsid w:val="008F12FE"/>
    <w:rsid w:val="008F14A4"/>
    <w:rsid w:val="008F1562"/>
    <w:rsid w:val="008F16A6"/>
    <w:rsid w:val="008F1796"/>
    <w:rsid w:val="008F17B5"/>
    <w:rsid w:val="008F1DC5"/>
    <w:rsid w:val="008F1E2B"/>
    <w:rsid w:val="008F1ED3"/>
    <w:rsid w:val="008F1FE0"/>
    <w:rsid w:val="008F2008"/>
    <w:rsid w:val="008F203D"/>
    <w:rsid w:val="008F20FB"/>
    <w:rsid w:val="008F2190"/>
    <w:rsid w:val="008F2317"/>
    <w:rsid w:val="008F2467"/>
    <w:rsid w:val="008F26B9"/>
    <w:rsid w:val="008F29A1"/>
    <w:rsid w:val="008F2B56"/>
    <w:rsid w:val="008F2D99"/>
    <w:rsid w:val="008F2E01"/>
    <w:rsid w:val="008F3203"/>
    <w:rsid w:val="008F321C"/>
    <w:rsid w:val="008F3498"/>
    <w:rsid w:val="008F3B88"/>
    <w:rsid w:val="008F3E7E"/>
    <w:rsid w:val="008F413D"/>
    <w:rsid w:val="008F414F"/>
    <w:rsid w:val="008F4167"/>
    <w:rsid w:val="008F41D5"/>
    <w:rsid w:val="008F42DB"/>
    <w:rsid w:val="008F44EA"/>
    <w:rsid w:val="008F46DC"/>
    <w:rsid w:val="008F49AD"/>
    <w:rsid w:val="008F4BF8"/>
    <w:rsid w:val="008F4F17"/>
    <w:rsid w:val="008F4FFD"/>
    <w:rsid w:val="008F5096"/>
    <w:rsid w:val="008F52A7"/>
    <w:rsid w:val="008F5517"/>
    <w:rsid w:val="008F590B"/>
    <w:rsid w:val="008F59BA"/>
    <w:rsid w:val="008F5A0E"/>
    <w:rsid w:val="008F5A6B"/>
    <w:rsid w:val="008F5B45"/>
    <w:rsid w:val="008F5B89"/>
    <w:rsid w:val="008F5DDC"/>
    <w:rsid w:val="008F5DE0"/>
    <w:rsid w:val="008F601D"/>
    <w:rsid w:val="008F6044"/>
    <w:rsid w:val="008F60B3"/>
    <w:rsid w:val="008F6124"/>
    <w:rsid w:val="008F678F"/>
    <w:rsid w:val="008F686C"/>
    <w:rsid w:val="008F6A7B"/>
    <w:rsid w:val="008F6C59"/>
    <w:rsid w:val="008F6CF9"/>
    <w:rsid w:val="008F6F1A"/>
    <w:rsid w:val="008F71C4"/>
    <w:rsid w:val="008F7382"/>
    <w:rsid w:val="008F7584"/>
    <w:rsid w:val="008F760A"/>
    <w:rsid w:val="008F7840"/>
    <w:rsid w:val="008F79A7"/>
    <w:rsid w:val="008F7AFE"/>
    <w:rsid w:val="008F7B00"/>
    <w:rsid w:val="008F7C1F"/>
    <w:rsid w:val="008F7C88"/>
    <w:rsid w:val="008F7E61"/>
    <w:rsid w:val="008F7ECC"/>
    <w:rsid w:val="008F7F17"/>
    <w:rsid w:val="0090034F"/>
    <w:rsid w:val="009003F6"/>
    <w:rsid w:val="009007AC"/>
    <w:rsid w:val="00900801"/>
    <w:rsid w:val="0090090C"/>
    <w:rsid w:val="0090093C"/>
    <w:rsid w:val="00900B9F"/>
    <w:rsid w:val="00901384"/>
    <w:rsid w:val="009013BD"/>
    <w:rsid w:val="0090153C"/>
    <w:rsid w:val="0090157B"/>
    <w:rsid w:val="0090168E"/>
    <w:rsid w:val="0090174D"/>
    <w:rsid w:val="00901846"/>
    <w:rsid w:val="00901941"/>
    <w:rsid w:val="00901962"/>
    <w:rsid w:val="009019C6"/>
    <w:rsid w:val="00901A8A"/>
    <w:rsid w:val="00901E7C"/>
    <w:rsid w:val="00901F91"/>
    <w:rsid w:val="009020FE"/>
    <w:rsid w:val="009022B4"/>
    <w:rsid w:val="009023B7"/>
    <w:rsid w:val="009025F6"/>
    <w:rsid w:val="0090272D"/>
    <w:rsid w:val="009027EF"/>
    <w:rsid w:val="00902AF9"/>
    <w:rsid w:val="00902C7C"/>
    <w:rsid w:val="00902E6A"/>
    <w:rsid w:val="00902FDA"/>
    <w:rsid w:val="00903006"/>
    <w:rsid w:val="0090343D"/>
    <w:rsid w:val="009035F1"/>
    <w:rsid w:val="00903802"/>
    <w:rsid w:val="009038CC"/>
    <w:rsid w:val="00903940"/>
    <w:rsid w:val="00903BAB"/>
    <w:rsid w:val="00903EBE"/>
    <w:rsid w:val="0090403D"/>
    <w:rsid w:val="00904063"/>
    <w:rsid w:val="0090416C"/>
    <w:rsid w:val="00904598"/>
    <w:rsid w:val="00904662"/>
    <w:rsid w:val="00904A62"/>
    <w:rsid w:val="00904A85"/>
    <w:rsid w:val="00904B6B"/>
    <w:rsid w:val="00904BFD"/>
    <w:rsid w:val="00904C0D"/>
    <w:rsid w:val="00904C28"/>
    <w:rsid w:val="00904DFA"/>
    <w:rsid w:val="00904EC0"/>
    <w:rsid w:val="00904F1C"/>
    <w:rsid w:val="00905022"/>
    <w:rsid w:val="00905407"/>
    <w:rsid w:val="0090543C"/>
    <w:rsid w:val="00905561"/>
    <w:rsid w:val="0090577B"/>
    <w:rsid w:val="0090584C"/>
    <w:rsid w:val="009059FD"/>
    <w:rsid w:val="00905A05"/>
    <w:rsid w:val="00905A0F"/>
    <w:rsid w:val="00905BE5"/>
    <w:rsid w:val="00905D0E"/>
    <w:rsid w:val="00905D40"/>
    <w:rsid w:val="00906065"/>
    <w:rsid w:val="0090606F"/>
    <w:rsid w:val="00906087"/>
    <w:rsid w:val="00906369"/>
    <w:rsid w:val="009063C8"/>
    <w:rsid w:val="009064B3"/>
    <w:rsid w:val="009065F7"/>
    <w:rsid w:val="00906724"/>
    <w:rsid w:val="00906793"/>
    <w:rsid w:val="00906A7F"/>
    <w:rsid w:val="00906D69"/>
    <w:rsid w:val="00906E3F"/>
    <w:rsid w:val="00906E8E"/>
    <w:rsid w:val="0090714C"/>
    <w:rsid w:val="0090760B"/>
    <w:rsid w:val="00907BA0"/>
    <w:rsid w:val="00907C6D"/>
    <w:rsid w:val="00907DA9"/>
    <w:rsid w:val="00907DF4"/>
    <w:rsid w:val="00907EB7"/>
    <w:rsid w:val="009100D0"/>
    <w:rsid w:val="009100DF"/>
    <w:rsid w:val="00910270"/>
    <w:rsid w:val="00910795"/>
    <w:rsid w:val="00910856"/>
    <w:rsid w:val="009109E9"/>
    <w:rsid w:val="00910C2B"/>
    <w:rsid w:val="00910CDA"/>
    <w:rsid w:val="00910D9A"/>
    <w:rsid w:val="009111C2"/>
    <w:rsid w:val="0091126E"/>
    <w:rsid w:val="009112EF"/>
    <w:rsid w:val="0091168E"/>
    <w:rsid w:val="00911809"/>
    <w:rsid w:val="00911B1D"/>
    <w:rsid w:val="00911B6E"/>
    <w:rsid w:val="00911C43"/>
    <w:rsid w:val="00911DF6"/>
    <w:rsid w:val="00912006"/>
    <w:rsid w:val="00912206"/>
    <w:rsid w:val="0091224E"/>
    <w:rsid w:val="0091235A"/>
    <w:rsid w:val="0091243F"/>
    <w:rsid w:val="00912872"/>
    <w:rsid w:val="009128B4"/>
    <w:rsid w:val="00912950"/>
    <w:rsid w:val="009129AF"/>
    <w:rsid w:val="00912D30"/>
    <w:rsid w:val="00912F40"/>
    <w:rsid w:val="00913156"/>
    <w:rsid w:val="009131FC"/>
    <w:rsid w:val="009136CB"/>
    <w:rsid w:val="009137DB"/>
    <w:rsid w:val="009137F5"/>
    <w:rsid w:val="00913DAC"/>
    <w:rsid w:val="00913FF9"/>
    <w:rsid w:val="00914311"/>
    <w:rsid w:val="0091459F"/>
    <w:rsid w:val="00914644"/>
    <w:rsid w:val="00914D1E"/>
    <w:rsid w:val="009150B2"/>
    <w:rsid w:val="00915142"/>
    <w:rsid w:val="0091527A"/>
    <w:rsid w:val="009152CB"/>
    <w:rsid w:val="009155CD"/>
    <w:rsid w:val="00915736"/>
    <w:rsid w:val="009157F9"/>
    <w:rsid w:val="00915885"/>
    <w:rsid w:val="00915BB9"/>
    <w:rsid w:val="0091606A"/>
    <w:rsid w:val="00916338"/>
    <w:rsid w:val="009166E8"/>
    <w:rsid w:val="009167F5"/>
    <w:rsid w:val="00916867"/>
    <w:rsid w:val="0091691D"/>
    <w:rsid w:val="00916A9D"/>
    <w:rsid w:val="00916B90"/>
    <w:rsid w:val="00916D19"/>
    <w:rsid w:val="00916D2B"/>
    <w:rsid w:val="009171E6"/>
    <w:rsid w:val="00917311"/>
    <w:rsid w:val="009174D7"/>
    <w:rsid w:val="009175C6"/>
    <w:rsid w:val="009175E9"/>
    <w:rsid w:val="00917786"/>
    <w:rsid w:val="009178C5"/>
    <w:rsid w:val="00917A3F"/>
    <w:rsid w:val="00917A8F"/>
    <w:rsid w:val="00917DAB"/>
    <w:rsid w:val="00917E3C"/>
    <w:rsid w:val="00917E67"/>
    <w:rsid w:val="00917FA9"/>
    <w:rsid w:val="00917FB5"/>
    <w:rsid w:val="0092051A"/>
    <w:rsid w:val="009205F8"/>
    <w:rsid w:val="0092081C"/>
    <w:rsid w:val="00920874"/>
    <w:rsid w:val="009208B4"/>
    <w:rsid w:val="009209B3"/>
    <w:rsid w:val="00920BF0"/>
    <w:rsid w:val="00920C29"/>
    <w:rsid w:val="00920C71"/>
    <w:rsid w:val="00920D22"/>
    <w:rsid w:val="00920F94"/>
    <w:rsid w:val="009211DB"/>
    <w:rsid w:val="00921548"/>
    <w:rsid w:val="00921596"/>
    <w:rsid w:val="0092172C"/>
    <w:rsid w:val="0092176A"/>
    <w:rsid w:val="009217A3"/>
    <w:rsid w:val="009218E2"/>
    <w:rsid w:val="0092196C"/>
    <w:rsid w:val="009219C9"/>
    <w:rsid w:val="009221C3"/>
    <w:rsid w:val="00922302"/>
    <w:rsid w:val="00922309"/>
    <w:rsid w:val="009223E3"/>
    <w:rsid w:val="0092269F"/>
    <w:rsid w:val="00922739"/>
    <w:rsid w:val="0092273A"/>
    <w:rsid w:val="009229CB"/>
    <w:rsid w:val="00922A6E"/>
    <w:rsid w:val="00922B4D"/>
    <w:rsid w:val="00922C2A"/>
    <w:rsid w:val="00922C52"/>
    <w:rsid w:val="00922CCC"/>
    <w:rsid w:val="00922CD9"/>
    <w:rsid w:val="00922D15"/>
    <w:rsid w:val="00922EB2"/>
    <w:rsid w:val="00922EC5"/>
    <w:rsid w:val="00922F0A"/>
    <w:rsid w:val="0092305E"/>
    <w:rsid w:val="00923329"/>
    <w:rsid w:val="0092349E"/>
    <w:rsid w:val="009237DC"/>
    <w:rsid w:val="0092391D"/>
    <w:rsid w:val="009239F8"/>
    <w:rsid w:val="00923B14"/>
    <w:rsid w:val="00923B5C"/>
    <w:rsid w:val="00923B8A"/>
    <w:rsid w:val="00923C23"/>
    <w:rsid w:val="00923CBD"/>
    <w:rsid w:val="00923DBB"/>
    <w:rsid w:val="009240FD"/>
    <w:rsid w:val="009242B0"/>
    <w:rsid w:val="009242C3"/>
    <w:rsid w:val="0092438D"/>
    <w:rsid w:val="009244CC"/>
    <w:rsid w:val="00924634"/>
    <w:rsid w:val="0092471C"/>
    <w:rsid w:val="009249C3"/>
    <w:rsid w:val="00924A61"/>
    <w:rsid w:val="00924B95"/>
    <w:rsid w:val="00924CD2"/>
    <w:rsid w:val="00924DE8"/>
    <w:rsid w:val="0092504C"/>
    <w:rsid w:val="009250E6"/>
    <w:rsid w:val="00925225"/>
    <w:rsid w:val="00925439"/>
    <w:rsid w:val="00925495"/>
    <w:rsid w:val="009255BC"/>
    <w:rsid w:val="00925611"/>
    <w:rsid w:val="009259B1"/>
    <w:rsid w:val="00925BBE"/>
    <w:rsid w:val="00925C9C"/>
    <w:rsid w:val="00925E98"/>
    <w:rsid w:val="00926091"/>
    <w:rsid w:val="00926202"/>
    <w:rsid w:val="00926361"/>
    <w:rsid w:val="0092649B"/>
    <w:rsid w:val="00926611"/>
    <w:rsid w:val="00926A2C"/>
    <w:rsid w:val="00926BBE"/>
    <w:rsid w:val="00926C7C"/>
    <w:rsid w:val="00926D6F"/>
    <w:rsid w:val="00926E0E"/>
    <w:rsid w:val="0092711F"/>
    <w:rsid w:val="00927454"/>
    <w:rsid w:val="00927649"/>
    <w:rsid w:val="009276A1"/>
    <w:rsid w:val="009279ED"/>
    <w:rsid w:val="00927A33"/>
    <w:rsid w:val="00927CAB"/>
    <w:rsid w:val="00927F3C"/>
    <w:rsid w:val="0093020B"/>
    <w:rsid w:val="009303F8"/>
    <w:rsid w:val="0093092C"/>
    <w:rsid w:val="0093092F"/>
    <w:rsid w:val="00930B85"/>
    <w:rsid w:val="00930BA7"/>
    <w:rsid w:val="00930C59"/>
    <w:rsid w:val="00930DD3"/>
    <w:rsid w:val="00931122"/>
    <w:rsid w:val="00931287"/>
    <w:rsid w:val="0093154C"/>
    <w:rsid w:val="009316BE"/>
    <w:rsid w:val="00931713"/>
    <w:rsid w:val="00931718"/>
    <w:rsid w:val="009319E9"/>
    <w:rsid w:val="00931D9F"/>
    <w:rsid w:val="0093203D"/>
    <w:rsid w:val="00932A26"/>
    <w:rsid w:val="00932DFD"/>
    <w:rsid w:val="00933212"/>
    <w:rsid w:val="0093334D"/>
    <w:rsid w:val="0093346D"/>
    <w:rsid w:val="00933A1A"/>
    <w:rsid w:val="00933B78"/>
    <w:rsid w:val="00934490"/>
    <w:rsid w:val="009344A8"/>
    <w:rsid w:val="009344F3"/>
    <w:rsid w:val="00934541"/>
    <w:rsid w:val="009347C3"/>
    <w:rsid w:val="009349F7"/>
    <w:rsid w:val="00934B21"/>
    <w:rsid w:val="00935155"/>
    <w:rsid w:val="0093515F"/>
    <w:rsid w:val="00935189"/>
    <w:rsid w:val="0093519A"/>
    <w:rsid w:val="009351BF"/>
    <w:rsid w:val="00935273"/>
    <w:rsid w:val="009352CA"/>
    <w:rsid w:val="0093579F"/>
    <w:rsid w:val="00935CEC"/>
    <w:rsid w:val="00935E28"/>
    <w:rsid w:val="00935FA4"/>
    <w:rsid w:val="009361B1"/>
    <w:rsid w:val="00936294"/>
    <w:rsid w:val="009362B2"/>
    <w:rsid w:val="0093646E"/>
    <w:rsid w:val="00936506"/>
    <w:rsid w:val="0093651E"/>
    <w:rsid w:val="00936722"/>
    <w:rsid w:val="00936AA0"/>
    <w:rsid w:val="00936B01"/>
    <w:rsid w:val="00936D05"/>
    <w:rsid w:val="00936D07"/>
    <w:rsid w:val="00936DD7"/>
    <w:rsid w:val="00936EE7"/>
    <w:rsid w:val="00936EF3"/>
    <w:rsid w:val="009370A4"/>
    <w:rsid w:val="0093725F"/>
    <w:rsid w:val="009372E6"/>
    <w:rsid w:val="0093732D"/>
    <w:rsid w:val="00937370"/>
    <w:rsid w:val="00937710"/>
    <w:rsid w:val="0093796A"/>
    <w:rsid w:val="00937A3C"/>
    <w:rsid w:val="00937F44"/>
    <w:rsid w:val="00940311"/>
    <w:rsid w:val="0094061A"/>
    <w:rsid w:val="0094083A"/>
    <w:rsid w:val="00940847"/>
    <w:rsid w:val="00940B48"/>
    <w:rsid w:val="00940DFE"/>
    <w:rsid w:val="00940E64"/>
    <w:rsid w:val="00941058"/>
    <w:rsid w:val="009410CC"/>
    <w:rsid w:val="0094129F"/>
    <w:rsid w:val="0094134E"/>
    <w:rsid w:val="00941434"/>
    <w:rsid w:val="009415EF"/>
    <w:rsid w:val="009417A5"/>
    <w:rsid w:val="00941A00"/>
    <w:rsid w:val="00941AFC"/>
    <w:rsid w:val="00941CD1"/>
    <w:rsid w:val="00941D11"/>
    <w:rsid w:val="00941E3E"/>
    <w:rsid w:val="00941E71"/>
    <w:rsid w:val="00941F77"/>
    <w:rsid w:val="0094200A"/>
    <w:rsid w:val="00942517"/>
    <w:rsid w:val="0094255E"/>
    <w:rsid w:val="009428A7"/>
    <w:rsid w:val="00942A5E"/>
    <w:rsid w:val="00942A8E"/>
    <w:rsid w:val="00942BAE"/>
    <w:rsid w:val="00942BF9"/>
    <w:rsid w:val="00942D81"/>
    <w:rsid w:val="00942F9B"/>
    <w:rsid w:val="00943055"/>
    <w:rsid w:val="009430DB"/>
    <w:rsid w:val="00943289"/>
    <w:rsid w:val="00943377"/>
    <w:rsid w:val="00943431"/>
    <w:rsid w:val="0094365D"/>
    <w:rsid w:val="00943A76"/>
    <w:rsid w:val="00943B65"/>
    <w:rsid w:val="00943B82"/>
    <w:rsid w:val="00943F65"/>
    <w:rsid w:val="00943F6F"/>
    <w:rsid w:val="00943FCA"/>
    <w:rsid w:val="00943FFA"/>
    <w:rsid w:val="00944854"/>
    <w:rsid w:val="00944E9F"/>
    <w:rsid w:val="00944F90"/>
    <w:rsid w:val="009455A6"/>
    <w:rsid w:val="0094567C"/>
    <w:rsid w:val="0094576C"/>
    <w:rsid w:val="009457E9"/>
    <w:rsid w:val="0094582B"/>
    <w:rsid w:val="009459B7"/>
    <w:rsid w:val="00945A7B"/>
    <w:rsid w:val="00945B77"/>
    <w:rsid w:val="00945BDF"/>
    <w:rsid w:val="00945C87"/>
    <w:rsid w:val="0094633F"/>
    <w:rsid w:val="009465A7"/>
    <w:rsid w:val="0094671B"/>
    <w:rsid w:val="0094689F"/>
    <w:rsid w:val="00946EAD"/>
    <w:rsid w:val="00946EF3"/>
    <w:rsid w:val="009470C1"/>
    <w:rsid w:val="009473B5"/>
    <w:rsid w:val="009473D4"/>
    <w:rsid w:val="0094758C"/>
    <w:rsid w:val="009475F8"/>
    <w:rsid w:val="009478E3"/>
    <w:rsid w:val="009478F9"/>
    <w:rsid w:val="00947C4F"/>
    <w:rsid w:val="00947D0D"/>
    <w:rsid w:val="00947E0C"/>
    <w:rsid w:val="00947F88"/>
    <w:rsid w:val="00950163"/>
    <w:rsid w:val="00950459"/>
    <w:rsid w:val="0095048F"/>
    <w:rsid w:val="00950611"/>
    <w:rsid w:val="009509D5"/>
    <w:rsid w:val="00950A37"/>
    <w:rsid w:val="00950AE8"/>
    <w:rsid w:val="00950B82"/>
    <w:rsid w:val="00950BF7"/>
    <w:rsid w:val="00950DA9"/>
    <w:rsid w:val="0095109A"/>
    <w:rsid w:val="00951220"/>
    <w:rsid w:val="0095141F"/>
    <w:rsid w:val="00951580"/>
    <w:rsid w:val="009515B0"/>
    <w:rsid w:val="009516E1"/>
    <w:rsid w:val="00951806"/>
    <w:rsid w:val="00951875"/>
    <w:rsid w:val="00951993"/>
    <w:rsid w:val="00951A8F"/>
    <w:rsid w:val="00951B69"/>
    <w:rsid w:val="00951EDF"/>
    <w:rsid w:val="00951FD1"/>
    <w:rsid w:val="0095215F"/>
    <w:rsid w:val="009523C9"/>
    <w:rsid w:val="0095244E"/>
    <w:rsid w:val="009524F3"/>
    <w:rsid w:val="0095251C"/>
    <w:rsid w:val="0095261F"/>
    <w:rsid w:val="00952651"/>
    <w:rsid w:val="00952909"/>
    <w:rsid w:val="00952BAB"/>
    <w:rsid w:val="00952D8B"/>
    <w:rsid w:val="00952F9A"/>
    <w:rsid w:val="00953043"/>
    <w:rsid w:val="00953622"/>
    <w:rsid w:val="0095368D"/>
    <w:rsid w:val="009537F9"/>
    <w:rsid w:val="009538E6"/>
    <w:rsid w:val="0095397C"/>
    <w:rsid w:val="00953D1A"/>
    <w:rsid w:val="00953E0B"/>
    <w:rsid w:val="00953F2D"/>
    <w:rsid w:val="009540E2"/>
    <w:rsid w:val="009540F9"/>
    <w:rsid w:val="0095417A"/>
    <w:rsid w:val="00954231"/>
    <w:rsid w:val="009544D4"/>
    <w:rsid w:val="009547D7"/>
    <w:rsid w:val="00954942"/>
    <w:rsid w:val="00954987"/>
    <w:rsid w:val="00954B23"/>
    <w:rsid w:val="00954B43"/>
    <w:rsid w:val="00954EEC"/>
    <w:rsid w:val="00955423"/>
    <w:rsid w:val="009555A2"/>
    <w:rsid w:val="0095572C"/>
    <w:rsid w:val="009558E6"/>
    <w:rsid w:val="00955A2D"/>
    <w:rsid w:val="00955BE3"/>
    <w:rsid w:val="00955E61"/>
    <w:rsid w:val="00955F6F"/>
    <w:rsid w:val="009560CB"/>
    <w:rsid w:val="009563CD"/>
    <w:rsid w:val="00956431"/>
    <w:rsid w:val="0095668B"/>
    <w:rsid w:val="00956A65"/>
    <w:rsid w:val="00956C6C"/>
    <w:rsid w:val="00956D81"/>
    <w:rsid w:val="009572CF"/>
    <w:rsid w:val="00957528"/>
    <w:rsid w:val="00957641"/>
    <w:rsid w:val="0095777A"/>
    <w:rsid w:val="009577E0"/>
    <w:rsid w:val="00957B12"/>
    <w:rsid w:val="00957B55"/>
    <w:rsid w:val="00957D4C"/>
    <w:rsid w:val="0096065D"/>
    <w:rsid w:val="00960E2B"/>
    <w:rsid w:val="00960EEE"/>
    <w:rsid w:val="00960F52"/>
    <w:rsid w:val="0096117E"/>
    <w:rsid w:val="009614C4"/>
    <w:rsid w:val="009618B4"/>
    <w:rsid w:val="009618B8"/>
    <w:rsid w:val="00961FC5"/>
    <w:rsid w:val="00962182"/>
    <w:rsid w:val="009622C8"/>
    <w:rsid w:val="009625C4"/>
    <w:rsid w:val="00962AC7"/>
    <w:rsid w:val="00962B51"/>
    <w:rsid w:val="00962C6B"/>
    <w:rsid w:val="00962EF7"/>
    <w:rsid w:val="00962F72"/>
    <w:rsid w:val="00963046"/>
    <w:rsid w:val="0096316B"/>
    <w:rsid w:val="00963178"/>
    <w:rsid w:val="00963303"/>
    <w:rsid w:val="009633FB"/>
    <w:rsid w:val="00963534"/>
    <w:rsid w:val="009635B1"/>
    <w:rsid w:val="00963626"/>
    <w:rsid w:val="00963798"/>
    <w:rsid w:val="00963E55"/>
    <w:rsid w:val="00963E9C"/>
    <w:rsid w:val="00964136"/>
    <w:rsid w:val="009643B4"/>
    <w:rsid w:val="009644B7"/>
    <w:rsid w:val="00964677"/>
    <w:rsid w:val="0096484E"/>
    <w:rsid w:val="00964BB6"/>
    <w:rsid w:val="00964F47"/>
    <w:rsid w:val="00964FC2"/>
    <w:rsid w:val="00964FD9"/>
    <w:rsid w:val="009650D3"/>
    <w:rsid w:val="009650DC"/>
    <w:rsid w:val="00965F13"/>
    <w:rsid w:val="0096606C"/>
    <w:rsid w:val="0096642E"/>
    <w:rsid w:val="00966534"/>
    <w:rsid w:val="00966634"/>
    <w:rsid w:val="009666EA"/>
    <w:rsid w:val="00966835"/>
    <w:rsid w:val="00966AAD"/>
    <w:rsid w:val="00966BDF"/>
    <w:rsid w:val="00966C0D"/>
    <w:rsid w:val="00966FBE"/>
    <w:rsid w:val="009670D1"/>
    <w:rsid w:val="009671EF"/>
    <w:rsid w:val="009672B2"/>
    <w:rsid w:val="009677DF"/>
    <w:rsid w:val="009677F7"/>
    <w:rsid w:val="00967A70"/>
    <w:rsid w:val="00967B65"/>
    <w:rsid w:val="00967B76"/>
    <w:rsid w:val="00967DCC"/>
    <w:rsid w:val="00970105"/>
    <w:rsid w:val="00970505"/>
    <w:rsid w:val="009705D3"/>
    <w:rsid w:val="009705DE"/>
    <w:rsid w:val="009709D7"/>
    <w:rsid w:val="00970A82"/>
    <w:rsid w:val="00970B24"/>
    <w:rsid w:val="00970C69"/>
    <w:rsid w:val="00970CFB"/>
    <w:rsid w:val="00970DD1"/>
    <w:rsid w:val="00970E0B"/>
    <w:rsid w:val="00970F46"/>
    <w:rsid w:val="00970FDF"/>
    <w:rsid w:val="00971266"/>
    <w:rsid w:val="009713B2"/>
    <w:rsid w:val="00971739"/>
    <w:rsid w:val="00971987"/>
    <w:rsid w:val="009719AC"/>
    <w:rsid w:val="009719D2"/>
    <w:rsid w:val="00971BB3"/>
    <w:rsid w:val="00971CE8"/>
    <w:rsid w:val="00971E49"/>
    <w:rsid w:val="00971EA6"/>
    <w:rsid w:val="00971ECF"/>
    <w:rsid w:val="0097219F"/>
    <w:rsid w:val="00972246"/>
    <w:rsid w:val="00972296"/>
    <w:rsid w:val="009722AD"/>
    <w:rsid w:val="009722DD"/>
    <w:rsid w:val="0097231C"/>
    <w:rsid w:val="009725E1"/>
    <w:rsid w:val="0097294A"/>
    <w:rsid w:val="00972C46"/>
    <w:rsid w:val="00972CFA"/>
    <w:rsid w:val="0097315C"/>
    <w:rsid w:val="009734EC"/>
    <w:rsid w:val="00973588"/>
    <w:rsid w:val="009738E6"/>
    <w:rsid w:val="00973902"/>
    <w:rsid w:val="00973913"/>
    <w:rsid w:val="00973B1D"/>
    <w:rsid w:val="00973EB4"/>
    <w:rsid w:val="0097404E"/>
    <w:rsid w:val="00974174"/>
    <w:rsid w:val="009741CD"/>
    <w:rsid w:val="009742A2"/>
    <w:rsid w:val="009742E3"/>
    <w:rsid w:val="00974339"/>
    <w:rsid w:val="0097452A"/>
    <w:rsid w:val="009745C3"/>
    <w:rsid w:val="00974802"/>
    <w:rsid w:val="00974899"/>
    <w:rsid w:val="00974BD1"/>
    <w:rsid w:val="00974C09"/>
    <w:rsid w:val="00974DED"/>
    <w:rsid w:val="00974E02"/>
    <w:rsid w:val="0097502D"/>
    <w:rsid w:val="00975103"/>
    <w:rsid w:val="00975203"/>
    <w:rsid w:val="0097527D"/>
    <w:rsid w:val="00975346"/>
    <w:rsid w:val="00975453"/>
    <w:rsid w:val="009754F9"/>
    <w:rsid w:val="009757C8"/>
    <w:rsid w:val="00975811"/>
    <w:rsid w:val="009759E1"/>
    <w:rsid w:val="00975C13"/>
    <w:rsid w:val="00975E36"/>
    <w:rsid w:val="0097637D"/>
    <w:rsid w:val="009763BF"/>
    <w:rsid w:val="00976A3E"/>
    <w:rsid w:val="00977093"/>
    <w:rsid w:val="009773C6"/>
    <w:rsid w:val="00977477"/>
    <w:rsid w:val="00977644"/>
    <w:rsid w:val="00977AB1"/>
    <w:rsid w:val="00977CF8"/>
    <w:rsid w:val="009800BF"/>
    <w:rsid w:val="009804AD"/>
    <w:rsid w:val="00980524"/>
    <w:rsid w:val="0098056F"/>
    <w:rsid w:val="0098065B"/>
    <w:rsid w:val="0098071C"/>
    <w:rsid w:val="0098072A"/>
    <w:rsid w:val="00980740"/>
    <w:rsid w:val="00980C7D"/>
    <w:rsid w:val="00980D25"/>
    <w:rsid w:val="00980E66"/>
    <w:rsid w:val="0098131B"/>
    <w:rsid w:val="00981591"/>
    <w:rsid w:val="00981960"/>
    <w:rsid w:val="00981987"/>
    <w:rsid w:val="009819AE"/>
    <w:rsid w:val="00981B20"/>
    <w:rsid w:val="00981CC3"/>
    <w:rsid w:val="00981E5D"/>
    <w:rsid w:val="00981F79"/>
    <w:rsid w:val="00982071"/>
    <w:rsid w:val="009825E7"/>
    <w:rsid w:val="009827B6"/>
    <w:rsid w:val="009827DE"/>
    <w:rsid w:val="0098283E"/>
    <w:rsid w:val="009828B1"/>
    <w:rsid w:val="00982CBE"/>
    <w:rsid w:val="00982E68"/>
    <w:rsid w:val="00982ED9"/>
    <w:rsid w:val="00983168"/>
    <w:rsid w:val="00983265"/>
    <w:rsid w:val="009833C5"/>
    <w:rsid w:val="00983419"/>
    <w:rsid w:val="00983427"/>
    <w:rsid w:val="0098343C"/>
    <w:rsid w:val="00983460"/>
    <w:rsid w:val="00983634"/>
    <w:rsid w:val="00983A62"/>
    <w:rsid w:val="00983BBA"/>
    <w:rsid w:val="0098443D"/>
    <w:rsid w:val="00984507"/>
    <w:rsid w:val="009846AA"/>
    <w:rsid w:val="00984892"/>
    <w:rsid w:val="00984D52"/>
    <w:rsid w:val="00984EB8"/>
    <w:rsid w:val="00985091"/>
    <w:rsid w:val="0098525A"/>
    <w:rsid w:val="00985618"/>
    <w:rsid w:val="00985975"/>
    <w:rsid w:val="00985BC0"/>
    <w:rsid w:val="00985BFD"/>
    <w:rsid w:val="00985F71"/>
    <w:rsid w:val="00985FC7"/>
    <w:rsid w:val="00986327"/>
    <w:rsid w:val="00986353"/>
    <w:rsid w:val="0098638D"/>
    <w:rsid w:val="00986528"/>
    <w:rsid w:val="0098654D"/>
    <w:rsid w:val="00986642"/>
    <w:rsid w:val="009867CA"/>
    <w:rsid w:val="00986A24"/>
    <w:rsid w:val="00986CC7"/>
    <w:rsid w:val="00986E89"/>
    <w:rsid w:val="00986EBA"/>
    <w:rsid w:val="00986EBE"/>
    <w:rsid w:val="0098712F"/>
    <w:rsid w:val="0098738E"/>
    <w:rsid w:val="00987396"/>
    <w:rsid w:val="009875CA"/>
    <w:rsid w:val="009877F1"/>
    <w:rsid w:val="00987942"/>
    <w:rsid w:val="00987A84"/>
    <w:rsid w:val="00987CDD"/>
    <w:rsid w:val="00987D02"/>
    <w:rsid w:val="00987DDE"/>
    <w:rsid w:val="00987E1C"/>
    <w:rsid w:val="009900CA"/>
    <w:rsid w:val="009901C0"/>
    <w:rsid w:val="009903F7"/>
    <w:rsid w:val="009904C5"/>
    <w:rsid w:val="009905B9"/>
    <w:rsid w:val="00990906"/>
    <w:rsid w:val="00990A00"/>
    <w:rsid w:val="00990D8E"/>
    <w:rsid w:val="00990E4F"/>
    <w:rsid w:val="00990EA0"/>
    <w:rsid w:val="00990F66"/>
    <w:rsid w:val="00990F92"/>
    <w:rsid w:val="00990FD5"/>
    <w:rsid w:val="00990FF9"/>
    <w:rsid w:val="009915D8"/>
    <w:rsid w:val="00991604"/>
    <w:rsid w:val="009917BB"/>
    <w:rsid w:val="009917D5"/>
    <w:rsid w:val="009922D2"/>
    <w:rsid w:val="009923F7"/>
    <w:rsid w:val="00992538"/>
    <w:rsid w:val="0099267F"/>
    <w:rsid w:val="009926BB"/>
    <w:rsid w:val="0099297F"/>
    <w:rsid w:val="00992B96"/>
    <w:rsid w:val="00992C66"/>
    <w:rsid w:val="00992D22"/>
    <w:rsid w:val="00992D7B"/>
    <w:rsid w:val="00992FD0"/>
    <w:rsid w:val="0099303D"/>
    <w:rsid w:val="0099318D"/>
    <w:rsid w:val="009935CF"/>
    <w:rsid w:val="00993613"/>
    <w:rsid w:val="009938C4"/>
    <w:rsid w:val="0099397A"/>
    <w:rsid w:val="0099398A"/>
    <w:rsid w:val="00993A12"/>
    <w:rsid w:val="00993E5B"/>
    <w:rsid w:val="0099407E"/>
    <w:rsid w:val="00994239"/>
    <w:rsid w:val="0099425C"/>
    <w:rsid w:val="0099425F"/>
    <w:rsid w:val="009942CA"/>
    <w:rsid w:val="009943A8"/>
    <w:rsid w:val="00994461"/>
    <w:rsid w:val="0099446F"/>
    <w:rsid w:val="00994636"/>
    <w:rsid w:val="00994775"/>
    <w:rsid w:val="009947F3"/>
    <w:rsid w:val="009949C3"/>
    <w:rsid w:val="00994CA8"/>
    <w:rsid w:val="00994E7A"/>
    <w:rsid w:val="0099507C"/>
    <w:rsid w:val="00995105"/>
    <w:rsid w:val="00995209"/>
    <w:rsid w:val="009953A4"/>
    <w:rsid w:val="00995445"/>
    <w:rsid w:val="0099561B"/>
    <w:rsid w:val="0099561E"/>
    <w:rsid w:val="00995849"/>
    <w:rsid w:val="009959E2"/>
    <w:rsid w:val="00995AC5"/>
    <w:rsid w:val="00995B11"/>
    <w:rsid w:val="00995B1A"/>
    <w:rsid w:val="00995DCC"/>
    <w:rsid w:val="00995F22"/>
    <w:rsid w:val="0099637B"/>
    <w:rsid w:val="009964C4"/>
    <w:rsid w:val="0099685D"/>
    <w:rsid w:val="00996CDC"/>
    <w:rsid w:val="00996DCC"/>
    <w:rsid w:val="00997308"/>
    <w:rsid w:val="00997457"/>
    <w:rsid w:val="0099752B"/>
    <w:rsid w:val="00997ACD"/>
    <w:rsid w:val="00997C78"/>
    <w:rsid w:val="00997D33"/>
    <w:rsid w:val="00997EDB"/>
    <w:rsid w:val="009A0AFE"/>
    <w:rsid w:val="009A123E"/>
    <w:rsid w:val="009A1256"/>
    <w:rsid w:val="009A12D9"/>
    <w:rsid w:val="009A1440"/>
    <w:rsid w:val="009A1448"/>
    <w:rsid w:val="009A16FF"/>
    <w:rsid w:val="009A1752"/>
    <w:rsid w:val="009A19C6"/>
    <w:rsid w:val="009A1AD3"/>
    <w:rsid w:val="009A1CC6"/>
    <w:rsid w:val="009A1D79"/>
    <w:rsid w:val="009A1E5A"/>
    <w:rsid w:val="009A1F49"/>
    <w:rsid w:val="009A2262"/>
    <w:rsid w:val="009A24F8"/>
    <w:rsid w:val="009A2743"/>
    <w:rsid w:val="009A2A7A"/>
    <w:rsid w:val="009A2C5A"/>
    <w:rsid w:val="009A2DC8"/>
    <w:rsid w:val="009A2E39"/>
    <w:rsid w:val="009A2EB4"/>
    <w:rsid w:val="009A2FA4"/>
    <w:rsid w:val="009A31B6"/>
    <w:rsid w:val="009A3279"/>
    <w:rsid w:val="009A3A13"/>
    <w:rsid w:val="009A3CE9"/>
    <w:rsid w:val="009A3DF4"/>
    <w:rsid w:val="009A3E21"/>
    <w:rsid w:val="009A3E63"/>
    <w:rsid w:val="009A3EFE"/>
    <w:rsid w:val="009A3F36"/>
    <w:rsid w:val="009A4446"/>
    <w:rsid w:val="009A44ED"/>
    <w:rsid w:val="009A4602"/>
    <w:rsid w:val="009A4629"/>
    <w:rsid w:val="009A47E0"/>
    <w:rsid w:val="009A500E"/>
    <w:rsid w:val="009A569D"/>
    <w:rsid w:val="009A576C"/>
    <w:rsid w:val="009A5C0C"/>
    <w:rsid w:val="009A5C77"/>
    <w:rsid w:val="009A5CE5"/>
    <w:rsid w:val="009A5DE3"/>
    <w:rsid w:val="009A6194"/>
    <w:rsid w:val="009A631A"/>
    <w:rsid w:val="009A64CE"/>
    <w:rsid w:val="009A65E2"/>
    <w:rsid w:val="009A6614"/>
    <w:rsid w:val="009A66BA"/>
    <w:rsid w:val="009A68FF"/>
    <w:rsid w:val="009A6A67"/>
    <w:rsid w:val="009A6C02"/>
    <w:rsid w:val="009A6C1C"/>
    <w:rsid w:val="009A6F45"/>
    <w:rsid w:val="009A6F9F"/>
    <w:rsid w:val="009A707B"/>
    <w:rsid w:val="009A719F"/>
    <w:rsid w:val="009A78CA"/>
    <w:rsid w:val="009A78F8"/>
    <w:rsid w:val="009A7BD3"/>
    <w:rsid w:val="009A7D05"/>
    <w:rsid w:val="009A7D07"/>
    <w:rsid w:val="009A7EA1"/>
    <w:rsid w:val="009B056C"/>
    <w:rsid w:val="009B05C0"/>
    <w:rsid w:val="009B0662"/>
    <w:rsid w:val="009B076D"/>
    <w:rsid w:val="009B0881"/>
    <w:rsid w:val="009B08D4"/>
    <w:rsid w:val="009B0A9B"/>
    <w:rsid w:val="009B0E11"/>
    <w:rsid w:val="009B120D"/>
    <w:rsid w:val="009B16F0"/>
    <w:rsid w:val="009B182B"/>
    <w:rsid w:val="009B1A0A"/>
    <w:rsid w:val="009B1A0C"/>
    <w:rsid w:val="009B1A12"/>
    <w:rsid w:val="009B1CC9"/>
    <w:rsid w:val="009B1D1C"/>
    <w:rsid w:val="009B1EAD"/>
    <w:rsid w:val="009B1F63"/>
    <w:rsid w:val="009B1F7D"/>
    <w:rsid w:val="009B20C1"/>
    <w:rsid w:val="009B2142"/>
    <w:rsid w:val="009B2159"/>
    <w:rsid w:val="009B222A"/>
    <w:rsid w:val="009B2320"/>
    <w:rsid w:val="009B233A"/>
    <w:rsid w:val="009B248E"/>
    <w:rsid w:val="009B25C2"/>
    <w:rsid w:val="009B2716"/>
    <w:rsid w:val="009B297F"/>
    <w:rsid w:val="009B2C6F"/>
    <w:rsid w:val="009B2FF4"/>
    <w:rsid w:val="009B30F9"/>
    <w:rsid w:val="009B326B"/>
    <w:rsid w:val="009B3345"/>
    <w:rsid w:val="009B35A9"/>
    <w:rsid w:val="009B3655"/>
    <w:rsid w:val="009B3A5C"/>
    <w:rsid w:val="009B3D0E"/>
    <w:rsid w:val="009B3ECA"/>
    <w:rsid w:val="009B3F59"/>
    <w:rsid w:val="009B3FEE"/>
    <w:rsid w:val="009B44B6"/>
    <w:rsid w:val="009B46C5"/>
    <w:rsid w:val="009B4DC1"/>
    <w:rsid w:val="009B4F3C"/>
    <w:rsid w:val="009B52AC"/>
    <w:rsid w:val="009B53E4"/>
    <w:rsid w:val="009B557E"/>
    <w:rsid w:val="009B57A2"/>
    <w:rsid w:val="009B57A8"/>
    <w:rsid w:val="009B5A38"/>
    <w:rsid w:val="009B5F3C"/>
    <w:rsid w:val="009B5F67"/>
    <w:rsid w:val="009B604F"/>
    <w:rsid w:val="009B60C2"/>
    <w:rsid w:val="009B6223"/>
    <w:rsid w:val="009B66A5"/>
    <w:rsid w:val="009B66E0"/>
    <w:rsid w:val="009B67D6"/>
    <w:rsid w:val="009B69B0"/>
    <w:rsid w:val="009B6A24"/>
    <w:rsid w:val="009B6A47"/>
    <w:rsid w:val="009B6CBC"/>
    <w:rsid w:val="009B6E9C"/>
    <w:rsid w:val="009B6F94"/>
    <w:rsid w:val="009B6FDC"/>
    <w:rsid w:val="009B71B8"/>
    <w:rsid w:val="009B7493"/>
    <w:rsid w:val="009B74E1"/>
    <w:rsid w:val="009B77E4"/>
    <w:rsid w:val="009B7907"/>
    <w:rsid w:val="009B7972"/>
    <w:rsid w:val="009B7A78"/>
    <w:rsid w:val="009B7BF9"/>
    <w:rsid w:val="009B7D7A"/>
    <w:rsid w:val="009C0043"/>
    <w:rsid w:val="009C00DE"/>
    <w:rsid w:val="009C0337"/>
    <w:rsid w:val="009C03B6"/>
    <w:rsid w:val="009C060F"/>
    <w:rsid w:val="009C0803"/>
    <w:rsid w:val="009C0CF9"/>
    <w:rsid w:val="009C1385"/>
    <w:rsid w:val="009C17C2"/>
    <w:rsid w:val="009C18CD"/>
    <w:rsid w:val="009C1950"/>
    <w:rsid w:val="009C196F"/>
    <w:rsid w:val="009C197C"/>
    <w:rsid w:val="009C1DF0"/>
    <w:rsid w:val="009C209D"/>
    <w:rsid w:val="009C23DB"/>
    <w:rsid w:val="009C2533"/>
    <w:rsid w:val="009C2582"/>
    <w:rsid w:val="009C2BE5"/>
    <w:rsid w:val="009C2C1D"/>
    <w:rsid w:val="009C310C"/>
    <w:rsid w:val="009C31C6"/>
    <w:rsid w:val="009C3255"/>
    <w:rsid w:val="009C33E3"/>
    <w:rsid w:val="009C3416"/>
    <w:rsid w:val="009C3524"/>
    <w:rsid w:val="009C3632"/>
    <w:rsid w:val="009C38D6"/>
    <w:rsid w:val="009C3A2C"/>
    <w:rsid w:val="009C3A63"/>
    <w:rsid w:val="009C3B0F"/>
    <w:rsid w:val="009C3DDF"/>
    <w:rsid w:val="009C3F32"/>
    <w:rsid w:val="009C40F3"/>
    <w:rsid w:val="009C413A"/>
    <w:rsid w:val="009C414D"/>
    <w:rsid w:val="009C4155"/>
    <w:rsid w:val="009C42C5"/>
    <w:rsid w:val="009C437A"/>
    <w:rsid w:val="009C450D"/>
    <w:rsid w:val="009C47A6"/>
    <w:rsid w:val="009C48D1"/>
    <w:rsid w:val="009C4B3F"/>
    <w:rsid w:val="009C4B5B"/>
    <w:rsid w:val="009C4C75"/>
    <w:rsid w:val="009C4E22"/>
    <w:rsid w:val="009C52B1"/>
    <w:rsid w:val="009C54E4"/>
    <w:rsid w:val="009C56CB"/>
    <w:rsid w:val="009C5837"/>
    <w:rsid w:val="009C59A7"/>
    <w:rsid w:val="009C5B09"/>
    <w:rsid w:val="009C5B8A"/>
    <w:rsid w:val="009C5C95"/>
    <w:rsid w:val="009C5E69"/>
    <w:rsid w:val="009C634B"/>
    <w:rsid w:val="009C63AC"/>
    <w:rsid w:val="009C658A"/>
    <w:rsid w:val="009C6719"/>
    <w:rsid w:val="009C6797"/>
    <w:rsid w:val="009C6A5C"/>
    <w:rsid w:val="009C6C93"/>
    <w:rsid w:val="009C6DD7"/>
    <w:rsid w:val="009C6E0C"/>
    <w:rsid w:val="009C7067"/>
    <w:rsid w:val="009C70BE"/>
    <w:rsid w:val="009C7363"/>
    <w:rsid w:val="009C73F1"/>
    <w:rsid w:val="009C7681"/>
    <w:rsid w:val="009C772E"/>
    <w:rsid w:val="009C7855"/>
    <w:rsid w:val="009C7FBC"/>
    <w:rsid w:val="009D016C"/>
    <w:rsid w:val="009D028B"/>
    <w:rsid w:val="009D02FD"/>
    <w:rsid w:val="009D04EA"/>
    <w:rsid w:val="009D0738"/>
    <w:rsid w:val="009D079F"/>
    <w:rsid w:val="009D08F3"/>
    <w:rsid w:val="009D09D4"/>
    <w:rsid w:val="009D0A88"/>
    <w:rsid w:val="009D0D54"/>
    <w:rsid w:val="009D0DFE"/>
    <w:rsid w:val="009D1246"/>
    <w:rsid w:val="009D1541"/>
    <w:rsid w:val="009D1A42"/>
    <w:rsid w:val="009D1A7B"/>
    <w:rsid w:val="009D1AA6"/>
    <w:rsid w:val="009D1CC5"/>
    <w:rsid w:val="009D1EB9"/>
    <w:rsid w:val="009D1FA4"/>
    <w:rsid w:val="009D1FEE"/>
    <w:rsid w:val="009D20CB"/>
    <w:rsid w:val="009D2147"/>
    <w:rsid w:val="009D21EB"/>
    <w:rsid w:val="009D2250"/>
    <w:rsid w:val="009D237C"/>
    <w:rsid w:val="009D23A8"/>
    <w:rsid w:val="009D25A2"/>
    <w:rsid w:val="009D2747"/>
    <w:rsid w:val="009D2789"/>
    <w:rsid w:val="009D2860"/>
    <w:rsid w:val="009D299C"/>
    <w:rsid w:val="009D2B67"/>
    <w:rsid w:val="009D300F"/>
    <w:rsid w:val="009D307A"/>
    <w:rsid w:val="009D312C"/>
    <w:rsid w:val="009D333A"/>
    <w:rsid w:val="009D343F"/>
    <w:rsid w:val="009D3927"/>
    <w:rsid w:val="009D39D5"/>
    <w:rsid w:val="009D39E0"/>
    <w:rsid w:val="009D3C5E"/>
    <w:rsid w:val="009D3E91"/>
    <w:rsid w:val="009D4106"/>
    <w:rsid w:val="009D4220"/>
    <w:rsid w:val="009D454E"/>
    <w:rsid w:val="009D455D"/>
    <w:rsid w:val="009D4690"/>
    <w:rsid w:val="009D4705"/>
    <w:rsid w:val="009D47A9"/>
    <w:rsid w:val="009D480F"/>
    <w:rsid w:val="009D48DF"/>
    <w:rsid w:val="009D4ABB"/>
    <w:rsid w:val="009D4B19"/>
    <w:rsid w:val="009D4C92"/>
    <w:rsid w:val="009D4E04"/>
    <w:rsid w:val="009D4E83"/>
    <w:rsid w:val="009D5048"/>
    <w:rsid w:val="009D524B"/>
    <w:rsid w:val="009D5489"/>
    <w:rsid w:val="009D569B"/>
    <w:rsid w:val="009D574C"/>
    <w:rsid w:val="009D5784"/>
    <w:rsid w:val="009D5CFA"/>
    <w:rsid w:val="009D5D99"/>
    <w:rsid w:val="009D5E63"/>
    <w:rsid w:val="009D5E86"/>
    <w:rsid w:val="009D6122"/>
    <w:rsid w:val="009D653E"/>
    <w:rsid w:val="009D67B9"/>
    <w:rsid w:val="009D67E0"/>
    <w:rsid w:val="009D67FD"/>
    <w:rsid w:val="009D68A9"/>
    <w:rsid w:val="009D6E44"/>
    <w:rsid w:val="009D6F6C"/>
    <w:rsid w:val="009D6FC1"/>
    <w:rsid w:val="009D725B"/>
    <w:rsid w:val="009D7399"/>
    <w:rsid w:val="009D74B4"/>
    <w:rsid w:val="009D757B"/>
    <w:rsid w:val="009D7589"/>
    <w:rsid w:val="009D7670"/>
    <w:rsid w:val="009D76E0"/>
    <w:rsid w:val="009D77DC"/>
    <w:rsid w:val="009D7DB1"/>
    <w:rsid w:val="009D7E33"/>
    <w:rsid w:val="009D7E3E"/>
    <w:rsid w:val="009D7F2B"/>
    <w:rsid w:val="009E00C0"/>
    <w:rsid w:val="009E013D"/>
    <w:rsid w:val="009E07CD"/>
    <w:rsid w:val="009E0810"/>
    <w:rsid w:val="009E09D0"/>
    <w:rsid w:val="009E0ABA"/>
    <w:rsid w:val="009E0E71"/>
    <w:rsid w:val="009E0FAC"/>
    <w:rsid w:val="009E0FF0"/>
    <w:rsid w:val="009E11BC"/>
    <w:rsid w:val="009E1219"/>
    <w:rsid w:val="009E1480"/>
    <w:rsid w:val="009E14A0"/>
    <w:rsid w:val="009E1617"/>
    <w:rsid w:val="009E17A3"/>
    <w:rsid w:val="009E17E9"/>
    <w:rsid w:val="009E185E"/>
    <w:rsid w:val="009E1ADF"/>
    <w:rsid w:val="009E1E1B"/>
    <w:rsid w:val="009E2107"/>
    <w:rsid w:val="009E2948"/>
    <w:rsid w:val="009E2D16"/>
    <w:rsid w:val="009E2DC1"/>
    <w:rsid w:val="009E3038"/>
    <w:rsid w:val="009E3182"/>
    <w:rsid w:val="009E3637"/>
    <w:rsid w:val="009E38D1"/>
    <w:rsid w:val="009E3B2F"/>
    <w:rsid w:val="009E3FF3"/>
    <w:rsid w:val="009E41A3"/>
    <w:rsid w:val="009E4205"/>
    <w:rsid w:val="009E4292"/>
    <w:rsid w:val="009E42E5"/>
    <w:rsid w:val="009E45F2"/>
    <w:rsid w:val="009E4681"/>
    <w:rsid w:val="009E4AEE"/>
    <w:rsid w:val="009E4DD1"/>
    <w:rsid w:val="009E4E22"/>
    <w:rsid w:val="009E54FC"/>
    <w:rsid w:val="009E5756"/>
    <w:rsid w:val="009E57D7"/>
    <w:rsid w:val="009E57F9"/>
    <w:rsid w:val="009E58AF"/>
    <w:rsid w:val="009E5C28"/>
    <w:rsid w:val="009E5DEA"/>
    <w:rsid w:val="009E5E0F"/>
    <w:rsid w:val="009E60CB"/>
    <w:rsid w:val="009E6326"/>
    <w:rsid w:val="009E6438"/>
    <w:rsid w:val="009E651C"/>
    <w:rsid w:val="009E6729"/>
    <w:rsid w:val="009E6A2F"/>
    <w:rsid w:val="009E6BC1"/>
    <w:rsid w:val="009E6CCE"/>
    <w:rsid w:val="009E6FC5"/>
    <w:rsid w:val="009E7017"/>
    <w:rsid w:val="009E705A"/>
    <w:rsid w:val="009E734F"/>
    <w:rsid w:val="009E73FE"/>
    <w:rsid w:val="009E77FF"/>
    <w:rsid w:val="009E783C"/>
    <w:rsid w:val="009E78EF"/>
    <w:rsid w:val="009E7B35"/>
    <w:rsid w:val="009E7D89"/>
    <w:rsid w:val="009F021B"/>
    <w:rsid w:val="009F04A2"/>
    <w:rsid w:val="009F0C08"/>
    <w:rsid w:val="009F0DC6"/>
    <w:rsid w:val="009F0EDA"/>
    <w:rsid w:val="009F0F77"/>
    <w:rsid w:val="009F1112"/>
    <w:rsid w:val="009F14EF"/>
    <w:rsid w:val="009F1527"/>
    <w:rsid w:val="009F1592"/>
    <w:rsid w:val="009F16EB"/>
    <w:rsid w:val="009F17BE"/>
    <w:rsid w:val="009F1815"/>
    <w:rsid w:val="009F1997"/>
    <w:rsid w:val="009F19FF"/>
    <w:rsid w:val="009F1A29"/>
    <w:rsid w:val="009F1BAD"/>
    <w:rsid w:val="009F1D0A"/>
    <w:rsid w:val="009F1DE2"/>
    <w:rsid w:val="009F22D1"/>
    <w:rsid w:val="009F250C"/>
    <w:rsid w:val="009F2542"/>
    <w:rsid w:val="009F2882"/>
    <w:rsid w:val="009F2918"/>
    <w:rsid w:val="009F294C"/>
    <w:rsid w:val="009F2A51"/>
    <w:rsid w:val="009F2BCB"/>
    <w:rsid w:val="009F2C02"/>
    <w:rsid w:val="009F2C41"/>
    <w:rsid w:val="009F2E1C"/>
    <w:rsid w:val="009F3019"/>
    <w:rsid w:val="009F33AD"/>
    <w:rsid w:val="009F33D5"/>
    <w:rsid w:val="009F363D"/>
    <w:rsid w:val="009F366F"/>
    <w:rsid w:val="009F3A97"/>
    <w:rsid w:val="009F3D92"/>
    <w:rsid w:val="009F4627"/>
    <w:rsid w:val="009F465D"/>
    <w:rsid w:val="009F4957"/>
    <w:rsid w:val="009F4DA3"/>
    <w:rsid w:val="009F53CE"/>
    <w:rsid w:val="009F5498"/>
    <w:rsid w:val="009F54A0"/>
    <w:rsid w:val="009F55A3"/>
    <w:rsid w:val="009F566B"/>
    <w:rsid w:val="009F5849"/>
    <w:rsid w:val="009F5BA9"/>
    <w:rsid w:val="009F5D84"/>
    <w:rsid w:val="009F5DF6"/>
    <w:rsid w:val="009F5F0A"/>
    <w:rsid w:val="009F5FED"/>
    <w:rsid w:val="009F628A"/>
    <w:rsid w:val="009F65AE"/>
    <w:rsid w:val="009F65DB"/>
    <w:rsid w:val="009F6613"/>
    <w:rsid w:val="009F6614"/>
    <w:rsid w:val="009F683A"/>
    <w:rsid w:val="009F687F"/>
    <w:rsid w:val="009F6B17"/>
    <w:rsid w:val="009F6E5F"/>
    <w:rsid w:val="009F6F1E"/>
    <w:rsid w:val="009F70C2"/>
    <w:rsid w:val="009F72BA"/>
    <w:rsid w:val="009F7881"/>
    <w:rsid w:val="009F79D8"/>
    <w:rsid w:val="009F7A5E"/>
    <w:rsid w:val="009F7ACD"/>
    <w:rsid w:val="009F7AE9"/>
    <w:rsid w:val="009F7B31"/>
    <w:rsid w:val="00A002B5"/>
    <w:rsid w:val="00A0030B"/>
    <w:rsid w:val="00A00958"/>
    <w:rsid w:val="00A00E17"/>
    <w:rsid w:val="00A00EDD"/>
    <w:rsid w:val="00A0105D"/>
    <w:rsid w:val="00A012C7"/>
    <w:rsid w:val="00A01666"/>
    <w:rsid w:val="00A017E4"/>
    <w:rsid w:val="00A01812"/>
    <w:rsid w:val="00A018BD"/>
    <w:rsid w:val="00A01D97"/>
    <w:rsid w:val="00A01F66"/>
    <w:rsid w:val="00A022F4"/>
    <w:rsid w:val="00A0236E"/>
    <w:rsid w:val="00A023DD"/>
    <w:rsid w:val="00A028B0"/>
    <w:rsid w:val="00A0311E"/>
    <w:rsid w:val="00A031AE"/>
    <w:rsid w:val="00A031C4"/>
    <w:rsid w:val="00A031D0"/>
    <w:rsid w:val="00A0320F"/>
    <w:rsid w:val="00A03269"/>
    <w:rsid w:val="00A03308"/>
    <w:rsid w:val="00A037B5"/>
    <w:rsid w:val="00A03900"/>
    <w:rsid w:val="00A03963"/>
    <w:rsid w:val="00A03B70"/>
    <w:rsid w:val="00A03B75"/>
    <w:rsid w:val="00A03C25"/>
    <w:rsid w:val="00A03D49"/>
    <w:rsid w:val="00A03E82"/>
    <w:rsid w:val="00A0425B"/>
    <w:rsid w:val="00A04316"/>
    <w:rsid w:val="00A04434"/>
    <w:rsid w:val="00A047DF"/>
    <w:rsid w:val="00A047EF"/>
    <w:rsid w:val="00A04CBF"/>
    <w:rsid w:val="00A053E8"/>
    <w:rsid w:val="00A0556F"/>
    <w:rsid w:val="00A055F0"/>
    <w:rsid w:val="00A0561D"/>
    <w:rsid w:val="00A05BD8"/>
    <w:rsid w:val="00A05D1A"/>
    <w:rsid w:val="00A05FE3"/>
    <w:rsid w:val="00A0623D"/>
    <w:rsid w:val="00A064C1"/>
    <w:rsid w:val="00A069CC"/>
    <w:rsid w:val="00A06A87"/>
    <w:rsid w:val="00A06D04"/>
    <w:rsid w:val="00A06FD9"/>
    <w:rsid w:val="00A0723F"/>
    <w:rsid w:val="00A07253"/>
    <w:rsid w:val="00A07384"/>
    <w:rsid w:val="00A0738A"/>
    <w:rsid w:val="00A074B9"/>
    <w:rsid w:val="00A0750B"/>
    <w:rsid w:val="00A0750E"/>
    <w:rsid w:val="00A07513"/>
    <w:rsid w:val="00A078E2"/>
    <w:rsid w:val="00A079D1"/>
    <w:rsid w:val="00A07D79"/>
    <w:rsid w:val="00A07FED"/>
    <w:rsid w:val="00A10314"/>
    <w:rsid w:val="00A10741"/>
    <w:rsid w:val="00A1084A"/>
    <w:rsid w:val="00A109C0"/>
    <w:rsid w:val="00A10DF1"/>
    <w:rsid w:val="00A11433"/>
    <w:rsid w:val="00A115E5"/>
    <w:rsid w:val="00A1169C"/>
    <w:rsid w:val="00A117AC"/>
    <w:rsid w:val="00A11A5C"/>
    <w:rsid w:val="00A11A8E"/>
    <w:rsid w:val="00A11CAC"/>
    <w:rsid w:val="00A11CCF"/>
    <w:rsid w:val="00A120AB"/>
    <w:rsid w:val="00A120DA"/>
    <w:rsid w:val="00A121C5"/>
    <w:rsid w:val="00A122BB"/>
    <w:rsid w:val="00A1238F"/>
    <w:rsid w:val="00A123EC"/>
    <w:rsid w:val="00A12527"/>
    <w:rsid w:val="00A12736"/>
    <w:rsid w:val="00A12965"/>
    <w:rsid w:val="00A12C45"/>
    <w:rsid w:val="00A12F71"/>
    <w:rsid w:val="00A13108"/>
    <w:rsid w:val="00A13119"/>
    <w:rsid w:val="00A13301"/>
    <w:rsid w:val="00A13350"/>
    <w:rsid w:val="00A134B0"/>
    <w:rsid w:val="00A135FF"/>
    <w:rsid w:val="00A13795"/>
    <w:rsid w:val="00A13AF2"/>
    <w:rsid w:val="00A13B97"/>
    <w:rsid w:val="00A13CD1"/>
    <w:rsid w:val="00A13E93"/>
    <w:rsid w:val="00A13F19"/>
    <w:rsid w:val="00A13FF1"/>
    <w:rsid w:val="00A14174"/>
    <w:rsid w:val="00A14359"/>
    <w:rsid w:val="00A1446C"/>
    <w:rsid w:val="00A148E0"/>
    <w:rsid w:val="00A14BB8"/>
    <w:rsid w:val="00A14D75"/>
    <w:rsid w:val="00A15244"/>
    <w:rsid w:val="00A15246"/>
    <w:rsid w:val="00A15352"/>
    <w:rsid w:val="00A1557D"/>
    <w:rsid w:val="00A1567B"/>
    <w:rsid w:val="00A15731"/>
    <w:rsid w:val="00A15750"/>
    <w:rsid w:val="00A15948"/>
    <w:rsid w:val="00A1622C"/>
    <w:rsid w:val="00A16381"/>
    <w:rsid w:val="00A165E3"/>
    <w:rsid w:val="00A167BF"/>
    <w:rsid w:val="00A168BA"/>
    <w:rsid w:val="00A16995"/>
    <w:rsid w:val="00A16B02"/>
    <w:rsid w:val="00A16DCB"/>
    <w:rsid w:val="00A16DFC"/>
    <w:rsid w:val="00A16F47"/>
    <w:rsid w:val="00A16FBA"/>
    <w:rsid w:val="00A17212"/>
    <w:rsid w:val="00A174BF"/>
    <w:rsid w:val="00A175DA"/>
    <w:rsid w:val="00A1787D"/>
    <w:rsid w:val="00A1788E"/>
    <w:rsid w:val="00A178CC"/>
    <w:rsid w:val="00A179DD"/>
    <w:rsid w:val="00A17E8A"/>
    <w:rsid w:val="00A1F8E7"/>
    <w:rsid w:val="00A20293"/>
    <w:rsid w:val="00A20347"/>
    <w:rsid w:val="00A20785"/>
    <w:rsid w:val="00A20917"/>
    <w:rsid w:val="00A2096C"/>
    <w:rsid w:val="00A20981"/>
    <w:rsid w:val="00A209EF"/>
    <w:rsid w:val="00A20A6A"/>
    <w:rsid w:val="00A20B63"/>
    <w:rsid w:val="00A20CA2"/>
    <w:rsid w:val="00A20EFE"/>
    <w:rsid w:val="00A212DB"/>
    <w:rsid w:val="00A21866"/>
    <w:rsid w:val="00A21875"/>
    <w:rsid w:val="00A21B6F"/>
    <w:rsid w:val="00A22133"/>
    <w:rsid w:val="00A221C8"/>
    <w:rsid w:val="00A223EA"/>
    <w:rsid w:val="00A224B9"/>
    <w:rsid w:val="00A224DA"/>
    <w:rsid w:val="00A22717"/>
    <w:rsid w:val="00A22771"/>
    <w:rsid w:val="00A22964"/>
    <w:rsid w:val="00A2297A"/>
    <w:rsid w:val="00A22B3B"/>
    <w:rsid w:val="00A22CF0"/>
    <w:rsid w:val="00A22FA9"/>
    <w:rsid w:val="00A2319C"/>
    <w:rsid w:val="00A231E1"/>
    <w:rsid w:val="00A23212"/>
    <w:rsid w:val="00A235C4"/>
    <w:rsid w:val="00A238B5"/>
    <w:rsid w:val="00A23E1B"/>
    <w:rsid w:val="00A24002"/>
    <w:rsid w:val="00A25071"/>
    <w:rsid w:val="00A2539B"/>
    <w:rsid w:val="00A253AA"/>
    <w:rsid w:val="00A25426"/>
    <w:rsid w:val="00A2544E"/>
    <w:rsid w:val="00A255D8"/>
    <w:rsid w:val="00A25809"/>
    <w:rsid w:val="00A259C4"/>
    <w:rsid w:val="00A259C7"/>
    <w:rsid w:val="00A25BD4"/>
    <w:rsid w:val="00A26873"/>
    <w:rsid w:val="00A2687C"/>
    <w:rsid w:val="00A26C08"/>
    <w:rsid w:val="00A271AC"/>
    <w:rsid w:val="00A271EE"/>
    <w:rsid w:val="00A2724A"/>
    <w:rsid w:val="00A27295"/>
    <w:rsid w:val="00A27419"/>
    <w:rsid w:val="00A2746C"/>
    <w:rsid w:val="00A274C0"/>
    <w:rsid w:val="00A2755F"/>
    <w:rsid w:val="00A2757E"/>
    <w:rsid w:val="00A277C7"/>
    <w:rsid w:val="00A2781F"/>
    <w:rsid w:val="00A27982"/>
    <w:rsid w:val="00A279D6"/>
    <w:rsid w:val="00A27B51"/>
    <w:rsid w:val="00A27BD1"/>
    <w:rsid w:val="00A27D21"/>
    <w:rsid w:val="00A2FE4F"/>
    <w:rsid w:val="00A300AD"/>
    <w:rsid w:val="00A30134"/>
    <w:rsid w:val="00A301A5"/>
    <w:rsid w:val="00A30568"/>
    <w:rsid w:val="00A30634"/>
    <w:rsid w:val="00A3080B"/>
    <w:rsid w:val="00A30B44"/>
    <w:rsid w:val="00A30C50"/>
    <w:rsid w:val="00A30DD9"/>
    <w:rsid w:val="00A30E15"/>
    <w:rsid w:val="00A310B0"/>
    <w:rsid w:val="00A3113F"/>
    <w:rsid w:val="00A3115F"/>
    <w:rsid w:val="00A316EB"/>
    <w:rsid w:val="00A319FC"/>
    <w:rsid w:val="00A31AE1"/>
    <w:rsid w:val="00A3200E"/>
    <w:rsid w:val="00A320A6"/>
    <w:rsid w:val="00A3287E"/>
    <w:rsid w:val="00A329ED"/>
    <w:rsid w:val="00A32AFA"/>
    <w:rsid w:val="00A32C32"/>
    <w:rsid w:val="00A32C43"/>
    <w:rsid w:val="00A32C55"/>
    <w:rsid w:val="00A32DF6"/>
    <w:rsid w:val="00A33046"/>
    <w:rsid w:val="00A331C9"/>
    <w:rsid w:val="00A331F7"/>
    <w:rsid w:val="00A332B5"/>
    <w:rsid w:val="00A333F2"/>
    <w:rsid w:val="00A334DA"/>
    <w:rsid w:val="00A334E8"/>
    <w:rsid w:val="00A3354A"/>
    <w:rsid w:val="00A33563"/>
    <w:rsid w:val="00A33C65"/>
    <w:rsid w:val="00A33EBF"/>
    <w:rsid w:val="00A33EDF"/>
    <w:rsid w:val="00A342C9"/>
    <w:rsid w:val="00A3486A"/>
    <w:rsid w:val="00A34884"/>
    <w:rsid w:val="00A349AF"/>
    <w:rsid w:val="00A34A3C"/>
    <w:rsid w:val="00A34B86"/>
    <w:rsid w:val="00A34E96"/>
    <w:rsid w:val="00A34FE9"/>
    <w:rsid w:val="00A350D9"/>
    <w:rsid w:val="00A354C8"/>
    <w:rsid w:val="00A355A1"/>
    <w:rsid w:val="00A3563E"/>
    <w:rsid w:val="00A35667"/>
    <w:rsid w:val="00A356FC"/>
    <w:rsid w:val="00A35987"/>
    <w:rsid w:val="00A359D4"/>
    <w:rsid w:val="00A35CEA"/>
    <w:rsid w:val="00A35E50"/>
    <w:rsid w:val="00A35EAC"/>
    <w:rsid w:val="00A36043"/>
    <w:rsid w:val="00A367B3"/>
    <w:rsid w:val="00A367F3"/>
    <w:rsid w:val="00A36A14"/>
    <w:rsid w:val="00A36B2B"/>
    <w:rsid w:val="00A36B4F"/>
    <w:rsid w:val="00A36C72"/>
    <w:rsid w:val="00A36D7B"/>
    <w:rsid w:val="00A3705E"/>
    <w:rsid w:val="00A37314"/>
    <w:rsid w:val="00A37322"/>
    <w:rsid w:val="00A37602"/>
    <w:rsid w:val="00A3766E"/>
    <w:rsid w:val="00A378E4"/>
    <w:rsid w:val="00A37927"/>
    <w:rsid w:val="00A37BC9"/>
    <w:rsid w:val="00A37E9D"/>
    <w:rsid w:val="00A37E9F"/>
    <w:rsid w:val="00A4003B"/>
    <w:rsid w:val="00A40277"/>
    <w:rsid w:val="00A405B8"/>
    <w:rsid w:val="00A4062B"/>
    <w:rsid w:val="00A407B6"/>
    <w:rsid w:val="00A4094F"/>
    <w:rsid w:val="00A40AA5"/>
    <w:rsid w:val="00A40B29"/>
    <w:rsid w:val="00A40BA4"/>
    <w:rsid w:val="00A40D99"/>
    <w:rsid w:val="00A40E1E"/>
    <w:rsid w:val="00A40F60"/>
    <w:rsid w:val="00A41170"/>
    <w:rsid w:val="00A4129A"/>
    <w:rsid w:val="00A41424"/>
    <w:rsid w:val="00A4145D"/>
    <w:rsid w:val="00A4149E"/>
    <w:rsid w:val="00A414AE"/>
    <w:rsid w:val="00A41629"/>
    <w:rsid w:val="00A4167D"/>
    <w:rsid w:val="00A41761"/>
    <w:rsid w:val="00A41799"/>
    <w:rsid w:val="00A41832"/>
    <w:rsid w:val="00A41873"/>
    <w:rsid w:val="00A4188C"/>
    <w:rsid w:val="00A419EA"/>
    <w:rsid w:val="00A41BBE"/>
    <w:rsid w:val="00A41BF3"/>
    <w:rsid w:val="00A41D52"/>
    <w:rsid w:val="00A41E53"/>
    <w:rsid w:val="00A41EC6"/>
    <w:rsid w:val="00A4201D"/>
    <w:rsid w:val="00A42215"/>
    <w:rsid w:val="00A4226B"/>
    <w:rsid w:val="00A423BC"/>
    <w:rsid w:val="00A42574"/>
    <w:rsid w:val="00A4264D"/>
    <w:rsid w:val="00A42AF5"/>
    <w:rsid w:val="00A42CAD"/>
    <w:rsid w:val="00A430DE"/>
    <w:rsid w:val="00A43334"/>
    <w:rsid w:val="00A434D5"/>
    <w:rsid w:val="00A438CB"/>
    <w:rsid w:val="00A4396E"/>
    <w:rsid w:val="00A4398F"/>
    <w:rsid w:val="00A43C3E"/>
    <w:rsid w:val="00A43C7B"/>
    <w:rsid w:val="00A43CAB"/>
    <w:rsid w:val="00A43E79"/>
    <w:rsid w:val="00A43E98"/>
    <w:rsid w:val="00A440FC"/>
    <w:rsid w:val="00A44394"/>
    <w:rsid w:val="00A443F0"/>
    <w:rsid w:val="00A44458"/>
    <w:rsid w:val="00A4453E"/>
    <w:rsid w:val="00A4463E"/>
    <w:rsid w:val="00A4486E"/>
    <w:rsid w:val="00A44983"/>
    <w:rsid w:val="00A4499E"/>
    <w:rsid w:val="00A44A51"/>
    <w:rsid w:val="00A44ADE"/>
    <w:rsid w:val="00A45280"/>
    <w:rsid w:val="00A45389"/>
    <w:rsid w:val="00A455E6"/>
    <w:rsid w:val="00A4589C"/>
    <w:rsid w:val="00A45A8F"/>
    <w:rsid w:val="00A45C41"/>
    <w:rsid w:val="00A45CB6"/>
    <w:rsid w:val="00A45EF3"/>
    <w:rsid w:val="00A460F8"/>
    <w:rsid w:val="00A4638D"/>
    <w:rsid w:val="00A46D98"/>
    <w:rsid w:val="00A46F08"/>
    <w:rsid w:val="00A47084"/>
    <w:rsid w:val="00A471CF"/>
    <w:rsid w:val="00A471F3"/>
    <w:rsid w:val="00A4732D"/>
    <w:rsid w:val="00A4738F"/>
    <w:rsid w:val="00A4762A"/>
    <w:rsid w:val="00A476B1"/>
    <w:rsid w:val="00A476B8"/>
    <w:rsid w:val="00A47821"/>
    <w:rsid w:val="00A479A6"/>
    <w:rsid w:val="00A47F9D"/>
    <w:rsid w:val="00A47FA0"/>
    <w:rsid w:val="00A500E3"/>
    <w:rsid w:val="00A5019F"/>
    <w:rsid w:val="00A50359"/>
    <w:rsid w:val="00A50478"/>
    <w:rsid w:val="00A50676"/>
    <w:rsid w:val="00A506B9"/>
    <w:rsid w:val="00A50907"/>
    <w:rsid w:val="00A50A8D"/>
    <w:rsid w:val="00A50B28"/>
    <w:rsid w:val="00A50C19"/>
    <w:rsid w:val="00A50F54"/>
    <w:rsid w:val="00A513BD"/>
    <w:rsid w:val="00A516FC"/>
    <w:rsid w:val="00A517C1"/>
    <w:rsid w:val="00A51882"/>
    <w:rsid w:val="00A518B3"/>
    <w:rsid w:val="00A51CBF"/>
    <w:rsid w:val="00A51ECF"/>
    <w:rsid w:val="00A51EDD"/>
    <w:rsid w:val="00A51FD4"/>
    <w:rsid w:val="00A52216"/>
    <w:rsid w:val="00A523D0"/>
    <w:rsid w:val="00A5244C"/>
    <w:rsid w:val="00A525E2"/>
    <w:rsid w:val="00A527BC"/>
    <w:rsid w:val="00A529B2"/>
    <w:rsid w:val="00A529CD"/>
    <w:rsid w:val="00A52A6F"/>
    <w:rsid w:val="00A52EC2"/>
    <w:rsid w:val="00A52F17"/>
    <w:rsid w:val="00A52F93"/>
    <w:rsid w:val="00A53120"/>
    <w:rsid w:val="00A532C1"/>
    <w:rsid w:val="00A533FB"/>
    <w:rsid w:val="00A53679"/>
    <w:rsid w:val="00A53822"/>
    <w:rsid w:val="00A5386B"/>
    <w:rsid w:val="00A53981"/>
    <w:rsid w:val="00A53F5F"/>
    <w:rsid w:val="00A54056"/>
    <w:rsid w:val="00A541FC"/>
    <w:rsid w:val="00A54618"/>
    <w:rsid w:val="00A54672"/>
    <w:rsid w:val="00A54AB7"/>
    <w:rsid w:val="00A54CED"/>
    <w:rsid w:val="00A54DA9"/>
    <w:rsid w:val="00A54EB2"/>
    <w:rsid w:val="00A54F11"/>
    <w:rsid w:val="00A5505A"/>
    <w:rsid w:val="00A5517B"/>
    <w:rsid w:val="00A551AE"/>
    <w:rsid w:val="00A55212"/>
    <w:rsid w:val="00A5525F"/>
    <w:rsid w:val="00A55450"/>
    <w:rsid w:val="00A55458"/>
    <w:rsid w:val="00A554C7"/>
    <w:rsid w:val="00A554FF"/>
    <w:rsid w:val="00A55502"/>
    <w:rsid w:val="00A55530"/>
    <w:rsid w:val="00A556E6"/>
    <w:rsid w:val="00A55D10"/>
    <w:rsid w:val="00A55E03"/>
    <w:rsid w:val="00A55F43"/>
    <w:rsid w:val="00A5618F"/>
    <w:rsid w:val="00A561A9"/>
    <w:rsid w:val="00A56340"/>
    <w:rsid w:val="00A56528"/>
    <w:rsid w:val="00A5658C"/>
    <w:rsid w:val="00A565A8"/>
    <w:rsid w:val="00A56789"/>
    <w:rsid w:val="00A56795"/>
    <w:rsid w:val="00A5679A"/>
    <w:rsid w:val="00A56842"/>
    <w:rsid w:val="00A56879"/>
    <w:rsid w:val="00A56A71"/>
    <w:rsid w:val="00A56CF4"/>
    <w:rsid w:val="00A56D8B"/>
    <w:rsid w:val="00A5770D"/>
    <w:rsid w:val="00A577A7"/>
    <w:rsid w:val="00A577B3"/>
    <w:rsid w:val="00A57856"/>
    <w:rsid w:val="00A57A0B"/>
    <w:rsid w:val="00A57A50"/>
    <w:rsid w:val="00A57D81"/>
    <w:rsid w:val="00A57ED8"/>
    <w:rsid w:val="00A57F23"/>
    <w:rsid w:val="00A57F75"/>
    <w:rsid w:val="00A601B9"/>
    <w:rsid w:val="00A603D5"/>
    <w:rsid w:val="00A605AA"/>
    <w:rsid w:val="00A60637"/>
    <w:rsid w:val="00A606EF"/>
    <w:rsid w:val="00A609D4"/>
    <w:rsid w:val="00A60B37"/>
    <w:rsid w:val="00A60B55"/>
    <w:rsid w:val="00A60CCD"/>
    <w:rsid w:val="00A60D44"/>
    <w:rsid w:val="00A60D6F"/>
    <w:rsid w:val="00A61232"/>
    <w:rsid w:val="00A61A11"/>
    <w:rsid w:val="00A62060"/>
    <w:rsid w:val="00A620F2"/>
    <w:rsid w:val="00A6226D"/>
    <w:rsid w:val="00A62289"/>
    <w:rsid w:val="00A62551"/>
    <w:rsid w:val="00A62745"/>
    <w:rsid w:val="00A62B36"/>
    <w:rsid w:val="00A62BD5"/>
    <w:rsid w:val="00A62CBD"/>
    <w:rsid w:val="00A62D18"/>
    <w:rsid w:val="00A62D6D"/>
    <w:rsid w:val="00A62EEC"/>
    <w:rsid w:val="00A6316C"/>
    <w:rsid w:val="00A6320E"/>
    <w:rsid w:val="00A633D7"/>
    <w:rsid w:val="00A63555"/>
    <w:rsid w:val="00A63A21"/>
    <w:rsid w:val="00A63AE3"/>
    <w:rsid w:val="00A63B1B"/>
    <w:rsid w:val="00A63C89"/>
    <w:rsid w:val="00A63D47"/>
    <w:rsid w:val="00A63DA8"/>
    <w:rsid w:val="00A63F93"/>
    <w:rsid w:val="00A642BB"/>
    <w:rsid w:val="00A643AF"/>
    <w:rsid w:val="00A6467F"/>
    <w:rsid w:val="00A64978"/>
    <w:rsid w:val="00A64BD7"/>
    <w:rsid w:val="00A64D6D"/>
    <w:rsid w:val="00A65093"/>
    <w:rsid w:val="00A65543"/>
    <w:rsid w:val="00A656F0"/>
    <w:rsid w:val="00A6585F"/>
    <w:rsid w:val="00A65A16"/>
    <w:rsid w:val="00A65B2A"/>
    <w:rsid w:val="00A6611A"/>
    <w:rsid w:val="00A66147"/>
    <w:rsid w:val="00A661E3"/>
    <w:rsid w:val="00A661F4"/>
    <w:rsid w:val="00A66228"/>
    <w:rsid w:val="00A662F5"/>
    <w:rsid w:val="00A66328"/>
    <w:rsid w:val="00A663FF"/>
    <w:rsid w:val="00A66647"/>
    <w:rsid w:val="00A66C82"/>
    <w:rsid w:val="00A66CDD"/>
    <w:rsid w:val="00A671C0"/>
    <w:rsid w:val="00A6734E"/>
    <w:rsid w:val="00A676B7"/>
    <w:rsid w:val="00A6777E"/>
    <w:rsid w:val="00A678D1"/>
    <w:rsid w:val="00A67B4E"/>
    <w:rsid w:val="00A67D77"/>
    <w:rsid w:val="00A67F05"/>
    <w:rsid w:val="00A67F54"/>
    <w:rsid w:val="00A70172"/>
    <w:rsid w:val="00A705A2"/>
    <w:rsid w:val="00A70814"/>
    <w:rsid w:val="00A7082E"/>
    <w:rsid w:val="00A70837"/>
    <w:rsid w:val="00A70860"/>
    <w:rsid w:val="00A70A54"/>
    <w:rsid w:val="00A70D2A"/>
    <w:rsid w:val="00A70E20"/>
    <w:rsid w:val="00A70F5D"/>
    <w:rsid w:val="00A7106A"/>
    <w:rsid w:val="00A712FA"/>
    <w:rsid w:val="00A7130A"/>
    <w:rsid w:val="00A71436"/>
    <w:rsid w:val="00A715B7"/>
    <w:rsid w:val="00A715DF"/>
    <w:rsid w:val="00A71624"/>
    <w:rsid w:val="00A716D3"/>
    <w:rsid w:val="00A71B28"/>
    <w:rsid w:val="00A71BBB"/>
    <w:rsid w:val="00A71D2F"/>
    <w:rsid w:val="00A71DFA"/>
    <w:rsid w:val="00A71E07"/>
    <w:rsid w:val="00A71EAD"/>
    <w:rsid w:val="00A71F36"/>
    <w:rsid w:val="00A7214C"/>
    <w:rsid w:val="00A72261"/>
    <w:rsid w:val="00A723E3"/>
    <w:rsid w:val="00A7289F"/>
    <w:rsid w:val="00A7298F"/>
    <w:rsid w:val="00A72AB2"/>
    <w:rsid w:val="00A72D19"/>
    <w:rsid w:val="00A72F8A"/>
    <w:rsid w:val="00A730D0"/>
    <w:rsid w:val="00A7332B"/>
    <w:rsid w:val="00A73344"/>
    <w:rsid w:val="00A736DB"/>
    <w:rsid w:val="00A73817"/>
    <w:rsid w:val="00A73980"/>
    <w:rsid w:val="00A73A90"/>
    <w:rsid w:val="00A73AAC"/>
    <w:rsid w:val="00A73B3F"/>
    <w:rsid w:val="00A73BAF"/>
    <w:rsid w:val="00A73E95"/>
    <w:rsid w:val="00A73F7A"/>
    <w:rsid w:val="00A73FA1"/>
    <w:rsid w:val="00A7427C"/>
    <w:rsid w:val="00A7443A"/>
    <w:rsid w:val="00A7449F"/>
    <w:rsid w:val="00A74631"/>
    <w:rsid w:val="00A74654"/>
    <w:rsid w:val="00A74675"/>
    <w:rsid w:val="00A7470F"/>
    <w:rsid w:val="00A747D2"/>
    <w:rsid w:val="00A7489B"/>
    <w:rsid w:val="00A748E5"/>
    <w:rsid w:val="00A74A16"/>
    <w:rsid w:val="00A74B22"/>
    <w:rsid w:val="00A74C19"/>
    <w:rsid w:val="00A74FCF"/>
    <w:rsid w:val="00A750F4"/>
    <w:rsid w:val="00A751CF"/>
    <w:rsid w:val="00A7533D"/>
    <w:rsid w:val="00A755DC"/>
    <w:rsid w:val="00A75AB4"/>
    <w:rsid w:val="00A75C7A"/>
    <w:rsid w:val="00A75C97"/>
    <w:rsid w:val="00A75D92"/>
    <w:rsid w:val="00A76285"/>
    <w:rsid w:val="00A762CD"/>
    <w:rsid w:val="00A76334"/>
    <w:rsid w:val="00A765A6"/>
    <w:rsid w:val="00A7677C"/>
    <w:rsid w:val="00A76982"/>
    <w:rsid w:val="00A76B9A"/>
    <w:rsid w:val="00A76C43"/>
    <w:rsid w:val="00A7720C"/>
    <w:rsid w:val="00A77246"/>
    <w:rsid w:val="00A772A0"/>
    <w:rsid w:val="00A77593"/>
    <w:rsid w:val="00A77C03"/>
    <w:rsid w:val="00A77D54"/>
    <w:rsid w:val="00A77EFA"/>
    <w:rsid w:val="00A77FF5"/>
    <w:rsid w:val="00A80230"/>
    <w:rsid w:val="00A802AB"/>
    <w:rsid w:val="00A802F5"/>
    <w:rsid w:val="00A802F9"/>
    <w:rsid w:val="00A802FF"/>
    <w:rsid w:val="00A803CF"/>
    <w:rsid w:val="00A80466"/>
    <w:rsid w:val="00A8057B"/>
    <w:rsid w:val="00A8066B"/>
    <w:rsid w:val="00A806C6"/>
    <w:rsid w:val="00A80C13"/>
    <w:rsid w:val="00A80FF1"/>
    <w:rsid w:val="00A81000"/>
    <w:rsid w:val="00A810D3"/>
    <w:rsid w:val="00A8124B"/>
    <w:rsid w:val="00A812E9"/>
    <w:rsid w:val="00A8131D"/>
    <w:rsid w:val="00A81333"/>
    <w:rsid w:val="00A813E6"/>
    <w:rsid w:val="00A81657"/>
    <w:rsid w:val="00A81D79"/>
    <w:rsid w:val="00A81FAF"/>
    <w:rsid w:val="00A82243"/>
    <w:rsid w:val="00A8225F"/>
    <w:rsid w:val="00A82344"/>
    <w:rsid w:val="00A8258D"/>
    <w:rsid w:val="00A8263C"/>
    <w:rsid w:val="00A827EB"/>
    <w:rsid w:val="00A82815"/>
    <w:rsid w:val="00A82912"/>
    <w:rsid w:val="00A82AAB"/>
    <w:rsid w:val="00A82B6A"/>
    <w:rsid w:val="00A83157"/>
    <w:rsid w:val="00A8339B"/>
    <w:rsid w:val="00A837E4"/>
    <w:rsid w:val="00A83C11"/>
    <w:rsid w:val="00A8409C"/>
    <w:rsid w:val="00A84160"/>
    <w:rsid w:val="00A84190"/>
    <w:rsid w:val="00A841F3"/>
    <w:rsid w:val="00A8439F"/>
    <w:rsid w:val="00A8447E"/>
    <w:rsid w:val="00A84D27"/>
    <w:rsid w:val="00A84E28"/>
    <w:rsid w:val="00A84E84"/>
    <w:rsid w:val="00A84F05"/>
    <w:rsid w:val="00A84F13"/>
    <w:rsid w:val="00A84F3D"/>
    <w:rsid w:val="00A85399"/>
    <w:rsid w:val="00A8565D"/>
    <w:rsid w:val="00A85B1A"/>
    <w:rsid w:val="00A86065"/>
    <w:rsid w:val="00A861FE"/>
    <w:rsid w:val="00A866B4"/>
    <w:rsid w:val="00A8685E"/>
    <w:rsid w:val="00A86A9B"/>
    <w:rsid w:val="00A86BDE"/>
    <w:rsid w:val="00A86C9A"/>
    <w:rsid w:val="00A86CC2"/>
    <w:rsid w:val="00A86E66"/>
    <w:rsid w:val="00A8704D"/>
    <w:rsid w:val="00A87127"/>
    <w:rsid w:val="00A87319"/>
    <w:rsid w:val="00A875FA"/>
    <w:rsid w:val="00A87672"/>
    <w:rsid w:val="00A87EC2"/>
    <w:rsid w:val="00A87EF4"/>
    <w:rsid w:val="00A901BC"/>
    <w:rsid w:val="00A90263"/>
    <w:rsid w:val="00A90326"/>
    <w:rsid w:val="00A904B6"/>
    <w:rsid w:val="00A9083A"/>
    <w:rsid w:val="00A909A9"/>
    <w:rsid w:val="00A91221"/>
    <w:rsid w:val="00A912F3"/>
    <w:rsid w:val="00A912FF"/>
    <w:rsid w:val="00A91436"/>
    <w:rsid w:val="00A9145D"/>
    <w:rsid w:val="00A914CB"/>
    <w:rsid w:val="00A9166D"/>
    <w:rsid w:val="00A916E3"/>
    <w:rsid w:val="00A919A9"/>
    <w:rsid w:val="00A91AC7"/>
    <w:rsid w:val="00A91DEC"/>
    <w:rsid w:val="00A91F1A"/>
    <w:rsid w:val="00A9201C"/>
    <w:rsid w:val="00A92216"/>
    <w:rsid w:val="00A923DB"/>
    <w:rsid w:val="00A92535"/>
    <w:rsid w:val="00A9266E"/>
    <w:rsid w:val="00A928D2"/>
    <w:rsid w:val="00A92A2D"/>
    <w:rsid w:val="00A92C02"/>
    <w:rsid w:val="00A92C2A"/>
    <w:rsid w:val="00A92C34"/>
    <w:rsid w:val="00A92E70"/>
    <w:rsid w:val="00A92FAC"/>
    <w:rsid w:val="00A932CD"/>
    <w:rsid w:val="00A932D0"/>
    <w:rsid w:val="00A93408"/>
    <w:rsid w:val="00A93662"/>
    <w:rsid w:val="00A93C03"/>
    <w:rsid w:val="00A93C07"/>
    <w:rsid w:val="00A93D0A"/>
    <w:rsid w:val="00A93D16"/>
    <w:rsid w:val="00A9412B"/>
    <w:rsid w:val="00A94157"/>
    <w:rsid w:val="00A941D8"/>
    <w:rsid w:val="00A9446F"/>
    <w:rsid w:val="00A949E8"/>
    <w:rsid w:val="00A94B15"/>
    <w:rsid w:val="00A94FD2"/>
    <w:rsid w:val="00A9510F"/>
    <w:rsid w:val="00A953A0"/>
    <w:rsid w:val="00A953F1"/>
    <w:rsid w:val="00A95582"/>
    <w:rsid w:val="00A955C3"/>
    <w:rsid w:val="00A959B3"/>
    <w:rsid w:val="00A95FF0"/>
    <w:rsid w:val="00A96123"/>
    <w:rsid w:val="00A961FF"/>
    <w:rsid w:val="00A963B8"/>
    <w:rsid w:val="00A96699"/>
    <w:rsid w:val="00A96A24"/>
    <w:rsid w:val="00A96BB5"/>
    <w:rsid w:val="00A97044"/>
    <w:rsid w:val="00A97059"/>
    <w:rsid w:val="00A97157"/>
    <w:rsid w:val="00A9731B"/>
    <w:rsid w:val="00A97336"/>
    <w:rsid w:val="00A9741F"/>
    <w:rsid w:val="00A97426"/>
    <w:rsid w:val="00A97640"/>
    <w:rsid w:val="00A97DD3"/>
    <w:rsid w:val="00A97FC7"/>
    <w:rsid w:val="00AA003E"/>
    <w:rsid w:val="00AA00BA"/>
    <w:rsid w:val="00AA024C"/>
    <w:rsid w:val="00AA04C4"/>
    <w:rsid w:val="00AA0BB9"/>
    <w:rsid w:val="00AA0D17"/>
    <w:rsid w:val="00AA0D1D"/>
    <w:rsid w:val="00AA0F08"/>
    <w:rsid w:val="00AA1311"/>
    <w:rsid w:val="00AA1322"/>
    <w:rsid w:val="00AA1465"/>
    <w:rsid w:val="00AA1804"/>
    <w:rsid w:val="00AA1B20"/>
    <w:rsid w:val="00AA1C81"/>
    <w:rsid w:val="00AA1C87"/>
    <w:rsid w:val="00AA1CAB"/>
    <w:rsid w:val="00AA1E21"/>
    <w:rsid w:val="00AA21BD"/>
    <w:rsid w:val="00AA23E9"/>
    <w:rsid w:val="00AA23EA"/>
    <w:rsid w:val="00AA2479"/>
    <w:rsid w:val="00AA25BA"/>
    <w:rsid w:val="00AA26CE"/>
    <w:rsid w:val="00AA2765"/>
    <w:rsid w:val="00AA2839"/>
    <w:rsid w:val="00AA2847"/>
    <w:rsid w:val="00AA2970"/>
    <w:rsid w:val="00AA2D8D"/>
    <w:rsid w:val="00AA2DFE"/>
    <w:rsid w:val="00AA2EB6"/>
    <w:rsid w:val="00AA34AA"/>
    <w:rsid w:val="00AA34DD"/>
    <w:rsid w:val="00AA36DC"/>
    <w:rsid w:val="00AA3743"/>
    <w:rsid w:val="00AA3888"/>
    <w:rsid w:val="00AA39AB"/>
    <w:rsid w:val="00AA3B43"/>
    <w:rsid w:val="00AA3D2C"/>
    <w:rsid w:val="00AA404B"/>
    <w:rsid w:val="00AA40E1"/>
    <w:rsid w:val="00AA42D7"/>
    <w:rsid w:val="00AA443B"/>
    <w:rsid w:val="00AA4598"/>
    <w:rsid w:val="00AA47B4"/>
    <w:rsid w:val="00AA47D9"/>
    <w:rsid w:val="00AA481C"/>
    <w:rsid w:val="00AA4C28"/>
    <w:rsid w:val="00AA4D00"/>
    <w:rsid w:val="00AA515D"/>
    <w:rsid w:val="00AA52DA"/>
    <w:rsid w:val="00AA5448"/>
    <w:rsid w:val="00AA58AD"/>
    <w:rsid w:val="00AA5AFB"/>
    <w:rsid w:val="00AA5B9C"/>
    <w:rsid w:val="00AA5C32"/>
    <w:rsid w:val="00AA5C41"/>
    <w:rsid w:val="00AA5D8A"/>
    <w:rsid w:val="00AA5DCE"/>
    <w:rsid w:val="00AA5FB0"/>
    <w:rsid w:val="00AA6348"/>
    <w:rsid w:val="00AA64DA"/>
    <w:rsid w:val="00AA662B"/>
    <w:rsid w:val="00AA6A3D"/>
    <w:rsid w:val="00AA6B72"/>
    <w:rsid w:val="00AA6CCB"/>
    <w:rsid w:val="00AA6CD0"/>
    <w:rsid w:val="00AA6D0B"/>
    <w:rsid w:val="00AA6D6C"/>
    <w:rsid w:val="00AA6E06"/>
    <w:rsid w:val="00AA6E88"/>
    <w:rsid w:val="00AA71D4"/>
    <w:rsid w:val="00AA73C2"/>
    <w:rsid w:val="00AA73E5"/>
    <w:rsid w:val="00AA7598"/>
    <w:rsid w:val="00AA75B5"/>
    <w:rsid w:val="00AA7633"/>
    <w:rsid w:val="00AA7825"/>
    <w:rsid w:val="00AA7955"/>
    <w:rsid w:val="00AB009E"/>
    <w:rsid w:val="00AB0F2B"/>
    <w:rsid w:val="00AB107C"/>
    <w:rsid w:val="00AB1502"/>
    <w:rsid w:val="00AB1A45"/>
    <w:rsid w:val="00AB1C16"/>
    <w:rsid w:val="00AB1CE7"/>
    <w:rsid w:val="00AB1CFF"/>
    <w:rsid w:val="00AB1D43"/>
    <w:rsid w:val="00AB1D4A"/>
    <w:rsid w:val="00AB1DC7"/>
    <w:rsid w:val="00AB20FC"/>
    <w:rsid w:val="00AB2493"/>
    <w:rsid w:val="00AB267B"/>
    <w:rsid w:val="00AB2747"/>
    <w:rsid w:val="00AB2981"/>
    <w:rsid w:val="00AB2BFC"/>
    <w:rsid w:val="00AB2DD2"/>
    <w:rsid w:val="00AB2FBE"/>
    <w:rsid w:val="00AB3022"/>
    <w:rsid w:val="00AB306C"/>
    <w:rsid w:val="00AB324F"/>
    <w:rsid w:val="00AB37A8"/>
    <w:rsid w:val="00AB3CCC"/>
    <w:rsid w:val="00AB3E07"/>
    <w:rsid w:val="00AB3E95"/>
    <w:rsid w:val="00AB41E1"/>
    <w:rsid w:val="00AB4914"/>
    <w:rsid w:val="00AB4A0A"/>
    <w:rsid w:val="00AB4D6E"/>
    <w:rsid w:val="00AB4F8C"/>
    <w:rsid w:val="00AB5031"/>
    <w:rsid w:val="00AB50FC"/>
    <w:rsid w:val="00AB58D5"/>
    <w:rsid w:val="00AB5986"/>
    <w:rsid w:val="00AB59B3"/>
    <w:rsid w:val="00AB5AB1"/>
    <w:rsid w:val="00AB5BA1"/>
    <w:rsid w:val="00AB5D84"/>
    <w:rsid w:val="00AB5F6F"/>
    <w:rsid w:val="00AB5F90"/>
    <w:rsid w:val="00AB6650"/>
    <w:rsid w:val="00AB666C"/>
    <w:rsid w:val="00AB6753"/>
    <w:rsid w:val="00AB67F7"/>
    <w:rsid w:val="00AB6891"/>
    <w:rsid w:val="00AB690D"/>
    <w:rsid w:val="00AB697D"/>
    <w:rsid w:val="00AB6AB7"/>
    <w:rsid w:val="00AB7543"/>
    <w:rsid w:val="00AB75AD"/>
    <w:rsid w:val="00AB7779"/>
    <w:rsid w:val="00AB79CD"/>
    <w:rsid w:val="00AB7B43"/>
    <w:rsid w:val="00AB7CAF"/>
    <w:rsid w:val="00AB7DDD"/>
    <w:rsid w:val="00AB7EC8"/>
    <w:rsid w:val="00AB7F1A"/>
    <w:rsid w:val="00AB7F58"/>
    <w:rsid w:val="00AC015D"/>
    <w:rsid w:val="00AC05C4"/>
    <w:rsid w:val="00AC061E"/>
    <w:rsid w:val="00AC0638"/>
    <w:rsid w:val="00AC09C0"/>
    <w:rsid w:val="00AC0DF4"/>
    <w:rsid w:val="00AC1042"/>
    <w:rsid w:val="00AC1175"/>
    <w:rsid w:val="00AC12D0"/>
    <w:rsid w:val="00AC1337"/>
    <w:rsid w:val="00AC14EE"/>
    <w:rsid w:val="00AC16B9"/>
    <w:rsid w:val="00AC1CD7"/>
    <w:rsid w:val="00AC24FF"/>
    <w:rsid w:val="00AC2602"/>
    <w:rsid w:val="00AC26C3"/>
    <w:rsid w:val="00AC27C7"/>
    <w:rsid w:val="00AC291A"/>
    <w:rsid w:val="00AC3228"/>
    <w:rsid w:val="00AC33AE"/>
    <w:rsid w:val="00AC34E6"/>
    <w:rsid w:val="00AC35BC"/>
    <w:rsid w:val="00AC3763"/>
    <w:rsid w:val="00AC3A33"/>
    <w:rsid w:val="00AC3D66"/>
    <w:rsid w:val="00AC3F34"/>
    <w:rsid w:val="00AC4457"/>
    <w:rsid w:val="00AC454F"/>
    <w:rsid w:val="00AC4731"/>
    <w:rsid w:val="00AC47A3"/>
    <w:rsid w:val="00AC4845"/>
    <w:rsid w:val="00AC48B9"/>
    <w:rsid w:val="00AC48F5"/>
    <w:rsid w:val="00AC4A69"/>
    <w:rsid w:val="00AC4D0C"/>
    <w:rsid w:val="00AC4D44"/>
    <w:rsid w:val="00AC4F50"/>
    <w:rsid w:val="00AC5120"/>
    <w:rsid w:val="00AC51C9"/>
    <w:rsid w:val="00AC524B"/>
    <w:rsid w:val="00AC528A"/>
    <w:rsid w:val="00AC537F"/>
    <w:rsid w:val="00AC53C0"/>
    <w:rsid w:val="00AC5560"/>
    <w:rsid w:val="00AC55C8"/>
    <w:rsid w:val="00AC56E8"/>
    <w:rsid w:val="00AC59E0"/>
    <w:rsid w:val="00AC5AB4"/>
    <w:rsid w:val="00AC610B"/>
    <w:rsid w:val="00AC611A"/>
    <w:rsid w:val="00AC6240"/>
    <w:rsid w:val="00AC632D"/>
    <w:rsid w:val="00AC68F7"/>
    <w:rsid w:val="00AC699C"/>
    <w:rsid w:val="00AC6C0E"/>
    <w:rsid w:val="00AC6CF2"/>
    <w:rsid w:val="00AC6F06"/>
    <w:rsid w:val="00AC6FC1"/>
    <w:rsid w:val="00AC726C"/>
    <w:rsid w:val="00AC747F"/>
    <w:rsid w:val="00AC76AD"/>
    <w:rsid w:val="00AC77CC"/>
    <w:rsid w:val="00AC7A2C"/>
    <w:rsid w:val="00AC7B58"/>
    <w:rsid w:val="00AC7BBA"/>
    <w:rsid w:val="00AC7DD3"/>
    <w:rsid w:val="00AC7F75"/>
    <w:rsid w:val="00AC7FC3"/>
    <w:rsid w:val="00AD0045"/>
    <w:rsid w:val="00AD00A8"/>
    <w:rsid w:val="00AD0124"/>
    <w:rsid w:val="00AD02FB"/>
    <w:rsid w:val="00AD03A3"/>
    <w:rsid w:val="00AD052F"/>
    <w:rsid w:val="00AD066D"/>
    <w:rsid w:val="00AD098A"/>
    <w:rsid w:val="00AD0EA2"/>
    <w:rsid w:val="00AD1152"/>
    <w:rsid w:val="00AD1488"/>
    <w:rsid w:val="00AD148C"/>
    <w:rsid w:val="00AD1559"/>
    <w:rsid w:val="00AD178A"/>
    <w:rsid w:val="00AD1AA5"/>
    <w:rsid w:val="00AD1C8B"/>
    <w:rsid w:val="00AD1D6C"/>
    <w:rsid w:val="00AD1DC5"/>
    <w:rsid w:val="00AD1E34"/>
    <w:rsid w:val="00AD1E93"/>
    <w:rsid w:val="00AD2158"/>
    <w:rsid w:val="00AD229E"/>
    <w:rsid w:val="00AD245E"/>
    <w:rsid w:val="00AD2AC4"/>
    <w:rsid w:val="00AD2D8E"/>
    <w:rsid w:val="00AD2ED6"/>
    <w:rsid w:val="00AD3023"/>
    <w:rsid w:val="00AD32C2"/>
    <w:rsid w:val="00AD33B5"/>
    <w:rsid w:val="00AD3578"/>
    <w:rsid w:val="00AD35E7"/>
    <w:rsid w:val="00AD363D"/>
    <w:rsid w:val="00AD3753"/>
    <w:rsid w:val="00AD3B35"/>
    <w:rsid w:val="00AD3C04"/>
    <w:rsid w:val="00AD3EBC"/>
    <w:rsid w:val="00AD40B7"/>
    <w:rsid w:val="00AD44D0"/>
    <w:rsid w:val="00AD456A"/>
    <w:rsid w:val="00AD4B83"/>
    <w:rsid w:val="00AD4D00"/>
    <w:rsid w:val="00AD4D55"/>
    <w:rsid w:val="00AD4EE2"/>
    <w:rsid w:val="00AD51F9"/>
    <w:rsid w:val="00AD53EF"/>
    <w:rsid w:val="00AD5423"/>
    <w:rsid w:val="00AD560A"/>
    <w:rsid w:val="00AD5630"/>
    <w:rsid w:val="00AD5782"/>
    <w:rsid w:val="00AD593A"/>
    <w:rsid w:val="00AD5A29"/>
    <w:rsid w:val="00AD5BFE"/>
    <w:rsid w:val="00AD5C4F"/>
    <w:rsid w:val="00AD5C86"/>
    <w:rsid w:val="00AD5D46"/>
    <w:rsid w:val="00AD6078"/>
    <w:rsid w:val="00AD65FB"/>
    <w:rsid w:val="00AD66C6"/>
    <w:rsid w:val="00AD6720"/>
    <w:rsid w:val="00AD6769"/>
    <w:rsid w:val="00AD6993"/>
    <w:rsid w:val="00AD6C0E"/>
    <w:rsid w:val="00AD6E05"/>
    <w:rsid w:val="00AD6E5D"/>
    <w:rsid w:val="00AD70DF"/>
    <w:rsid w:val="00AD7241"/>
    <w:rsid w:val="00AD7242"/>
    <w:rsid w:val="00AD72C0"/>
    <w:rsid w:val="00AD7323"/>
    <w:rsid w:val="00AD7706"/>
    <w:rsid w:val="00AD782E"/>
    <w:rsid w:val="00AD7B0D"/>
    <w:rsid w:val="00AD7BC2"/>
    <w:rsid w:val="00AD7E84"/>
    <w:rsid w:val="00AD7ECF"/>
    <w:rsid w:val="00AD7F6E"/>
    <w:rsid w:val="00AD7FB8"/>
    <w:rsid w:val="00AD7FC5"/>
    <w:rsid w:val="00AE01E2"/>
    <w:rsid w:val="00AE0272"/>
    <w:rsid w:val="00AE0562"/>
    <w:rsid w:val="00AE0917"/>
    <w:rsid w:val="00AE094C"/>
    <w:rsid w:val="00AE0B7C"/>
    <w:rsid w:val="00AE0DE9"/>
    <w:rsid w:val="00AE0E0F"/>
    <w:rsid w:val="00AE1335"/>
    <w:rsid w:val="00AE1409"/>
    <w:rsid w:val="00AE1586"/>
    <w:rsid w:val="00AE1680"/>
    <w:rsid w:val="00AE1A26"/>
    <w:rsid w:val="00AE1C75"/>
    <w:rsid w:val="00AE1E11"/>
    <w:rsid w:val="00AE2008"/>
    <w:rsid w:val="00AE20B8"/>
    <w:rsid w:val="00AE22AD"/>
    <w:rsid w:val="00AE22AF"/>
    <w:rsid w:val="00AE231F"/>
    <w:rsid w:val="00AE23CC"/>
    <w:rsid w:val="00AE25DB"/>
    <w:rsid w:val="00AE2B36"/>
    <w:rsid w:val="00AE3304"/>
    <w:rsid w:val="00AE341E"/>
    <w:rsid w:val="00AE3636"/>
    <w:rsid w:val="00AE3722"/>
    <w:rsid w:val="00AE3796"/>
    <w:rsid w:val="00AE38E3"/>
    <w:rsid w:val="00AE3A38"/>
    <w:rsid w:val="00AE3A65"/>
    <w:rsid w:val="00AE3AFB"/>
    <w:rsid w:val="00AE3B91"/>
    <w:rsid w:val="00AE3CB2"/>
    <w:rsid w:val="00AE3D6B"/>
    <w:rsid w:val="00AE3DE5"/>
    <w:rsid w:val="00AE3F5E"/>
    <w:rsid w:val="00AE40D5"/>
    <w:rsid w:val="00AE41AA"/>
    <w:rsid w:val="00AE4225"/>
    <w:rsid w:val="00AE44BB"/>
    <w:rsid w:val="00AE459F"/>
    <w:rsid w:val="00AE46F9"/>
    <w:rsid w:val="00AE47C0"/>
    <w:rsid w:val="00AE506A"/>
    <w:rsid w:val="00AE5141"/>
    <w:rsid w:val="00AE5422"/>
    <w:rsid w:val="00AE5435"/>
    <w:rsid w:val="00AE552C"/>
    <w:rsid w:val="00AE5968"/>
    <w:rsid w:val="00AE59A8"/>
    <w:rsid w:val="00AE5A1B"/>
    <w:rsid w:val="00AE5C78"/>
    <w:rsid w:val="00AE5C92"/>
    <w:rsid w:val="00AE5CF8"/>
    <w:rsid w:val="00AE5D8D"/>
    <w:rsid w:val="00AE5E6C"/>
    <w:rsid w:val="00AE5FE6"/>
    <w:rsid w:val="00AE61DF"/>
    <w:rsid w:val="00AE63B1"/>
    <w:rsid w:val="00AE63F0"/>
    <w:rsid w:val="00AE666C"/>
    <w:rsid w:val="00AE684C"/>
    <w:rsid w:val="00AE6851"/>
    <w:rsid w:val="00AE689C"/>
    <w:rsid w:val="00AE6D12"/>
    <w:rsid w:val="00AE6E12"/>
    <w:rsid w:val="00AE6E51"/>
    <w:rsid w:val="00AE6F29"/>
    <w:rsid w:val="00AE6FC7"/>
    <w:rsid w:val="00AE7010"/>
    <w:rsid w:val="00AE7116"/>
    <w:rsid w:val="00AE7144"/>
    <w:rsid w:val="00AE735D"/>
    <w:rsid w:val="00AE73A4"/>
    <w:rsid w:val="00AE744F"/>
    <w:rsid w:val="00AE7451"/>
    <w:rsid w:val="00AE747A"/>
    <w:rsid w:val="00AE76C7"/>
    <w:rsid w:val="00AE77A2"/>
    <w:rsid w:val="00AE787C"/>
    <w:rsid w:val="00AE78D5"/>
    <w:rsid w:val="00AE7910"/>
    <w:rsid w:val="00AE79CB"/>
    <w:rsid w:val="00AE7C15"/>
    <w:rsid w:val="00AE7C45"/>
    <w:rsid w:val="00AE7CC5"/>
    <w:rsid w:val="00AE7DB0"/>
    <w:rsid w:val="00AE7EE7"/>
    <w:rsid w:val="00AF0205"/>
    <w:rsid w:val="00AF033B"/>
    <w:rsid w:val="00AF0355"/>
    <w:rsid w:val="00AF05AA"/>
    <w:rsid w:val="00AF0A0D"/>
    <w:rsid w:val="00AF0C53"/>
    <w:rsid w:val="00AF0D1F"/>
    <w:rsid w:val="00AF159C"/>
    <w:rsid w:val="00AF17C7"/>
    <w:rsid w:val="00AF190A"/>
    <w:rsid w:val="00AF1922"/>
    <w:rsid w:val="00AF193A"/>
    <w:rsid w:val="00AF1A4C"/>
    <w:rsid w:val="00AF1A74"/>
    <w:rsid w:val="00AF1B2D"/>
    <w:rsid w:val="00AF1C6F"/>
    <w:rsid w:val="00AF1D41"/>
    <w:rsid w:val="00AF1EC5"/>
    <w:rsid w:val="00AF1F40"/>
    <w:rsid w:val="00AF2026"/>
    <w:rsid w:val="00AF2071"/>
    <w:rsid w:val="00AF24F2"/>
    <w:rsid w:val="00AF2519"/>
    <w:rsid w:val="00AF2680"/>
    <w:rsid w:val="00AF29A5"/>
    <w:rsid w:val="00AF2B0A"/>
    <w:rsid w:val="00AF2B7B"/>
    <w:rsid w:val="00AF2BEF"/>
    <w:rsid w:val="00AF2C6D"/>
    <w:rsid w:val="00AF2CB8"/>
    <w:rsid w:val="00AF2D5B"/>
    <w:rsid w:val="00AF2DA8"/>
    <w:rsid w:val="00AF2FD9"/>
    <w:rsid w:val="00AF31E3"/>
    <w:rsid w:val="00AF32D1"/>
    <w:rsid w:val="00AF3337"/>
    <w:rsid w:val="00AF3441"/>
    <w:rsid w:val="00AF3454"/>
    <w:rsid w:val="00AF35EF"/>
    <w:rsid w:val="00AF379E"/>
    <w:rsid w:val="00AF38C0"/>
    <w:rsid w:val="00AF38D6"/>
    <w:rsid w:val="00AF397C"/>
    <w:rsid w:val="00AF397F"/>
    <w:rsid w:val="00AF39FE"/>
    <w:rsid w:val="00AF3A1F"/>
    <w:rsid w:val="00AF3B34"/>
    <w:rsid w:val="00AF3C42"/>
    <w:rsid w:val="00AF3D60"/>
    <w:rsid w:val="00AF3EB4"/>
    <w:rsid w:val="00AF4032"/>
    <w:rsid w:val="00AF4591"/>
    <w:rsid w:val="00AF4BCE"/>
    <w:rsid w:val="00AF4BE7"/>
    <w:rsid w:val="00AF4CB3"/>
    <w:rsid w:val="00AF4D45"/>
    <w:rsid w:val="00AF4D9D"/>
    <w:rsid w:val="00AF4E44"/>
    <w:rsid w:val="00AF4ED4"/>
    <w:rsid w:val="00AF5212"/>
    <w:rsid w:val="00AF522A"/>
    <w:rsid w:val="00AF5308"/>
    <w:rsid w:val="00AF536F"/>
    <w:rsid w:val="00AF56AF"/>
    <w:rsid w:val="00AF573F"/>
    <w:rsid w:val="00AF5A69"/>
    <w:rsid w:val="00AF5AA7"/>
    <w:rsid w:val="00AF5C1D"/>
    <w:rsid w:val="00AF5D71"/>
    <w:rsid w:val="00AF5EA8"/>
    <w:rsid w:val="00AF6042"/>
    <w:rsid w:val="00AF6193"/>
    <w:rsid w:val="00AF6694"/>
    <w:rsid w:val="00AF66A9"/>
    <w:rsid w:val="00AF684C"/>
    <w:rsid w:val="00AF6A80"/>
    <w:rsid w:val="00AF6A93"/>
    <w:rsid w:val="00AF6D7E"/>
    <w:rsid w:val="00AF6E10"/>
    <w:rsid w:val="00AF725C"/>
    <w:rsid w:val="00AF72C1"/>
    <w:rsid w:val="00AF732A"/>
    <w:rsid w:val="00AF736E"/>
    <w:rsid w:val="00AF7419"/>
    <w:rsid w:val="00AF7471"/>
    <w:rsid w:val="00AF749E"/>
    <w:rsid w:val="00AF752F"/>
    <w:rsid w:val="00AF754F"/>
    <w:rsid w:val="00AF768C"/>
    <w:rsid w:val="00AF771C"/>
    <w:rsid w:val="00AF7759"/>
    <w:rsid w:val="00AF77ED"/>
    <w:rsid w:val="00AF792D"/>
    <w:rsid w:val="00AF7B1B"/>
    <w:rsid w:val="00AF7B4E"/>
    <w:rsid w:val="00AF7DD7"/>
    <w:rsid w:val="00AF7ECE"/>
    <w:rsid w:val="00AF7FD2"/>
    <w:rsid w:val="00B0001D"/>
    <w:rsid w:val="00B0028F"/>
    <w:rsid w:val="00B0045A"/>
    <w:rsid w:val="00B00739"/>
    <w:rsid w:val="00B0090A"/>
    <w:rsid w:val="00B00920"/>
    <w:rsid w:val="00B00BCB"/>
    <w:rsid w:val="00B00C12"/>
    <w:rsid w:val="00B00D02"/>
    <w:rsid w:val="00B01011"/>
    <w:rsid w:val="00B01139"/>
    <w:rsid w:val="00B011E9"/>
    <w:rsid w:val="00B012FB"/>
    <w:rsid w:val="00B013D9"/>
    <w:rsid w:val="00B0163B"/>
    <w:rsid w:val="00B01657"/>
    <w:rsid w:val="00B01800"/>
    <w:rsid w:val="00B01905"/>
    <w:rsid w:val="00B01A32"/>
    <w:rsid w:val="00B01BC3"/>
    <w:rsid w:val="00B01C0B"/>
    <w:rsid w:val="00B01C86"/>
    <w:rsid w:val="00B01E2B"/>
    <w:rsid w:val="00B02164"/>
    <w:rsid w:val="00B021DF"/>
    <w:rsid w:val="00B022E1"/>
    <w:rsid w:val="00B02537"/>
    <w:rsid w:val="00B02E77"/>
    <w:rsid w:val="00B03026"/>
    <w:rsid w:val="00B03065"/>
    <w:rsid w:val="00B030A8"/>
    <w:rsid w:val="00B030B2"/>
    <w:rsid w:val="00B03346"/>
    <w:rsid w:val="00B0337E"/>
    <w:rsid w:val="00B0349A"/>
    <w:rsid w:val="00B036E9"/>
    <w:rsid w:val="00B037A5"/>
    <w:rsid w:val="00B03807"/>
    <w:rsid w:val="00B03816"/>
    <w:rsid w:val="00B03E3A"/>
    <w:rsid w:val="00B03E9A"/>
    <w:rsid w:val="00B04094"/>
    <w:rsid w:val="00B04245"/>
    <w:rsid w:val="00B043A9"/>
    <w:rsid w:val="00B044D5"/>
    <w:rsid w:val="00B04587"/>
    <w:rsid w:val="00B04620"/>
    <w:rsid w:val="00B0469C"/>
    <w:rsid w:val="00B0486D"/>
    <w:rsid w:val="00B04C78"/>
    <w:rsid w:val="00B04FDA"/>
    <w:rsid w:val="00B0520E"/>
    <w:rsid w:val="00B053B1"/>
    <w:rsid w:val="00B05406"/>
    <w:rsid w:val="00B05556"/>
    <w:rsid w:val="00B05600"/>
    <w:rsid w:val="00B0581A"/>
    <w:rsid w:val="00B05914"/>
    <w:rsid w:val="00B059FB"/>
    <w:rsid w:val="00B05A03"/>
    <w:rsid w:val="00B05A60"/>
    <w:rsid w:val="00B05C31"/>
    <w:rsid w:val="00B05FA0"/>
    <w:rsid w:val="00B061AB"/>
    <w:rsid w:val="00B06231"/>
    <w:rsid w:val="00B06322"/>
    <w:rsid w:val="00B06435"/>
    <w:rsid w:val="00B066AA"/>
    <w:rsid w:val="00B06885"/>
    <w:rsid w:val="00B0689B"/>
    <w:rsid w:val="00B06991"/>
    <w:rsid w:val="00B06B10"/>
    <w:rsid w:val="00B06B76"/>
    <w:rsid w:val="00B06E06"/>
    <w:rsid w:val="00B06E28"/>
    <w:rsid w:val="00B06EF2"/>
    <w:rsid w:val="00B07009"/>
    <w:rsid w:val="00B07116"/>
    <w:rsid w:val="00B07324"/>
    <w:rsid w:val="00B0762A"/>
    <w:rsid w:val="00B079EC"/>
    <w:rsid w:val="00B07AAD"/>
    <w:rsid w:val="00B07CE4"/>
    <w:rsid w:val="00B07D31"/>
    <w:rsid w:val="00B07DA5"/>
    <w:rsid w:val="00B10276"/>
    <w:rsid w:val="00B10300"/>
    <w:rsid w:val="00B10478"/>
    <w:rsid w:val="00B10B79"/>
    <w:rsid w:val="00B10C96"/>
    <w:rsid w:val="00B10DE7"/>
    <w:rsid w:val="00B10E8C"/>
    <w:rsid w:val="00B111A7"/>
    <w:rsid w:val="00B11269"/>
    <w:rsid w:val="00B1156C"/>
    <w:rsid w:val="00B11711"/>
    <w:rsid w:val="00B118FB"/>
    <w:rsid w:val="00B11997"/>
    <w:rsid w:val="00B11C44"/>
    <w:rsid w:val="00B11CF0"/>
    <w:rsid w:val="00B123D9"/>
    <w:rsid w:val="00B12459"/>
    <w:rsid w:val="00B124BE"/>
    <w:rsid w:val="00B125D6"/>
    <w:rsid w:val="00B12DC1"/>
    <w:rsid w:val="00B1308E"/>
    <w:rsid w:val="00B130A7"/>
    <w:rsid w:val="00B1348C"/>
    <w:rsid w:val="00B134FD"/>
    <w:rsid w:val="00B13515"/>
    <w:rsid w:val="00B135BB"/>
    <w:rsid w:val="00B1391C"/>
    <w:rsid w:val="00B139EB"/>
    <w:rsid w:val="00B13B8D"/>
    <w:rsid w:val="00B13D0A"/>
    <w:rsid w:val="00B13E49"/>
    <w:rsid w:val="00B1411A"/>
    <w:rsid w:val="00B14325"/>
    <w:rsid w:val="00B143A7"/>
    <w:rsid w:val="00B14434"/>
    <w:rsid w:val="00B1462D"/>
    <w:rsid w:val="00B14630"/>
    <w:rsid w:val="00B14BDA"/>
    <w:rsid w:val="00B14CED"/>
    <w:rsid w:val="00B14F08"/>
    <w:rsid w:val="00B151D4"/>
    <w:rsid w:val="00B152AD"/>
    <w:rsid w:val="00B15450"/>
    <w:rsid w:val="00B15581"/>
    <w:rsid w:val="00B15CC7"/>
    <w:rsid w:val="00B15D6C"/>
    <w:rsid w:val="00B16031"/>
    <w:rsid w:val="00B160BE"/>
    <w:rsid w:val="00B16194"/>
    <w:rsid w:val="00B16216"/>
    <w:rsid w:val="00B164DA"/>
    <w:rsid w:val="00B16775"/>
    <w:rsid w:val="00B16786"/>
    <w:rsid w:val="00B16794"/>
    <w:rsid w:val="00B16899"/>
    <w:rsid w:val="00B16929"/>
    <w:rsid w:val="00B16DD8"/>
    <w:rsid w:val="00B16F07"/>
    <w:rsid w:val="00B16F69"/>
    <w:rsid w:val="00B17034"/>
    <w:rsid w:val="00B1708D"/>
    <w:rsid w:val="00B173D9"/>
    <w:rsid w:val="00B175B2"/>
    <w:rsid w:val="00B17757"/>
    <w:rsid w:val="00B17C8E"/>
    <w:rsid w:val="00B17DA4"/>
    <w:rsid w:val="00B17EE3"/>
    <w:rsid w:val="00B20278"/>
    <w:rsid w:val="00B20E13"/>
    <w:rsid w:val="00B20E38"/>
    <w:rsid w:val="00B20E9F"/>
    <w:rsid w:val="00B20F8E"/>
    <w:rsid w:val="00B20FE4"/>
    <w:rsid w:val="00B2103D"/>
    <w:rsid w:val="00B2161D"/>
    <w:rsid w:val="00B21725"/>
    <w:rsid w:val="00B2177F"/>
    <w:rsid w:val="00B21C12"/>
    <w:rsid w:val="00B21D3D"/>
    <w:rsid w:val="00B21F7E"/>
    <w:rsid w:val="00B2232D"/>
    <w:rsid w:val="00B2264B"/>
    <w:rsid w:val="00B228CC"/>
    <w:rsid w:val="00B2291B"/>
    <w:rsid w:val="00B229AF"/>
    <w:rsid w:val="00B22E74"/>
    <w:rsid w:val="00B22FFD"/>
    <w:rsid w:val="00B23118"/>
    <w:rsid w:val="00B231EE"/>
    <w:rsid w:val="00B2322A"/>
    <w:rsid w:val="00B23411"/>
    <w:rsid w:val="00B237DE"/>
    <w:rsid w:val="00B237EF"/>
    <w:rsid w:val="00B23910"/>
    <w:rsid w:val="00B23978"/>
    <w:rsid w:val="00B24099"/>
    <w:rsid w:val="00B24272"/>
    <w:rsid w:val="00B243CF"/>
    <w:rsid w:val="00B2462E"/>
    <w:rsid w:val="00B246DA"/>
    <w:rsid w:val="00B24775"/>
    <w:rsid w:val="00B24894"/>
    <w:rsid w:val="00B24C72"/>
    <w:rsid w:val="00B24E5C"/>
    <w:rsid w:val="00B253AA"/>
    <w:rsid w:val="00B2548A"/>
    <w:rsid w:val="00B2559B"/>
    <w:rsid w:val="00B256A1"/>
    <w:rsid w:val="00B25753"/>
    <w:rsid w:val="00B257EB"/>
    <w:rsid w:val="00B2583F"/>
    <w:rsid w:val="00B2599E"/>
    <w:rsid w:val="00B25B97"/>
    <w:rsid w:val="00B25BCD"/>
    <w:rsid w:val="00B25C45"/>
    <w:rsid w:val="00B25C67"/>
    <w:rsid w:val="00B2629A"/>
    <w:rsid w:val="00B26532"/>
    <w:rsid w:val="00B265D6"/>
    <w:rsid w:val="00B26690"/>
    <w:rsid w:val="00B267F7"/>
    <w:rsid w:val="00B2680F"/>
    <w:rsid w:val="00B26C10"/>
    <w:rsid w:val="00B2711A"/>
    <w:rsid w:val="00B27351"/>
    <w:rsid w:val="00B27730"/>
    <w:rsid w:val="00B277F5"/>
    <w:rsid w:val="00B27849"/>
    <w:rsid w:val="00B2794A"/>
    <w:rsid w:val="00B2798D"/>
    <w:rsid w:val="00B27A57"/>
    <w:rsid w:val="00B27AAE"/>
    <w:rsid w:val="00B27C36"/>
    <w:rsid w:val="00B27DF0"/>
    <w:rsid w:val="00B27E21"/>
    <w:rsid w:val="00B302FD"/>
    <w:rsid w:val="00B30782"/>
    <w:rsid w:val="00B30786"/>
    <w:rsid w:val="00B307A8"/>
    <w:rsid w:val="00B307B3"/>
    <w:rsid w:val="00B30A92"/>
    <w:rsid w:val="00B30CB3"/>
    <w:rsid w:val="00B30ED9"/>
    <w:rsid w:val="00B30FBF"/>
    <w:rsid w:val="00B31129"/>
    <w:rsid w:val="00B3118E"/>
    <w:rsid w:val="00B3121F"/>
    <w:rsid w:val="00B3138C"/>
    <w:rsid w:val="00B31824"/>
    <w:rsid w:val="00B3191A"/>
    <w:rsid w:val="00B31C05"/>
    <w:rsid w:val="00B31CB1"/>
    <w:rsid w:val="00B31E15"/>
    <w:rsid w:val="00B31F02"/>
    <w:rsid w:val="00B322DC"/>
    <w:rsid w:val="00B323FC"/>
    <w:rsid w:val="00B324A9"/>
    <w:rsid w:val="00B3277E"/>
    <w:rsid w:val="00B327F8"/>
    <w:rsid w:val="00B32912"/>
    <w:rsid w:val="00B33503"/>
    <w:rsid w:val="00B335C1"/>
    <w:rsid w:val="00B3374C"/>
    <w:rsid w:val="00B337AF"/>
    <w:rsid w:val="00B337B0"/>
    <w:rsid w:val="00B33B39"/>
    <w:rsid w:val="00B33C8E"/>
    <w:rsid w:val="00B33DBF"/>
    <w:rsid w:val="00B33E3C"/>
    <w:rsid w:val="00B3406B"/>
    <w:rsid w:val="00B340B7"/>
    <w:rsid w:val="00B34160"/>
    <w:rsid w:val="00B343A4"/>
    <w:rsid w:val="00B3444F"/>
    <w:rsid w:val="00B34644"/>
    <w:rsid w:val="00B346AD"/>
    <w:rsid w:val="00B34778"/>
    <w:rsid w:val="00B347BB"/>
    <w:rsid w:val="00B348A4"/>
    <w:rsid w:val="00B348F3"/>
    <w:rsid w:val="00B34D21"/>
    <w:rsid w:val="00B34D9B"/>
    <w:rsid w:val="00B3504A"/>
    <w:rsid w:val="00B351BC"/>
    <w:rsid w:val="00B35260"/>
    <w:rsid w:val="00B35305"/>
    <w:rsid w:val="00B35432"/>
    <w:rsid w:val="00B3574F"/>
    <w:rsid w:val="00B357EC"/>
    <w:rsid w:val="00B35916"/>
    <w:rsid w:val="00B3594A"/>
    <w:rsid w:val="00B35A84"/>
    <w:rsid w:val="00B35AF7"/>
    <w:rsid w:val="00B3621F"/>
    <w:rsid w:val="00B3622D"/>
    <w:rsid w:val="00B3638A"/>
    <w:rsid w:val="00B36728"/>
    <w:rsid w:val="00B36AB8"/>
    <w:rsid w:val="00B36B3B"/>
    <w:rsid w:val="00B36EE6"/>
    <w:rsid w:val="00B3703C"/>
    <w:rsid w:val="00B3718A"/>
    <w:rsid w:val="00B372EE"/>
    <w:rsid w:val="00B3734B"/>
    <w:rsid w:val="00B37493"/>
    <w:rsid w:val="00B377B3"/>
    <w:rsid w:val="00B37812"/>
    <w:rsid w:val="00B3781C"/>
    <w:rsid w:val="00B37C26"/>
    <w:rsid w:val="00B37D61"/>
    <w:rsid w:val="00B37E14"/>
    <w:rsid w:val="00B4011F"/>
    <w:rsid w:val="00B402F3"/>
    <w:rsid w:val="00B40505"/>
    <w:rsid w:val="00B408BE"/>
    <w:rsid w:val="00B4099E"/>
    <w:rsid w:val="00B40A05"/>
    <w:rsid w:val="00B40CD3"/>
    <w:rsid w:val="00B40DA4"/>
    <w:rsid w:val="00B40DFB"/>
    <w:rsid w:val="00B41111"/>
    <w:rsid w:val="00B412D3"/>
    <w:rsid w:val="00B4149C"/>
    <w:rsid w:val="00B41881"/>
    <w:rsid w:val="00B418AF"/>
    <w:rsid w:val="00B41AC9"/>
    <w:rsid w:val="00B41AF8"/>
    <w:rsid w:val="00B41E29"/>
    <w:rsid w:val="00B41F14"/>
    <w:rsid w:val="00B42152"/>
    <w:rsid w:val="00B42527"/>
    <w:rsid w:val="00B4256F"/>
    <w:rsid w:val="00B427B1"/>
    <w:rsid w:val="00B42ADF"/>
    <w:rsid w:val="00B433A9"/>
    <w:rsid w:val="00B434BE"/>
    <w:rsid w:val="00B43760"/>
    <w:rsid w:val="00B43872"/>
    <w:rsid w:val="00B43980"/>
    <w:rsid w:val="00B43CF0"/>
    <w:rsid w:val="00B43ED3"/>
    <w:rsid w:val="00B44127"/>
    <w:rsid w:val="00B441D1"/>
    <w:rsid w:val="00B44211"/>
    <w:rsid w:val="00B44396"/>
    <w:rsid w:val="00B44451"/>
    <w:rsid w:val="00B4446C"/>
    <w:rsid w:val="00B444E1"/>
    <w:rsid w:val="00B4455D"/>
    <w:rsid w:val="00B44586"/>
    <w:rsid w:val="00B44826"/>
    <w:rsid w:val="00B448A9"/>
    <w:rsid w:val="00B44D6B"/>
    <w:rsid w:val="00B44D6F"/>
    <w:rsid w:val="00B44E3A"/>
    <w:rsid w:val="00B44EBF"/>
    <w:rsid w:val="00B44ECE"/>
    <w:rsid w:val="00B44FB5"/>
    <w:rsid w:val="00B450B8"/>
    <w:rsid w:val="00B451C6"/>
    <w:rsid w:val="00B454E6"/>
    <w:rsid w:val="00B45856"/>
    <w:rsid w:val="00B459EA"/>
    <w:rsid w:val="00B45A21"/>
    <w:rsid w:val="00B45EB8"/>
    <w:rsid w:val="00B45F6C"/>
    <w:rsid w:val="00B46075"/>
    <w:rsid w:val="00B4610C"/>
    <w:rsid w:val="00B46284"/>
    <w:rsid w:val="00B46756"/>
    <w:rsid w:val="00B46C0F"/>
    <w:rsid w:val="00B46DAE"/>
    <w:rsid w:val="00B46E36"/>
    <w:rsid w:val="00B47103"/>
    <w:rsid w:val="00B4711E"/>
    <w:rsid w:val="00B471CA"/>
    <w:rsid w:val="00B47203"/>
    <w:rsid w:val="00B4746B"/>
    <w:rsid w:val="00B47746"/>
    <w:rsid w:val="00B47C0A"/>
    <w:rsid w:val="00B50115"/>
    <w:rsid w:val="00B5052F"/>
    <w:rsid w:val="00B50674"/>
    <w:rsid w:val="00B5086F"/>
    <w:rsid w:val="00B50B22"/>
    <w:rsid w:val="00B50D3E"/>
    <w:rsid w:val="00B511A9"/>
    <w:rsid w:val="00B5149A"/>
    <w:rsid w:val="00B514E1"/>
    <w:rsid w:val="00B51795"/>
    <w:rsid w:val="00B51BE3"/>
    <w:rsid w:val="00B51ED9"/>
    <w:rsid w:val="00B51EE2"/>
    <w:rsid w:val="00B52025"/>
    <w:rsid w:val="00B5247E"/>
    <w:rsid w:val="00B52600"/>
    <w:rsid w:val="00B5270B"/>
    <w:rsid w:val="00B5283F"/>
    <w:rsid w:val="00B529F8"/>
    <w:rsid w:val="00B52A90"/>
    <w:rsid w:val="00B52C5F"/>
    <w:rsid w:val="00B52E63"/>
    <w:rsid w:val="00B530B4"/>
    <w:rsid w:val="00B531D4"/>
    <w:rsid w:val="00B5320C"/>
    <w:rsid w:val="00B534EE"/>
    <w:rsid w:val="00B537A2"/>
    <w:rsid w:val="00B539D9"/>
    <w:rsid w:val="00B53A89"/>
    <w:rsid w:val="00B53B17"/>
    <w:rsid w:val="00B53CE0"/>
    <w:rsid w:val="00B54195"/>
    <w:rsid w:val="00B54278"/>
    <w:rsid w:val="00B5484A"/>
    <w:rsid w:val="00B549AE"/>
    <w:rsid w:val="00B549E9"/>
    <w:rsid w:val="00B54B49"/>
    <w:rsid w:val="00B55714"/>
    <w:rsid w:val="00B55DC5"/>
    <w:rsid w:val="00B564CC"/>
    <w:rsid w:val="00B56AC8"/>
    <w:rsid w:val="00B56AD0"/>
    <w:rsid w:val="00B56D33"/>
    <w:rsid w:val="00B5705C"/>
    <w:rsid w:val="00B57075"/>
    <w:rsid w:val="00B57177"/>
    <w:rsid w:val="00B574F5"/>
    <w:rsid w:val="00B57740"/>
    <w:rsid w:val="00B5779B"/>
    <w:rsid w:val="00B57AC2"/>
    <w:rsid w:val="00B57C62"/>
    <w:rsid w:val="00B57DEA"/>
    <w:rsid w:val="00B57E97"/>
    <w:rsid w:val="00B60179"/>
    <w:rsid w:val="00B60306"/>
    <w:rsid w:val="00B60383"/>
    <w:rsid w:val="00B6069B"/>
    <w:rsid w:val="00B6082F"/>
    <w:rsid w:val="00B60C03"/>
    <w:rsid w:val="00B60D74"/>
    <w:rsid w:val="00B60E2E"/>
    <w:rsid w:val="00B60ECD"/>
    <w:rsid w:val="00B60F9F"/>
    <w:rsid w:val="00B6111D"/>
    <w:rsid w:val="00B61176"/>
    <w:rsid w:val="00B6120E"/>
    <w:rsid w:val="00B6138B"/>
    <w:rsid w:val="00B6157B"/>
    <w:rsid w:val="00B61707"/>
    <w:rsid w:val="00B6188D"/>
    <w:rsid w:val="00B61ABF"/>
    <w:rsid w:val="00B61B6A"/>
    <w:rsid w:val="00B61BA5"/>
    <w:rsid w:val="00B61CB5"/>
    <w:rsid w:val="00B61E77"/>
    <w:rsid w:val="00B6208B"/>
    <w:rsid w:val="00B620B3"/>
    <w:rsid w:val="00B6220B"/>
    <w:rsid w:val="00B6225C"/>
    <w:rsid w:val="00B624B8"/>
    <w:rsid w:val="00B6252D"/>
    <w:rsid w:val="00B62533"/>
    <w:rsid w:val="00B62671"/>
    <w:rsid w:val="00B6287A"/>
    <w:rsid w:val="00B63031"/>
    <w:rsid w:val="00B6335F"/>
    <w:rsid w:val="00B63B49"/>
    <w:rsid w:val="00B6400C"/>
    <w:rsid w:val="00B6421E"/>
    <w:rsid w:val="00B642D3"/>
    <w:rsid w:val="00B64338"/>
    <w:rsid w:val="00B643F5"/>
    <w:rsid w:val="00B64445"/>
    <w:rsid w:val="00B644C0"/>
    <w:rsid w:val="00B645E6"/>
    <w:rsid w:val="00B64633"/>
    <w:rsid w:val="00B64938"/>
    <w:rsid w:val="00B64AD9"/>
    <w:rsid w:val="00B64D49"/>
    <w:rsid w:val="00B64DF7"/>
    <w:rsid w:val="00B64EBA"/>
    <w:rsid w:val="00B64F41"/>
    <w:rsid w:val="00B64F86"/>
    <w:rsid w:val="00B64FDB"/>
    <w:rsid w:val="00B6511A"/>
    <w:rsid w:val="00B65383"/>
    <w:rsid w:val="00B653E2"/>
    <w:rsid w:val="00B6566D"/>
    <w:rsid w:val="00B6569E"/>
    <w:rsid w:val="00B65E1E"/>
    <w:rsid w:val="00B660CB"/>
    <w:rsid w:val="00B66347"/>
    <w:rsid w:val="00B6678D"/>
    <w:rsid w:val="00B66A1F"/>
    <w:rsid w:val="00B66BC0"/>
    <w:rsid w:val="00B66BC8"/>
    <w:rsid w:val="00B66CF1"/>
    <w:rsid w:val="00B66D59"/>
    <w:rsid w:val="00B6709B"/>
    <w:rsid w:val="00B670CB"/>
    <w:rsid w:val="00B6715D"/>
    <w:rsid w:val="00B672DA"/>
    <w:rsid w:val="00B672E9"/>
    <w:rsid w:val="00B677DB"/>
    <w:rsid w:val="00B677F3"/>
    <w:rsid w:val="00B67806"/>
    <w:rsid w:val="00B67895"/>
    <w:rsid w:val="00B679A4"/>
    <w:rsid w:val="00B67A97"/>
    <w:rsid w:val="00B67B4D"/>
    <w:rsid w:val="00B702F2"/>
    <w:rsid w:val="00B702FF"/>
    <w:rsid w:val="00B70375"/>
    <w:rsid w:val="00B7043D"/>
    <w:rsid w:val="00B7061D"/>
    <w:rsid w:val="00B7071C"/>
    <w:rsid w:val="00B70767"/>
    <w:rsid w:val="00B70906"/>
    <w:rsid w:val="00B70B8A"/>
    <w:rsid w:val="00B70C04"/>
    <w:rsid w:val="00B7104D"/>
    <w:rsid w:val="00B71058"/>
    <w:rsid w:val="00B712C3"/>
    <w:rsid w:val="00B71334"/>
    <w:rsid w:val="00B71444"/>
    <w:rsid w:val="00B7165B"/>
    <w:rsid w:val="00B71832"/>
    <w:rsid w:val="00B719FA"/>
    <w:rsid w:val="00B71C48"/>
    <w:rsid w:val="00B71E80"/>
    <w:rsid w:val="00B72231"/>
    <w:rsid w:val="00B722C2"/>
    <w:rsid w:val="00B72508"/>
    <w:rsid w:val="00B726B8"/>
    <w:rsid w:val="00B72711"/>
    <w:rsid w:val="00B729FF"/>
    <w:rsid w:val="00B72BA0"/>
    <w:rsid w:val="00B72BBB"/>
    <w:rsid w:val="00B72C7D"/>
    <w:rsid w:val="00B72D2F"/>
    <w:rsid w:val="00B72D62"/>
    <w:rsid w:val="00B72D70"/>
    <w:rsid w:val="00B7303E"/>
    <w:rsid w:val="00B7345F"/>
    <w:rsid w:val="00B7358B"/>
    <w:rsid w:val="00B735C3"/>
    <w:rsid w:val="00B736F1"/>
    <w:rsid w:val="00B7370B"/>
    <w:rsid w:val="00B738F2"/>
    <w:rsid w:val="00B7422E"/>
    <w:rsid w:val="00B74361"/>
    <w:rsid w:val="00B74444"/>
    <w:rsid w:val="00B74475"/>
    <w:rsid w:val="00B744D8"/>
    <w:rsid w:val="00B7490E"/>
    <w:rsid w:val="00B74915"/>
    <w:rsid w:val="00B74948"/>
    <w:rsid w:val="00B74A13"/>
    <w:rsid w:val="00B74ABE"/>
    <w:rsid w:val="00B74D3D"/>
    <w:rsid w:val="00B75119"/>
    <w:rsid w:val="00B751B2"/>
    <w:rsid w:val="00B752CA"/>
    <w:rsid w:val="00B75445"/>
    <w:rsid w:val="00B7553F"/>
    <w:rsid w:val="00B75658"/>
    <w:rsid w:val="00B75672"/>
    <w:rsid w:val="00B75989"/>
    <w:rsid w:val="00B75A71"/>
    <w:rsid w:val="00B75F7B"/>
    <w:rsid w:val="00B761D3"/>
    <w:rsid w:val="00B761F8"/>
    <w:rsid w:val="00B7627B"/>
    <w:rsid w:val="00B7661D"/>
    <w:rsid w:val="00B7663F"/>
    <w:rsid w:val="00B7667B"/>
    <w:rsid w:val="00B766DC"/>
    <w:rsid w:val="00B76736"/>
    <w:rsid w:val="00B76737"/>
    <w:rsid w:val="00B7680E"/>
    <w:rsid w:val="00B7682B"/>
    <w:rsid w:val="00B769AF"/>
    <w:rsid w:val="00B769BB"/>
    <w:rsid w:val="00B76BEE"/>
    <w:rsid w:val="00B76C5C"/>
    <w:rsid w:val="00B76D91"/>
    <w:rsid w:val="00B76FC6"/>
    <w:rsid w:val="00B771B4"/>
    <w:rsid w:val="00B7735A"/>
    <w:rsid w:val="00B77439"/>
    <w:rsid w:val="00B77474"/>
    <w:rsid w:val="00B7782A"/>
    <w:rsid w:val="00B80041"/>
    <w:rsid w:val="00B8043C"/>
    <w:rsid w:val="00B80642"/>
    <w:rsid w:val="00B80D78"/>
    <w:rsid w:val="00B80F47"/>
    <w:rsid w:val="00B8118A"/>
    <w:rsid w:val="00B813A4"/>
    <w:rsid w:val="00B81461"/>
    <w:rsid w:val="00B814D7"/>
    <w:rsid w:val="00B81751"/>
    <w:rsid w:val="00B817DC"/>
    <w:rsid w:val="00B8190A"/>
    <w:rsid w:val="00B81B52"/>
    <w:rsid w:val="00B81F23"/>
    <w:rsid w:val="00B82061"/>
    <w:rsid w:val="00B820AA"/>
    <w:rsid w:val="00B8246E"/>
    <w:rsid w:val="00B826C3"/>
    <w:rsid w:val="00B827F6"/>
    <w:rsid w:val="00B82977"/>
    <w:rsid w:val="00B82C6B"/>
    <w:rsid w:val="00B82E1E"/>
    <w:rsid w:val="00B82E8B"/>
    <w:rsid w:val="00B82F1E"/>
    <w:rsid w:val="00B83266"/>
    <w:rsid w:val="00B83C2C"/>
    <w:rsid w:val="00B83D50"/>
    <w:rsid w:val="00B83D92"/>
    <w:rsid w:val="00B83F5B"/>
    <w:rsid w:val="00B8400A"/>
    <w:rsid w:val="00B84241"/>
    <w:rsid w:val="00B8438C"/>
    <w:rsid w:val="00B8460C"/>
    <w:rsid w:val="00B84C7F"/>
    <w:rsid w:val="00B84CBE"/>
    <w:rsid w:val="00B84CF4"/>
    <w:rsid w:val="00B84D76"/>
    <w:rsid w:val="00B84DEB"/>
    <w:rsid w:val="00B8513B"/>
    <w:rsid w:val="00B8516F"/>
    <w:rsid w:val="00B852AE"/>
    <w:rsid w:val="00B852F2"/>
    <w:rsid w:val="00B854EB"/>
    <w:rsid w:val="00B85809"/>
    <w:rsid w:val="00B8581E"/>
    <w:rsid w:val="00B85A23"/>
    <w:rsid w:val="00B85C9C"/>
    <w:rsid w:val="00B85D93"/>
    <w:rsid w:val="00B85E0B"/>
    <w:rsid w:val="00B85ED5"/>
    <w:rsid w:val="00B85F94"/>
    <w:rsid w:val="00B85F98"/>
    <w:rsid w:val="00B85FA4"/>
    <w:rsid w:val="00B85FFB"/>
    <w:rsid w:val="00B8608C"/>
    <w:rsid w:val="00B86550"/>
    <w:rsid w:val="00B86B8F"/>
    <w:rsid w:val="00B86DCA"/>
    <w:rsid w:val="00B86E0B"/>
    <w:rsid w:val="00B86EA7"/>
    <w:rsid w:val="00B87224"/>
    <w:rsid w:val="00B87942"/>
    <w:rsid w:val="00B8797C"/>
    <w:rsid w:val="00B87E03"/>
    <w:rsid w:val="00B90166"/>
    <w:rsid w:val="00B9024A"/>
    <w:rsid w:val="00B903C5"/>
    <w:rsid w:val="00B90457"/>
    <w:rsid w:val="00B9068F"/>
    <w:rsid w:val="00B90782"/>
    <w:rsid w:val="00B90827"/>
    <w:rsid w:val="00B909D1"/>
    <w:rsid w:val="00B90B7A"/>
    <w:rsid w:val="00B90C07"/>
    <w:rsid w:val="00B90D11"/>
    <w:rsid w:val="00B91201"/>
    <w:rsid w:val="00B9120D"/>
    <w:rsid w:val="00B9126E"/>
    <w:rsid w:val="00B91686"/>
    <w:rsid w:val="00B9179A"/>
    <w:rsid w:val="00B9182C"/>
    <w:rsid w:val="00B91D23"/>
    <w:rsid w:val="00B91E4E"/>
    <w:rsid w:val="00B91EFF"/>
    <w:rsid w:val="00B921C9"/>
    <w:rsid w:val="00B9239D"/>
    <w:rsid w:val="00B92465"/>
    <w:rsid w:val="00B924A1"/>
    <w:rsid w:val="00B92560"/>
    <w:rsid w:val="00B926A0"/>
    <w:rsid w:val="00B92711"/>
    <w:rsid w:val="00B928DD"/>
    <w:rsid w:val="00B92936"/>
    <w:rsid w:val="00B92948"/>
    <w:rsid w:val="00B92A08"/>
    <w:rsid w:val="00B92CA6"/>
    <w:rsid w:val="00B92CEE"/>
    <w:rsid w:val="00B92EAD"/>
    <w:rsid w:val="00B9306C"/>
    <w:rsid w:val="00B93172"/>
    <w:rsid w:val="00B93284"/>
    <w:rsid w:val="00B9355A"/>
    <w:rsid w:val="00B93AFF"/>
    <w:rsid w:val="00B93BC2"/>
    <w:rsid w:val="00B93D79"/>
    <w:rsid w:val="00B94163"/>
    <w:rsid w:val="00B9423B"/>
    <w:rsid w:val="00B95046"/>
    <w:rsid w:val="00B9504C"/>
    <w:rsid w:val="00B950BB"/>
    <w:rsid w:val="00B9516B"/>
    <w:rsid w:val="00B954D8"/>
    <w:rsid w:val="00B95643"/>
    <w:rsid w:val="00B9571B"/>
    <w:rsid w:val="00B95746"/>
    <w:rsid w:val="00B95C23"/>
    <w:rsid w:val="00B95FE8"/>
    <w:rsid w:val="00B9614B"/>
    <w:rsid w:val="00B96399"/>
    <w:rsid w:val="00B969BA"/>
    <w:rsid w:val="00B969E4"/>
    <w:rsid w:val="00B96BAF"/>
    <w:rsid w:val="00B96D7C"/>
    <w:rsid w:val="00B96D95"/>
    <w:rsid w:val="00B96D97"/>
    <w:rsid w:val="00B96DE8"/>
    <w:rsid w:val="00B97301"/>
    <w:rsid w:val="00B97315"/>
    <w:rsid w:val="00B9743E"/>
    <w:rsid w:val="00B976A8"/>
    <w:rsid w:val="00B976B8"/>
    <w:rsid w:val="00B97895"/>
    <w:rsid w:val="00B979AA"/>
    <w:rsid w:val="00B979D4"/>
    <w:rsid w:val="00B97CF3"/>
    <w:rsid w:val="00B97E72"/>
    <w:rsid w:val="00B97F88"/>
    <w:rsid w:val="00BA01FD"/>
    <w:rsid w:val="00BA0301"/>
    <w:rsid w:val="00BA053B"/>
    <w:rsid w:val="00BA068B"/>
    <w:rsid w:val="00BA0923"/>
    <w:rsid w:val="00BA0A48"/>
    <w:rsid w:val="00BA0DAB"/>
    <w:rsid w:val="00BA0EC6"/>
    <w:rsid w:val="00BA1004"/>
    <w:rsid w:val="00BA1153"/>
    <w:rsid w:val="00BA14ED"/>
    <w:rsid w:val="00BA14FD"/>
    <w:rsid w:val="00BA16C4"/>
    <w:rsid w:val="00BA172F"/>
    <w:rsid w:val="00BA18F6"/>
    <w:rsid w:val="00BA1B6E"/>
    <w:rsid w:val="00BA1BD9"/>
    <w:rsid w:val="00BA1C99"/>
    <w:rsid w:val="00BA1EED"/>
    <w:rsid w:val="00BA2434"/>
    <w:rsid w:val="00BA2498"/>
    <w:rsid w:val="00BA253C"/>
    <w:rsid w:val="00BA2573"/>
    <w:rsid w:val="00BA296A"/>
    <w:rsid w:val="00BA2976"/>
    <w:rsid w:val="00BA2A2A"/>
    <w:rsid w:val="00BA2A5C"/>
    <w:rsid w:val="00BA2C5F"/>
    <w:rsid w:val="00BA2DDB"/>
    <w:rsid w:val="00BA2E60"/>
    <w:rsid w:val="00BA2FCF"/>
    <w:rsid w:val="00BA32FE"/>
    <w:rsid w:val="00BA339D"/>
    <w:rsid w:val="00BA353A"/>
    <w:rsid w:val="00BA35BC"/>
    <w:rsid w:val="00BA35CE"/>
    <w:rsid w:val="00BA3C9A"/>
    <w:rsid w:val="00BA3D43"/>
    <w:rsid w:val="00BA3DFB"/>
    <w:rsid w:val="00BA3EAC"/>
    <w:rsid w:val="00BA3ED1"/>
    <w:rsid w:val="00BA4175"/>
    <w:rsid w:val="00BA45F4"/>
    <w:rsid w:val="00BA48B2"/>
    <w:rsid w:val="00BA4918"/>
    <w:rsid w:val="00BA4C11"/>
    <w:rsid w:val="00BA4CD7"/>
    <w:rsid w:val="00BA4EDF"/>
    <w:rsid w:val="00BA50E8"/>
    <w:rsid w:val="00BA5254"/>
    <w:rsid w:val="00BA5511"/>
    <w:rsid w:val="00BA56D3"/>
    <w:rsid w:val="00BA5A87"/>
    <w:rsid w:val="00BA5D68"/>
    <w:rsid w:val="00BA5DAD"/>
    <w:rsid w:val="00BA5ED9"/>
    <w:rsid w:val="00BA5F1B"/>
    <w:rsid w:val="00BA5F95"/>
    <w:rsid w:val="00BA6030"/>
    <w:rsid w:val="00BA6143"/>
    <w:rsid w:val="00BA64E0"/>
    <w:rsid w:val="00BA6590"/>
    <w:rsid w:val="00BA6908"/>
    <w:rsid w:val="00BA6A17"/>
    <w:rsid w:val="00BA6B01"/>
    <w:rsid w:val="00BA6F2B"/>
    <w:rsid w:val="00BA727C"/>
    <w:rsid w:val="00BA72F7"/>
    <w:rsid w:val="00BA7756"/>
    <w:rsid w:val="00BA7A9C"/>
    <w:rsid w:val="00BA7AF6"/>
    <w:rsid w:val="00BA7D54"/>
    <w:rsid w:val="00BA7E39"/>
    <w:rsid w:val="00BB0055"/>
    <w:rsid w:val="00BB01DC"/>
    <w:rsid w:val="00BB052A"/>
    <w:rsid w:val="00BB0588"/>
    <w:rsid w:val="00BB05C1"/>
    <w:rsid w:val="00BB0673"/>
    <w:rsid w:val="00BB07C1"/>
    <w:rsid w:val="00BB07F8"/>
    <w:rsid w:val="00BB09F8"/>
    <w:rsid w:val="00BB0ECB"/>
    <w:rsid w:val="00BB1141"/>
    <w:rsid w:val="00BB116B"/>
    <w:rsid w:val="00BB123C"/>
    <w:rsid w:val="00BB12C7"/>
    <w:rsid w:val="00BB12C8"/>
    <w:rsid w:val="00BB140F"/>
    <w:rsid w:val="00BB1B2D"/>
    <w:rsid w:val="00BB1B32"/>
    <w:rsid w:val="00BB1CBF"/>
    <w:rsid w:val="00BB1D47"/>
    <w:rsid w:val="00BB2112"/>
    <w:rsid w:val="00BB268B"/>
    <w:rsid w:val="00BB2776"/>
    <w:rsid w:val="00BB2EA1"/>
    <w:rsid w:val="00BB2ECA"/>
    <w:rsid w:val="00BB2F0B"/>
    <w:rsid w:val="00BB302B"/>
    <w:rsid w:val="00BB3238"/>
    <w:rsid w:val="00BB348C"/>
    <w:rsid w:val="00BB34A1"/>
    <w:rsid w:val="00BB37DD"/>
    <w:rsid w:val="00BB3951"/>
    <w:rsid w:val="00BB3C06"/>
    <w:rsid w:val="00BB3CF1"/>
    <w:rsid w:val="00BB3E3E"/>
    <w:rsid w:val="00BB4032"/>
    <w:rsid w:val="00BB406F"/>
    <w:rsid w:val="00BB4123"/>
    <w:rsid w:val="00BB428E"/>
    <w:rsid w:val="00BB4401"/>
    <w:rsid w:val="00BB4D4A"/>
    <w:rsid w:val="00BB4FB9"/>
    <w:rsid w:val="00BB50E2"/>
    <w:rsid w:val="00BB515D"/>
    <w:rsid w:val="00BB545C"/>
    <w:rsid w:val="00BB5465"/>
    <w:rsid w:val="00BB5645"/>
    <w:rsid w:val="00BB5791"/>
    <w:rsid w:val="00BB579D"/>
    <w:rsid w:val="00BB5819"/>
    <w:rsid w:val="00BB59E9"/>
    <w:rsid w:val="00BB5A45"/>
    <w:rsid w:val="00BB5A52"/>
    <w:rsid w:val="00BB5B40"/>
    <w:rsid w:val="00BB5B5A"/>
    <w:rsid w:val="00BB5B80"/>
    <w:rsid w:val="00BB60A9"/>
    <w:rsid w:val="00BB615F"/>
    <w:rsid w:val="00BB61EF"/>
    <w:rsid w:val="00BB63BA"/>
    <w:rsid w:val="00BB669C"/>
    <w:rsid w:val="00BB6834"/>
    <w:rsid w:val="00BB68C8"/>
    <w:rsid w:val="00BB6E71"/>
    <w:rsid w:val="00BB709C"/>
    <w:rsid w:val="00BB7291"/>
    <w:rsid w:val="00BB72EB"/>
    <w:rsid w:val="00BB7495"/>
    <w:rsid w:val="00BB74DE"/>
    <w:rsid w:val="00BB768E"/>
    <w:rsid w:val="00BB7762"/>
    <w:rsid w:val="00BB7AED"/>
    <w:rsid w:val="00BB7B17"/>
    <w:rsid w:val="00BB7EF5"/>
    <w:rsid w:val="00BC0003"/>
    <w:rsid w:val="00BC0167"/>
    <w:rsid w:val="00BC02DF"/>
    <w:rsid w:val="00BC03B5"/>
    <w:rsid w:val="00BC0554"/>
    <w:rsid w:val="00BC06E0"/>
    <w:rsid w:val="00BC0828"/>
    <w:rsid w:val="00BC08AA"/>
    <w:rsid w:val="00BC09CA"/>
    <w:rsid w:val="00BC0A3E"/>
    <w:rsid w:val="00BC0B4E"/>
    <w:rsid w:val="00BC0CDD"/>
    <w:rsid w:val="00BC0DEE"/>
    <w:rsid w:val="00BC0FCB"/>
    <w:rsid w:val="00BC141D"/>
    <w:rsid w:val="00BC1635"/>
    <w:rsid w:val="00BC1C6D"/>
    <w:rsid w:val="00BC205F"/>
    <w:rsid w:val="00BC2061"/>
    <w:rsid w:val="00BC2309"/>
    <w:rsid w:val="00BC250C"/>
    <w:rsid w:val="00BC25C5"/>
    <w:rsid w:val="00BC2EA8"/>
    <w:rsid w:val="00BC2FA7"/>
    <w:rsid w:val="00BC2FBF"/>
    <w:rsid w:val="00BC3096"/>
    <w:rsid w:val="00BC330B"/>
    <w:rsid w:val="00BC33B5"/>
    <w:rsid w:val="00BC33F3"/>
    <w:rsid w:val="00BC37B9"/>
    <w:rsid w:val="00BC3857"/>
    <w:rsid w:val="00BC38F8"/>
    <w:rsid w:val="00BC3A10"/>
    <w:rsid w:val="00BC3AC5"/>
    <w:rsid w:val="00BC3C84"/>
    <w:rsid w:val="00BC3EF5"/>
    <w:rsid w:val="00BC4139"/>
    <w:rsid w:val="00BC429C"/>
    <w:rsid w:val="00BC44C3"/>
    <w:rsid w:val="00BC4781"/>
    <w:rsid w:val="00BC47A4"/>
    <w:rsid w:val="00BC481B"/>
    <w:rsid w:val="00BC499C"/>
    <w:rsid w:val="00BC4AEE"/>
    <w:rsid w:val="00BC4F94"/>
    <w:rsid w:val="00BC5047"/>
    <w:rsid w:val="00BC50E5"/>
    <w:rsid w:val="00BC5352"/>
    <w:rsid w:val="00BC547B"/>
    <w:rsid w:val="00BC57DA"/>
    <w:rsid w:val="00BC580F"/>
    <w:rsid w:val="00BC5A62"/>
    <w:rsid w:val="00BC5CA4"/>
    <w:rsid w:val="00BC5EC1"/>
    <w:rsid w:val="00BC614A"/>
    <w:rsid w:val="00BC6183"/>
    <w:rsid w:val="00BC64B4"/>
    <w:rsid w:val="00BC661B"/>
    <w:rsid w:val="00BC67CB"/>
    <w:rsid w:val="00BC68FD"/>
    <w:rsid w:val="00BC6A9C"/>
    <w:rsid w:val="00BC6ADE"/>
    <w:rsid w:val="00BC6AF3"/>
    <w:rsid w:val="00BC6C93"/>
    <w:rsid w:val="00BC70AC"/>
    <w:rsid w:val="00BC7338"/>
    <w:rsid w:val="00BC735F"/>
    <w:rsid w:val="00BC7431"/>
    <w:rsid w:val="00BC7548"/>
    <w:rsid w:val="00BC792B"/>
    <w:rsid w:val="00BC7D47"/>
    <w:rsid w:val="00BD01F7"/>
    <w:rsid w:val="00BD02A6"/>
    <w:rsid w:val="00BD032C"/>
    <w:rsid w:val="00BD032E"/>
    <w:rsid w:val="00BD0374"/>
    <w:rsid w:val="00BD0419"/>
    <w:rsid w:val="00BD0432"/>
    <w:rsid w:val="00BD04A5"/>
    <w:rsid w:val="00BD06DE"/>
    <w:rsid w:val="00BD094B"/>
    <w:rsid w:val="00BD09EE"/>
    <w:rsid w:val="00BD0A79"/>
    <w:rsid w:val="00BD0C91"/>
    <w:rsid w:val="00BD0D2A"/>
    <w:rsid w:val="00BD0D3E"/>
    <w:rsid w:val="00BD0F58"/>
    <w:rsid w:val="00BD0F97"/>
    <w:rsid w:val="00BD10A9"/>
    <w:rsid w:val="00BD12F6"/>
    <w:rsid w:val="00BD13AD"/>
    <w:rsid w:val="00BD13C4"/>
    <w:rsid w:val="00BD15D2"/>
    <w:rsid w:val="00BD1666"/>
    <w:rsid w:val="00BD1692"/>
    <w:rsid w:val="00BD17C4"/>
    <w:rsid w:val="00BD1D47"/>
    <w:rsid w:val="00BD235A"/>
    <w:rsid w:val="00BD2502"/>
    <w:rsid w:val="00BD25CC"/>
    <w:rsid w:val="00BD25E5"/>
    <w:rsid w:val="00BD2609"/>
    <w:rsid w:val="00BD26C3"/>
    <w:rsid w:val="00BD2917"/>
    <w:rsid w:val="00BD2DC1"/>
    <w:rsid w:val="00BD2EB5"/>
    <w:rsid w:val="00BD2FE9"/>
    <w:rsid w:val="00BD3168"/>
    <w:rsid w:val="00BD340F"/>
    <w:rsid w:val="00BD392E"/>
    <w:rsid w:val="00BD3A58"/>
    <w:rsid w:val="00BD3B92"/>
    <w:rsid w:val="00BD3CC2"/>
    <w:rsid w:val="00BD3D47"/>
    <w:rsid w:val="00BD4195"/>
    <w:rsid w:val="00BD420E"/>
    <w:rsid w:val="00BD4216"/>
    <w:rsid w:val="00BD4247"/>
    <w:rsid w:val="00BD429C"/>
    <w:rsid w:val="00BD42E0"/>
    <w:rsid w:val="00BD4417"/>
    <w:rsid w:val="00BD4510"/>
    <w:rsid w:val="00BD46DC"/>
    <w:rsid w:val="00BD492D"/>
    <w:rsid w:val="00BD4949"/>
    <w:rsid w:val="00BD4BC1"/>
    <w:rsid w:val="00BD4C30"/>
    <w:rsid w:val="00BD4DF5"/>
    <w:rsid w:val="00BD500C"/>
    <w:rsid w:val="00BD500D"/>
    <w:rsid w:val="00BD5812"/>
    <w:rsid w:val="00BD584A"/>
    <w:rsid w:val="00BD5A2C"/>
    <w:rsid w:val="00BD5B30"/>
    <w:rsid w:val="00BD5B68"/>
    <w:rsid w:val="00BD5EDB"/>
    <w:rsid w:val="00BD606A"/>
    <w:rsid w:val="00BD6070"/>
    <w:rsid w:val="00BD60DA"/>
    <w:rsid w:val="00BD6201"/>
    <w:rsid w:val="00BD6522"/>
    <w:rsid w:val="00BD6594"/>
    <w:rsid w:val="00BD6887"/>
    <w:rsid w:val="00BD6923"/>
    <w:rsid w:val="00BD6BEC"/>
    <w:rsid w:val="00BD6EF3"/>
    <w:rsid w:val="00BD6F16"/>
    <w:rsid w:val="00BD723B"/>
    <w:rsid w:val="00BD7449"/>
    <w:rsid w:val="00BD7469"/>
    <w:rsid w:val="00BD74EC"/>
    <w:rsid w:val="00BD7C2C"/>
    <w:rsid w:val="00BD7C31"/>
    <w:rsid w:val="00BD7E89"/>
    <w:rsid w:val="00BD7FFA"/>
    <w:rsid w:val="00BE010D"/>
    <w:rsid w:val="00BE0148"/>
    <w:rsid w:val="00BE01BB"/>
    <w:rsid w:val="00BE02D6"/>
    <w:rsid w:val="00BE0354"/>
    <w:rsid w:val="00BE0689"/>
    <w:rsid w:val="00BE0868"/>
    <w:rsid w:val="00BE0BE6"/>
    <w:rsid w:val="00BE1088"/>
    <w:rsid w:val="00BE120C"/>
    <w:rsid w:val="00BE14A2"/>
    <w:rsid w:val="00BE15D0"/>
    <w:rsid w:val="00BE17E3"/>
    <w:rsid w:val="00BE1817"/>
    <w:rsid w:val="00BE1A1B"/>
    <w:rsid w:val="00BE1B21"/>
    <w:rsid w:val="00BE1BE6"/>
    <w:rsid w:val="00BE1C12"/>
    <w:rsid w:val="00BE1CF7"/>
    <w:rsid w:val="00BE1DF4"/>
    <w:rsid w:val="00BE1EBF"/>
    <w:rsid w:val="00BE1EC6"/>
    <w:rsid w:val="00BE202D"/>
    <w:rsid w:val="00BE2048"/>
    <w:rsid w:val="00BE2090"/>
    <w:rsid w:val="00BE2474"/>
    <w:rsid w:val="00BE24EB"/>
    <w:rsid w:val="00BE2508"/>
    <w:rsid w:val="00BE254C"/>
    <w:rsid w:val="00BE2AF9"/>
    <w:rsid w:val="00BE2B23"/>
    <w:rsid w:val="00BE2C02"/>
    <w:rsid w:val="00BE2C03"/>
    <w:rsid w:val="00BE2DD8"/>
    <w:rsid w:val="00BE30F0"/>
    <w:rsid w:val="00BE3195"/>
    <w:rsid w:val="00BE31D8"/>
    <w:rsid w:val="00BE36E4"/>
    <w:rsid w:val="00BE37B2"/>
    <w:rsid w:val="00BE3963"/>
    <w:rsid w:val="00BE39D4"/>
    <w:rsid w:val="00BE3F74"/>
    <w:rsid w:val="00BE427B"/>
    <w:rsid w:val="00BE439F"/>
    <w:rsid w:val="00BE43B3"/>
    <w:rsid w:val="00BE4866"/>
    <w:rsid w:val="00BE4869"/>
    <w:rsid w:val="00BE48D1"/>
    <w:rsid w:val="00BE4AEA"/>
    <w:rsid w:val="00BE4AFA"/>
    <w:rsid w:val="00BE4B7C"/>
    <w:rsid w:val="00BE4CA7"/>
    <w:rsid w:val="00BE4D41"/>
    <w:rsid w:val="00BE4DE2"/>
    <w:rsid w:val="00BE4FBE"/>
    <w:rsid w:val="00BE53A9"/>
    <w:rsid w:val="00BE5768"/>
    <w:rsid w:val="00BE59A4"/>
    <w:rsid w:val="00BE5A21"/>
    <w:rsid w:val="00BE5AF8"/>
    <w:rsid w:val="00BE5B96"/>
    <w:rsid w:val="00BE5BFA"/>
    <w:rsid w:val="00BE5E98"/>
    <w:rsid w:val="00BE5EC7"/>
    <w:rsid w:val="00BE5F6E"/>
    <w:rsid w:val="00BE6131"/>
    <w:rsid w:val="00BE6470"/>
    <w:rsid w:val="00BE6646"/>
    <w:rsid w:val="00BE6713"/>
    <w:rsid w:val="00BE6B60"/>
    <w:rsid w:val="00BE6B93"/>
    <w:rsid w:val="00BE6BD5"/>
    <w:rsid w:val="00BE6EBD"/>
    <w:rsid w:val="00BE6F0C"/>
    <w:rsid w:val="00BE6F56"/>
    <w:rsid w:val="00BE71BC"/>
    <w:rsid w:val="00BE7361"/>
    <w:rsid w:val="00BE754B"/>
    <w:rsid w:val="00BE77F4"/>
    <w:rsid w:val="00BE7C3F"/>
    <w:rsid w:val="00BE7CBB"/>
    <w:rsid w:val="00BE7D50"/>
    <w:rsid w:val="00BF00A8"/>
    <w:rsid w:val="00BF051F"/>
    <w:rsid w:val="00BF0520"/>
    <w:rsid w:val="00BF09BA"/>
    <w:rsid w:val="00BF0ABC"/>
    <w:rsid w:val="00BF0B58"/>
    <w:rsid w:val="00BF0E54"/>
    <w:rsid w:val="00BF113F"/>
    <w:rsid w:val="00BF1302"/>
    <w:rsid w:val="00BF132F"/>
    <w:rsid w:val="00BF14E7"/>
    <w:rsid w:val="00BF14EA"/>
    <w:rsid w:val="00BF1588"/>
    <w:rsid w:val="00BF15A3"/>
    <w:rsid w:val="00BF1640"/>
    <w:rsid w:val="00BF16D0"/>
    <w:rsid w:val="00BF1A4D"/>
    <w:rsid w:val="00BF1AA3"/>
    <w:rsid w:val="00BF1ABF"/>
    <w:rsid w:val="00BF1B37"/>
    <w:rsid w:val="00BF1BB1"/>
    <w:rsid w:val="00BF1CA0"/>
    <w:rsid w:val="00BF1CF3"/>
    <w:rsid w:val="00BF1EDD"/>
    <w:rsid w:val="00BF20B8"/>
    <w:rsid w:val="00BF212C"/>
    <w:rsid w:val="00BF29CE"/>
    <w:rsid w:val="00BF2A63"/>
    <w:rsid w:val="00BF2B2C"/>
    <w:rsid w:val="00BF2B39"/>
    <w:rsid w:val="00BF2DF5"/>
    <w:rsid w:val="00BF2EDC"/>
    <w:rsid w:val="00BF2F21"/>
    <w:rsid w:val="00BF2FDE"/>
    <w:rsid w:val="00BF3163"/>
    <w:rsid w:val="00BF32AB"/>
    <w:rsid w:val="00BF32FF"/>
    <w:rsid w:val="00BF33B7"/>
    <w:rsid w:val="00BF34D7"/>
    <w:rsid w:val="00BF3741"/>
    <w:rsid w:val="00BF3A0D"/>
    <w:rsid w:val="00BF3A69"/>
    <w:rsid w:val="00BF3FB0"/>
    <w:rsid w:val="00BF400A"/>
    <w:rsid w:val="00BF432A"/>
    <w:rsid w:val="00BF439F"/>
    <w:rsid w:val="00BF473C"/>
    <w:rsid w:val="00BF4741"/>
    <w:rsid w:val="00BF4A49"/>
    <w:rsid w:val="00BF4A58"/>
    <w:rsid w:val="00BF4BA9"/>
    <w:rsid w:val="00BF4BBF"/>
    <w:rsid w:val="00BF505C"/>
    <w:rsid w:val="00BF542E"/>
    <w:rsid w:val="00BF5617"/>
    <w:rsid w:val="00BF5737"/>
    <w:rsid w:val="00BF5B8F"/>
    <w:rsid w:val="00BF5C28"/>
    <w:rsid w:val="00BF5E0A"/>
    <w:rsid w:val="00BF5F34"/>
    <w:rsid w:val="00BF5FC7"/>
    <w:rsid w:val="00BF6201"/>
    <w:rsid w:val="00BF63AF"/>
    <w:rsid w:val="00BF63EC"/>
    <w:rsid w:val="00BF6A1B"/>
    <w:rsid w:val="00BF6B00"/>
    <w:rsid w:val="00BF6BE2"/>
    <w:rsid w:val="00BF6D03"/>
    <w:rsid w:val="00BF6DF8"/>
    <w:rsid w:val="00BF6DFC"/>
    <w:rsid w:val="00BF6EB7"/>
    <w:rsid w:val="00BF7047"/>
    <w:rsid w:val="00BF74A8"/>
    <w:rsid w:val="00BF7587"/>
    <w:rsid w:val="00BF77A0"/>
    <w:rsid w:val="00BF7EF1"/>
    <w:rsid w:val="00C0010B"/>
    <w:rsid w:val="00C0014B"/>
    <w:rsid w:val="00C00168"/>
    <w:rsid w:val="00C007AE"/>
    <w:rsid w:val="00C00826"/>
    <w:rsid w:val="00C0086D"/>
    <w:rsid w:val="00C00BB7"/>
    <w:rsid w:val="00C00CD4"/>
    <w:rsid w:val="00C00EFE"/>
    <w:rsid w:val="00C00F45"/>
    <w:rsid w:val="00C00F4E"/>
    <w:rsid w:val="00C00FC0"/>
    <w:rsid w:val="00C01280"/>
    <w:rsid w:val="00C01316"/>
    <w:rsid w:val="00C01342"/>
    <w:rsid w:val="00C0143D"/>
    <w:rsid w:val="00C017A6"/>
    <w:rsid w:val="00C017EB"/>
    <w:rsid w:val="00C0198D"/>
    <w:rsid w:val="00C01B3C"/>
    <w:rsid w:val="00C01C4B"/>
    <w:rsid w:val="00C01E4D"/>
    <w:rsid w:val="00C01F59"/>
    <w:rsid w:val="00C02103"/>
    <w:rsid w:val="00C02473"/>
    <w:rsid w:val="00C0262A"/>
    <w:rsid w:val="00C02AA0"/>
    <w:rsid w:val="00C02D99"/>
    <w:rsid w:val="00C03124"/>
    <w:rsid w:val="00C031AF"/>
    <w:rsid w:val="00C03216"/>
    <w:rsid w:val="00C03255"/>
    <w:rsid w:val="00C0344D"/>
    <w:rsid w:val="00C03710"/>
    <w:rsid w:val="00C03738"/>
    <w:rsid w:val="00C038ED"/>
    <w:rsid w:val="00C03A12"/>
    <w:rsid w:val="00C03C79"/>
    <w:rsid w:val="00C03E49"/>
    <w:rsid w:val="00C03EC8"/>
    <w:rsid w:val="00C03FA4"/>
    <w:rsid w:val="00C041BC"/>
    <w:rsid w:val="00C04270"/>
    <w:rsid w:val="00C04388"/>
    <w:rsid w:val="00C04709"/>
    <w:rsid w:val="00C04BC4"/>
    <w:rsid w:val="00C04D88"/>
    <w:rsid w:val="00C04E57"/>
    <w:rsid w:val="00C04ED4"/>
    <w:rsid w:val="00C04FD0"/>
    <w:rsid w:val="00C0509F"/>
    <w:rsid w:val="00C051ED"/>
    <w:rsid w:val="00C05281"/>
    <w:rsid w:val="00C052B5"/>
    <w:rsid w:val="00C053C7"/>
    <w:rsid w:val="00C05F11"/>
    <w:rsid w:val="00C05F67"/>
    <w:rsid w:val="00C05FB4"/>
    <w:rsid w:val="00C0666F"/>
    <w:rsid w:val="00C06AEB"/>
    <w:rsid w:val="00C06B8D"/>
    <w:rsid w:val="00C06D22"/>
    <w:rsid w:val="00C06ECF"/>
    <w:rsid w:val="00C06F25"/>
    <w:rsid w:val="00C078EA"/>
    <w:rsid w:val="00C07BBE"/>
    <w:rsid w:val="00C07BC9"/>
    <w:rsid w:val="00C07C9D"/>
    <w:rsid w:val="00C07E24"/>
    <w:rsid w:val="00C104EA"/>
    <w:rsid w:val="00C10538"/>
    <w:rsid w:val="00C106D8"/>
    <w:rsid w:val="00C10758"/>
    <w:rsid w:val="00C10A7A"/>
    <w:rsid w:val="00C10B40"/>
    <w:rsid w:val="00C10D08"/>
    <w:rsid w:val="00C10E22"/>
    <w:rsid w:val="00C10EC5"/>
    <w:rsid w:val="00C11045"/>
    <w:rsid w:val="00C11070"/>
    <w:rsid w:val="00C1131C"/>
    <w:rsid w:val="00C11472"/>
    <w:rsid w:val="00C114C6"/>
    <w:rsid w:val="00C116D9"/>
    <w:rsid w:val="00C11BC0"/>
    <w:rsid w:val="00C11C2A"/>
    <w:rsid w:val="00C11C2F"/>
    <w:rsid w:val="00C11CEB"/>
    <w:rsid w:val="00C11F18"/>
    <w:rsid w:val="00C12162"/>
    <w:rsid w:val="00C12173"/>
    <w:rsid w:val="00C12567"/>
    <w:rsid w:val="00C126E0"/>
    <w:rsid w:val="00C12846"/>
    <w:rsid w:val="00C128A9"/>
    <w:rsid w:val="00C128D6"/>
    <w:rsid w:val="00C12993"/>
    <w:rsid w:val="00C12BD8"/>
    <w:rsid w:val="00C12CE6"/>
    <w:rsid w:val="00C12D7C"/>
    <w:rsid w:val="00C12DD8"/>
    <w:rsid w:val="00C12E44"/>
    <w:rsid w:val="00C12E55"/>
    <w:rsid w:val="00C12E90"/>
    <w:rsid w:val="00C133C1"/>
    <w:rsid w:val="00C1340C"/>
    <w:rsid w:val="00C13675"/>
    <w:rsid w:val="00C13702"/>
    <w:rsid w:val="00C13A71"/>
    <w:rsid w:val="00C13F69"/>
    <w:rsid w:val="00C13FD5"/>
    <w:rsid w:val="00C142CD"/>
    <w:rsid w:val="00C1433E"/>
    <w:rsid w:val="00C14353"/>
    <w:rsid w:val="00C144C4"/>
    <w:rsid w:val="00C14579"/>
    <w:rsid w:val="00C14970"/>
    <w:rsid w:val="00C149C6"/>
    <w:rsid w:val="00C14AB5"/>
    <w:rsid w:val="00C14FBE"/>
    <w:rsid w:val="00C153C6"/>
    <w:rsid w:val="00C153DD"/>
    <w:rsid w:val="00C15663"/>
    <w:rsid w:val="00C157B6"/>
    <w:rsid w:val="00C159ED"/>
    <w:rsid w:val="00C15AF3"/>
    <w:rsid w:val="00C15CE2"/>
    <w:rsid w:val="00C16548"/>
    <w:rsid w:val="00C16603"/>
    <w:rsid w:val="00C169F8"/>
    <w:rsid w:val="00C16A2A"/>
    <w:rsid w:val="00C16AEB"/>
    <w:rsid w:val="00C16B73"/>
    <w:rsid w:val="00C16BC4"/>
    <w:rsid w:val="00C16D87"/>
    <w:rsid w:val="00C17066"/>
    <w:rsid w:val="00C170B4"/>
    <w:rsid w:val="00C17159"/>
    <w:rsid w:val="00C171B1"/>
    <w:rsid w:val="00C1724B"/>
    <w:rsid w:val="00C172E8"/>
    <w:rsid w:val="00C17361"/>
    <w:rsid w:val="00C17715"/>
    <w:rsid w:val="00C17B5A"/>
    <w:rsid w:val="00C17BCD"/>
    <w:rsid w:val="00C201F1"/>
    <w:rsid w:val="00C2024A"/>
    <w:rsid w:val="00C2037F"/>
    <w:rsid w:val="00C20402"/>
    <w:rsid w:val="00C204DC"/>
    <w:rsid w:val="00C20590"/>
    <w:rsid w:val="00C205B6"/>
    <w:rsid w:val="00C205E5"/>
    <w:rsid w:val="00C20B0F"/>
    <w:rsid w:val="00C20CC0"/>
    <w:rsid w:val="00C20D38"/>
    <w:rsid w:val="00C20E18"/>
    <w:rsid w:val="00C20E25"/>
    <w:rsid w:val="00C2114A"/>
    <w:rsid w:val="00C212FE"/>
    <w:rsid w:val="00C21865"/>
    <w:rsid w:val="00C21991"/>
    <w:rsid w:val="00C21A7D"/>
    <w:rsid w:val="00C21A9C"/>
    <w:rsid w:val="00C21AD3"/>
    <w:rsid w:val="00C21BDD"/>
    <w:rsid w:val="00C21C9D"/>
    <w:rsid w:val="00C21FC9"/>
    <w:rsid w:val="00C221BE"/>
    <w:rsid w:val="00C2249D"/>
    <w:rsid w:val="00C22A88"/>
    <w:rsid w:val="00C22BBB"/>
    <w:rsid w:val="00C22C1E"/>
    <w:rsid w:val="00C22D8D"/>
    <w:rsid w:val="00C22DC9"/>
    <w:rsid w:val="00C22DEF"/>
    <w:rsid w:val="00C22ECD"/>
    <w:rsid w:val="00C22F12"/>
    <w:rsid w:val="00C22F1A"/>
    <w:rsid w:val="00C23012"/>
    <w:rsid w:val="00C2307B"/>
    <w:rsid w:val="00C231B5"/>
    <w:rsid w:val="00C23201"/>
    <w:rsid w:val="00C2338A"/>
    <w:rsid w:val="00C2354D"/>
    <w:rsid w:val="00C235E8"/>
    <w:rsid w:val="00C23603"/>
    <w:rsid w:val="00C239FA"/>
    <w:rsid w:val="00C24360"/>
    <w:rsid w:val="00C24511"/>
    <w:rsid w:val="00C248A7"/>
    <w:rsid w:val="00C248E2"/>
    <w:rsid w:val="00C2496C"/>
    <w:rsid w:val="00C2498A"/>
    <w:rsid w:val="00C24AD8"/>
    <w:rsid w:val="00C24B55"/>
    <w:rsid w:val="00C24CDA"/>
    <w:rsid w:val="00C24D12"/>
    <w:rsid w:val="00C24DDB"/>
    <w:rsid w:val="00C24FF9"/>
    <w:rsid w:val="00C25436"/>
    <w:rsid w:val="00C25488"/>
    <w:rsid w:val="00C2591D"/>
    <w:rsid w:val="00C25C4D"/>
    <w:rsid w:val="00C25CC8"/>
    <w:rsid w:val="00C25E78"/>
    <w:rsid w:val="00C25E87"/>
    <w:rsid w:val="00C260D9"/>
    <w:rsid w:val="00C26243"/>
    <w:rsid w:val="00C265AA"/>
    <w:rsid w:val="00C26CA6"/>
    <w:rsid w:val="00C26CFE"/>
    <w:rsid w:val="00C26E3B"/>
    <w:rsid w:val="00C26EDB"/>
    <w:rsid w:val="00C26F24"/>
    <w:rsid w:val="00C272B2"/>
    <w:rsid w:val="00C273D6"/>
    <w:rsid w:val="00C273F9"/>
    <w:rsid w:val="00C276BD"/>
    <w:rsid w:val="00C27890"/>
    <w:rsid w:val="00C27AE9"/>
    <w:rsid w:val="00C27C07"/>
    <w:rsid w:val="00C27C46"/>
    <w:rsid w:val="00C27D1D"/>
    <w:rsid w:val="00C27EF5"/>
    <w:rsid w:val="00C3012C"/>
    <w:rsid w:val="00C303E0"/>
    <w:rsid w:val="00C303E9"/>
    <w:rsid w:val="00C30669"/>
    <w:rsid w:val="00C30858"/>
    <w:rsid w:val="00C309B3"/>
    <w:rsid w:val="00C309BD"/>
    <w:rsid w:val="00C30A8D"/>
    <w:rsid w:val="00C30C33"/>
    <w:rsid w:val="00C30ED0"/>
    <w:rsid w:val="00C31115"/>
    <w:rsid w:val="00C31307"/>
    <w:rsid w:val="00C3145D"/>
    <w:rsid w:val="00C3168C"/>
    <w:rsid w:val="00C317A5"/>
    <w:rsid w:val="00C317C8"/>
    <w:rsid w:val="00C31847"/>
    <w:rsid w:val="00C319CA"/>
    <w:rsid w:val="00C31AA6"/>
    <w:rsid w:val="00C3252A"/>
    <w:rsid w:val="00C32B94"/>
    <w:rsid w:val="00C32CA6"/>
    <w:rsid w:val="00C32CBF"/>
    <w:rsid w:val="00C32CEC"/>
    <w:rsid w:val="00C32EB0"/>
    <w:rsid w:val="00C32FF4"/>
    <w:rsid w:val="00C33004"/>
    <w:rsid w:val="00C331C9"/>
    <w:rsid w:val="00C3345B"/>
    <w:rsid w:val="00C336F3"/>
    <w:rsid w:val="00C33EF7"/>
    <w:rsid w:val="00C34047"/>
    <w:rsid w:val="00C34143"/>
    <w:rsid w:val="00C3447C"/>
    <w:rsid w:val="00C345AA"/>
    <w:rsid w:val="00C3485F"/>
    <w:rsid w:val="00C348AE"/>
    <w:rsid w:val="00C3499F"/>
    <w:rsid w:val="00C34F33"/>
    <w:rsid w:val="00C350B3"/>
    <w:rsid w:val="00C35189"/>
    <w:rsid w:val="00C352B0"/>
    <w:rsid w:val="00C35347"/>
    <w:rsid w:val="00C3581E"/>
    <w:rsid w:val="00C35862"/>
    <w:rsid w:val="00C358F9"/>
    <w:rsid w:val="00C35983"/>
    <w:rsid w:val="00C35A89"/>
    <w:rsid w:val="00C35BA0"/>
    <w:rsid w:val="00C35C72"/>
    <w:rsid w:val="00C35F4C"/>
    <w:rsid w:val="00C35F95"/>
    <w:rsid w:val="00C361C5"/>
    <w:rsid w:val="00C36228"/>
    <w:rsid w:val="00C36234"/>
    <w:rsid w:val="00C366DE"/>
    <w:rsid w:val="00C3679D"/>
    <w:rsid w:val="00C36874"/>
    <w:rsid w:val="00C36AEC"/>
    <w:rsid w:val="00C36B59"/>
    <w:rsid w:val="00C36D5C"/>
    <w:rsid w:val="00C36E01"/>
    <w:rsid w:val="00C37032"/>
    <w:rsid w:val="00C37566"/>
    <w:rsid w:val="00C37C04"/>
    <w:rsid w:val="00C37D79"/>
    <w:rsid w:val="00C37DC4"/>
    <w:rsid w:val="00C37E42"/>
    <w:rsid w:val="00C37F81"/>
    <w:rsid w:val="00C4014E"/>
    <w:rsid w:val="00C40311"/>
    <w:rsid w:val="00C4046B"/>
    <w:rsid w:val="00C406D6"/>
    <w:rsid w:val="00C4075C"/>
    <w:rsid w:val="00C40896"/>
    <w:rsid w:val="00C40A3E"/>
    <w:rsid w:val="00C40D7F"/>
    <w:rsid w:val="00C40E6F"/>
    <w:rsid w:val="00C40F18"/>
    <w:rsid w:val="00C41139"/>
    <w:rsid w:val="00C41208"/>
    <w:rsid w:val="00C416EA"/>
    <w:rsid w:val="00C418F9"/>
    <w:rsid w:val="00C41C3F"/>
    <w:rsid w:val="00C4214A"/>
    <w:rsid w:val="00C42185"/>
    <w:rsid w:val="00C42202"/>
    <w:rsid w:val="00C42402"/>
    <w:rsid w:val="00C424FE"/>
    <w:rsid w:val="00C42678"/>
    <w:rsid w:val="00C427DB"/>
    <w:rsid w:val="00C429AB"/>
    <w:rsid w:val="00C429C9"/>
    <w:rsid w:val="00C42A19"/>
    <w:rsid w:val="00C42A73"/>
    <w:rsid w:val="00C42AC8"/>
    <w:rsid w:val="00C42B41"/>
    <w:rsid w:val="00C432C9"/>
    <w:rsid w:val="00C43396"/>
    <w:rsid w:val="00C433AA"/>
    <w:rsid w:val="00C43445"/>
    <w:rsid w:val="00C434E5"/>
    <w:rsid w:val="00C43642"/>
    <w:rsid w:val="00C43741"/>
    <w:rsid w:val="00C437E5"/>
    <w:rsid w:val="00C43BDB"/>
    <w:rsid w:val="00C43EAC"/>
    <w:rsid w:val="00C44357"/>
    <w:rsid w:val="00C4471E"/>
    <w:rsid w:val="00C44821"/>
    <w:rsid w:val="00C44A37"/>
    <w:rsid w:val="00C44A90"/>
    <w:rsid w:val="00C44ADA"/>
    <w:rsid w:val="00C45279"/>
    <w:rsid w:val="00C45302"/>
    <w:rsid w:val="00C45399"/>
    <w:rsid w:val="00C4552D"/>
    <w:rsid w:val="00C45643"/>
    <w:rsid w:val="00C456CF"/>
    <w:rsid w:val="00C457B8"/>
    <w:rsid w:val="00C457BF"/>
    <w:rsid w:val="00C45907"/>
    <w:rsid w:val="00C45938"/>
    <w:rsid w:val="00C45BC8"/>
    <w:rsid w:val="00C45BE7"/>
    <w:rsid w:val="00C45D93"/>
    <w:rsid w:val="00C45F7F"/>
    <w:rsid w:val="00C45F82"/>
    <w:rsid w:val="00C45FA1"/>
    <w:rsid w:val="00C460C4"/>
    <w:rsid w:val="00C46149"/>
    <w:rsid w:val="00C466DB"/>
    <w:rsid w:val="00C46726"/>
    <w:rsid w:val="00C46ABB"/>
    <w:rsid w:val="00C46DA3"/>
    <w:rsid w:val="00C4731B"/>
    <w:rsid w:val="00C47382"/>
    <w:rsid w:val="00C475A0"/>
    <w:rsid w:val="00C476D9"/>
    <w:rsid w:val="00C477D9"/>
    <w:rsid w:val="00C47814"/>
    <w:rsid w:val="00C478D2"/>
    <w:rsid w:val="00C478FC"/>
    <w:rsid w:val="00C479E8"/>
    <w:rsid w:val="00C47B74"/>
    <w:rsid w:val="00C47D1F"/>
    <w:rsid w:val="00C47DEB"/>
    <w:rsid w:val="00C47E21"/>
    <w:rsid w:val="00C50003"/>
    <w:rsid w:val="00C50124"/>
    <w:rsid w:val="00C501EF"/>
    <w:rsid w:val="00C502EC"/>
    <w:rsid w:val="00C504A7"/>
    <w:rsid w:val="00C5087B"/>
    <w:rsid w:val="00C509F9"/>
    <w:rsid w:val="00C50D9F"/>
    <w:rsid w:val="00C50E81"/>
    <w:rsid w:val="00C50F18"/>
    <w:rsid w:val="00C511DB"/>
    <w:rsid w:val="00C513A6"/>
    <w:rsid w:val="00C51607"/>
    <w:rsid w:val="00C517C8"/>
    <w:rsid w:val="00C51859"/>
    <w:rsid w:val="00C518DD"/>
    <w:rsid w:val="00C51930"/>
    <w:rsid w:val="00C51AC2"/>
    <w:rsid w:val="00C51B6E"/>
    <w:rsid w:val="00C51C5A"/>
    <w:rsid w:val="00C51F78"/>
    <w:rsid w:val="00C52204"/>
    <w:rsid w:val="00C5224B"/>
    <w:rsid w:val="00C52264"/>
    <w:rsid w:val="00C52508"/>
    <w:rsid w:val="00C527C3"/>
    <w:rsid w:val="00C52F11"/>
    <w:rsid w:val="00C530A9"/>
    <w:rsid w:val="00C53166"/>
    <w:rsid w:val="00C5321F"/>
    <w:rsid w:val="00C532CE"/>
    <w:rsid w:val="00C53302"/>
    <w:rsid w:val="00C53572"/>
    <w:rsid w:val="00C53609"/>
    <w:rsid w:val="00C53B26"/>
    <w:rsid w:val="00C53C2C"/>
    <w:rsid w:val="00C53C39"/>
    <w:rsid w:val="00C53E9D"/>
    <w:rsid w:val="00C5442F"/>
    <w:rsid w:val="00C547B9"/>
    <w:rsid w:val="00C54A9F"/>
    <w:rsid w:val="00C54D84"/>
    <w:rsid w:val="00C54E70"/>
    <w:rsid w:val="00C54F4C"/>
    <w:rsid w:val="00C552E5"/>
    <w:rsid w:val="00C553CC"/>
    <w:rsid w:val="00C55611"/>
    <w:rsid w:val="00C556E1"/>
    <w:rsid w:val="00C5579F"/>
    <w:rsid w:val="00C55898"/>
    <w:rsid w:val="00C55F16"/>
    <w:rsid w:val="00C562C4"/>
    <w:rsid w:val="00C5645D"/>
    <w:rsid w:val="00C56618"/>
    <w:rsid w:val="00C56804"/>
    <w:rsid w:val="00C56859"/>
    <w:rsid w:val="00C56E45"/>
    <w:rsid w:val="00C56F30"/>
    <w:rsid w:val="00C5710B"/>
    <w:rsid w:val="00C57223"/>
    <w:rsid w:val="00C573B1"/>
    <w:rsid w:val="00C5750E"/>
    <w:rsid w:val="00C57588"/>
    <w:rsid w:val="00C575D3"/>
    <w:rsid w:val="00C576A1"/>
    <w:rsid w:val="00C5772E"/>
    <w:rsid w:val="00C5775C"/>
    <w:rsid w:val="00C57976"/>
    <w:rsid w:val="00C57A4B"/>
    <w:rsid w:val="00C57BA6"/>
    <w:rsid w:val="00C57CF0"/>
    <w:rsid w:val="00C57D92"/>
    <w:rsid w:val="00C57F36"/>
    <w:rsid w:val="00C605F7"/>
    <w:rsid w:val="00C607CD"/>
    <w:rsid w:val="00C607EA"/>
    <w:rsid w:val="00C60AB6"/>
    <w:rsid w:val="00C60D3D"/>
    <w:rsid w:val="00C60D4F"/>
    <w:rsid w:val="00C60ED0"/>
    <w:rsid w:val="00C60FE8"/>
    <w:rsid w:val="00C61182"/>
    <w:rsid w:val="00C614CD"/>
    <w:rsid w:val="00C615CD"/>
    <w:rsid w:val="00C61D51"/>
    <w:rsid w:val="00C61EC1"/>
    <w:rsid w:val="00C620F6"/>
    <w:rsid w:val="00C621E7"/>
    <w:rsid w:val="00C6273C"/>
    <w:rsid w:val="00C62971"/>
    <w:rsid w:val="00C62C5F"/>
    <w:rsid w:val="00C6313A"/>
    <w:rsid w:val="00C632D6"/>
    <w:rsid w:val="00C63563"/>
    <w:rsid w:val="00C636FB"/>
    <w:rsid w:val="00C63A58"/>
    <w:rsid w:val="00C63B10"/>
    <w:rsid w:val="00C63F05"/>
    <w:rsid w:val="00C6408D"/>
    <w:rsid w:val="00C6444A"/>
    <w:rsid w:val="00C6444D"/>
    <w:rsid w:val="00C644B3"/>
    <w:rsid w:val="00C64587"/>
    <w:rsid w:val="00C6462B"/>
    <w:rsid w:val="00C64758"/>
    <w:rsid w:val="00C6497A"/>
    <w:rsid w:val="00C64B0D"/>
    <w:rsid w:val="00C64C81"/>
    <w:rsid w:val="00C64CD6"/>
    <w:rsid w:val="00C64D01"/>
    <w:rsid w:val="00C64D54"/>
    <w:rsid w:val="00C64D8F"/>
    <w:rsid w:val="00C64DE6"/>
    <w:rsid w:val="00C64E8C"/>
    <w:rsid w:val="00C64F2C"/>
    <w:rsid w:val="00C64F9C"/>
    <w:rsid w:val="00C652D1"/>
    <w:rsid w:val="00C655E9"/>
    <w:rsid w:val="00C65718"/>
    <w:rsid w:val="00C6595A"/>
    <w:rsid w:val="00C65A6A"/>
    <w:rsid w:val="00C65A9C"/>
    <w:rsid w:val="00C65CC2"/>
    <w:rsid w:val="00C65D37"/>
    <w:rsid w:val="00C65ED9"/>
    <w:rsid w:val="00C662EA"/>
    <w:rsid w:val="00C663A9"/>
    <w:rsid w:val="00C663D9"/>
    <w:rsid w:val="00C66501"/>
    <w:rsid w:val="00C6671A"/>
    <w:rsid w:val="00C66795"/>
    <w:rsid w:val="00C668B0"/>
    <w:rsid w:val="00C669A1"/>
    <w:rsid w:val="00C66D3F"/>
    <w:rsid w:val="00C66E55"/>
    <w:rsid w:val="00C66F12"/>
    <w:rsid w:val="00C66F80"/>
    <w:rsid w:val="00C66F91"/>
    <w:rsid w:val="00C67138"/>
    <w:rsid w:val="00C67634"/>
    <w:rsid w:val="00C676FD"/>
    <w:rsid w:val="00C6772E"/>
    <w:rsid w:val="00C67737"/>
    <w:rsid w:val="00C677AF"/>
    <w:rsid w:val="00C67C5A"/>
    <w:rsid w:val="00C67C76"/>
    <w:rsid w:val="00C70111"/>
    <w:rsid w:val="00C70243"/>
    <w:rsid w:val="00C7036E"/>
    <w:rsid w:val="00C703A1"/>
    <w:rsid w:val="00C70499"/>
    <w:rsid w:val="00C704C3"/>
    <w:rsid w:val="00C704EF"/>
    <w:rsid w:val="00C705CF"/>
    <w:rsid w:val="00C7086E"/>
    <w:rsid w:val="00C70890"/>
    <w:rsid w:val="00C70A1A"/>
    <w:rsid w:val="00C70A71"/>
    <w:rsid w:val="00C70ABA"/>
    <w:rsid w:val="00C70B3F"/>
    <w:rsid w:val="00C70DE0"/>
    <w:rsid w:val="00C70FEF"/>
    <w:rsid w:val="00C71100"/>
    <w:rsid w:val="00C712AB"/>
    <w:rsid w:val="00C713E9"/>
    <w:rsid w:val="00C714F2"/>
    <w:rsid w:val="00C715B7"/>
    <w:rsid w:val="00C71656"/>
    <w:rsid w:val="00C717D9"/>
    <w:rsid w:val="00C71809"/>
    <w:rsid w:val="00C7189A"/>
    <w:rsid w:val="00C71948"/>
    <w:rsid w:val="00C719C0"/>
    <w:rsid w:val="00C719DB"/>
    <w:rsid w:val="00C71E92"/>
    <w:rsid w:val="00C71EBD"/>
    <w:rsid w:val="00C71EFD"/>
    <w:rsid w:val="00C72372"/>
    <w:rsid w:val="00C72433"/>
    <w:rsid w:val="00C724D9"/>
    <w:rsid w:val="00C72569"/>
    <w:rsid w:val="00C725A6"/>
    <w:rsid w:val="00C726F8"/>
    <w:rsid w:val="00C729AE"/>
    <w:rsid w:val="00C72BF0"/>
    <w:rsid w:val="00C72EB0"/>
    <w:rsid w:val="00C72F12"/>
    <w:rsid w:val="00C73030"/>
    <w:rsid w:val="00C730D6"/>
    <w:rsid w:val="00C731A3"/>
    <w:rsid w:val="00C732C4"/>
    <w:rsid w:val="00C73833"/>
    <w:rsid w:val="00C738F5"/>
    <w:rsid w:val="00C739A3"/>
    <w:rsid w:val="00C73B62"/>
    <w:rsid w:val="00C73C77"/>
    <w:rsid w:val="00C740DA"/>
    <w:rsid w:val="00C74469"/>
    <w:rsid w:val="00C7473C"/>
    <w:rsid w:val="00C74784"/>
    <w:rsid w:val="00C74792"/>
    <w:rsid w:val="00C7488D"/>
    <w:rsid w:val="00C748E0"/>
    <w:rsid w:val="00C74A03"/>
    <w:rsid w:val="00C74B06"/>
    <w:rsid w:val="00C74B7C"/>
    <w:rsid w:val="00C74F42"/>
    <w:rsid w:val="00C751FE"/>
    <w:rsid w:val="00C7520F"/>
    <w:rsid w:val="00C753FE"/>
    <w:rsid w:val="00C754B4"/>
    <w:rsid w:val="00C75A6F"/>
    <w:rsid w:val="00C75BB0"/>
    <w:rsid w:val="00C75BB6"/>
    <w:rsid w:val="00C75BCF"/>
    <w:rsid w:val="00C75D5D"/>
    <w:rsid w:val="00C75DC3"/>
    <w:rsid w:val="00C75E5F"/>
    <w:rsid w:val="00C760AC"/>
    <w:rsid w:val="00C76146"/>
    <w:rsid w:val="00C76158"/>
    <w:rsid w:val="00C76430"/>
    <w:rsid w:val="00C76495"/>
    <w:rsid w:val="00C7649A"/>
    <w:rsid w:val="00C76550"/>
    <w:rsid w:val="00C76586"/>
    <w:rsid w:val="00C767A2"/>
    <w:rsid w:val="00C7695B"/>
    <w:rsid w:val="00C7698A"/>
    <w:rsid w:val="00C770FC"/>
    <w:rsid w:val="00C77111"/>
    <w:rsid w:val="00C771CC"/>
    <w:rsid w:val="00C772D7"/>
    <w:rsid w:val="00C773C9"/>
    <w:rsid w:val="00C774AD"/>
    <w:rsid w:val="00C77548"/>
    <w:rsid w:val="00C77895"/>
    <w:rsid w:val="00C778E1"/>
    <w:rsid w:val="00C778E2"/>
    <w:rsid w:val="00C77B71"/>
    <w:rsid w:val="00C77D0D"/>
    <w:rsid w:val="00C77D9C"/>
    <w:rsid w:val="00C77EE5"/>
    <w:rsid w:val="00C80606"/>
    <w:rsid w:val="00C80645"/>
    <w:rsid w:val="00C806A4"/>
    <w:rsid w:val="00C80BE2"/>
    <w:rsid w:val="00C80C06"/>
    <w:rsid w:val="00C80D21"/>
    <w:rsid w:val="00C80DF9"/>
    <w:rsid w:val="00C80E31"/>
    <w:rsid w:val="00C80EBF"/>
    <w:rsid w:val="00C81DBD"/>
    <w:rsid w:val="00C81ED4"/>
    <w:rsid w:val="00C81EF7"/>
    <w:rsid w:val="00C81F3A"/>
    <w:rsid w:val="00C822B0"/>
    <w:rsid w:val="00C82360"/>
    <w:rsid w:val="00C825D8"/>
    <w:rsid w:val="00C82653"/>
    <w:rsid w:val="00C828E9"/>
    <w:rsid w:val="00C82978"/>
    <w:rsid w:val="00C82A0E"/>
    <w:rsid w:val="00C82B11"/>
    <w:rsid w:val="00C82EFA"/>
    <w:rsid w:val="00C83297"/>
    <w:rsid w:val="00C838A0"/>
    <w:rsid w:val="00C839AE"/>
    <w:rsid w:val="00C83F46"/>
    <w:rsid w:val="00C83F9A"/>
    <w:rsid w:val="00C84015"/>
    <w:rsid w:val="00C84032"/>
    <w:rsid w:val="00C8406F"/>
    <w:rsid w:val="00C84117"/>
    <w:rsid w:val="00C842B8"/>
    <w:rsid w:val="00C84310"/>
    <w:rsid w:val="00C847D5"/>
    <w:rsid w:val="00C849D0"/>
    <w:rsid w:val="00C850DA"/>
    <w:rsid w:val="00C85130"/>
    <w:rsid w:val="00C85180"/>
    <w:rsid w:val="00C855F3"/>
    <w:rsid w:val="00C85770"/>
    <w:rsid w:val="00C858C2"/>
    <w:rsid w:val="00C858DE"/>
    <w:rsid w:val="00C85AFF"/>
    <w:rsid w:val="00C85E13"/>
    <w:rsid w:val="00C85FD4"/>
    <w:rsid w:val="00C86150"/>
    <w:rsid w:val="00C861D3"/>
    <w:rsid w:val="00C8632F"/>
    <w:rsid w:val="00C865B0"/>
    <w:rsid w:val="00C86667"/>
    <w:rsid w:val="00C86668"/>
    <w:rsid w:val="00C8672A"/>
    <w:rsid w:val="00C86C83"/>
    <w:rsid w:val="00C86E01"/>
    <w:rsid w:val="00C86FA9"/>
    <w:rsid w:val="00C87094"/>
    <w:rsid w:val="00C87200"/>
    <w:rsid w:val="00C87237"/>
    <w:rsid w:val="00C876C6"/>
    <w:rsid w:val="00C87738"/>
    <w:rsid w:val="00C87A7E"/>
    <w:rsid w:val="00C87A94"/>
    <w:rsid w:val="00C87D15"/>
    <w:rsid w:val="00C87D8B"/>
    <w:rsid w:val="00C87FA7"/>
    <w:rsid w:val="00C905BB"/>
    <w:rsid w:val="00C907AD"/>
    <w:rsid w:val="00C90B52"/>
    <w:rsid w:val="00C90F30"/>
    <w:rsid w:val="00C911E3"/>
    <w:rsid w:val="00C915CC"/>
    <w:rsid w:val="00C9163B"/>
    <w:rsid w:val="00C9167C"/>
    <w:rsid w:val="00C91917"/>
    <w:rsid w:val="00C91ADE"/>
    <w:rsid w:val="00C91C96"/>
    <w:rsid w:val="00C91CBB"/>
    <w:rsid w:val="00C91DA0"/>
    <w:rsid w:val="00C921B0"/>
    <w:rsid w:val="00C92299"/>
    <w:rsid w:val="00C9248E"/>
    <w:rsid w:val="00C92C73"/>
    <w:rsid w:val="00C92D4A"/>
    <w:rsid w:val="00C92D55"/>
    <w:rsid w:val="00C92DC7"/>
    <w:rsid w:val="00C92FAE"/>
    <w:rsid w:val="00C93409"/>
    <w:rsid w:val="00C936DC"/>
    <w:rsid w:val="00C93C1F"/>
    <w:rsid w:val="00C93CF0"/>
    <w:rsid w:val="00C93DA5"/>
    <w:rsid w:val="00C93E44"/>
    <w:rsid w:val="00C940B0"/>
    <w:rsid w:val="00C940D7"/>
    <w:rsid w:val="00C941AF"/>
    <w:rsid w:val="00C94235"/>
    <w:rsid w:val="00C94505"/>
    <w:rsid w:val="00C945D4"/>
    <w:rsid w:val="00C94659"/>
    <w:rsid w:val="00C94671"/>
    <w:rsid w:val="00C9469A"/>
    <w:rsid w:val="00C94812"/>
    <w:rsid w:val="00C94846"/>
    <w:rsid w:val="00C949E5"/>
    <w:rsid w:val="00C94A18"/>
    <w:rsid w:val="00C94A54"/>
    <w:rsid w:val="00C94BBF"/>
    <w:rsid w:val="00C94F86"/>
    <w:rsid w:val="00C9519C"/>
    <w:rsid w:val="00C955A5"/>
    <w:rsid w:val="00C95D2B"/>
    <w:rsid w:val="00C95DBB"/>
    <w:rsid w:val="00C96273"/>
    <w:rsid w:val="00C96390"/>
    <w:rsid w:val="00C96451"/>
    <w:rsid w:val="00C96505"/>
    <w:rsid w:val="00C96ACE"/>
    <w:rsid w:val="00C96BCF"/>
    <w:rsid w:val="00C96BED"/>
    <w:rsid w:val="00C96D88"/>
    <w:rsid w:val="00C970F0"/>
    <w:rsid w:val="00C97197"/>
    <w:rsid w:val="00C97437"/>
    <w:rsid w:val="00C9782E"/>
    <w:rsid w:val="00C97A59"/>
    <w:rsid w:val="00CA001E"/>
    <w:rsid w:val="00CA00A1"/>
    <w:rsid w:val="00CA013D"/>
    <w:rsid w:val="00CA02FC"/>
    <w:rsid w:val="00CA031F"/>
    <w:rsid w:val="00CA07CA"/>
    <w:rsid w:val="00CA08C0"/>
    <w:rsid w:val="00CA0C28"/>
    <w:rsid w:val="00CA0C5D"/>
    <w:rsid w:val="00CA0CF9"/>
    <w:rsid w:val="00CA0ECB"/>
    <w:rsid w:val="00CA1634"/>
    <w:rsid w:val="00CA1877"/>
    <w:rsid w:val="00CA1898"/>
    <w:rsid w:val="00CA19C8"/>
    <w:rsid w:val="00CA1C4E"/>
    <w:rsid w:val="00CA1C5E"/>
    <w:rsid w:val="00CA1CEF"/>
    <w:rsid w:val="00CA1ED7"/>
    <w:rsid w:val="00CA1F1A"/>
    <w:rsid w:val="00CA21FB"/>
    <w:rsid w:val="00CA2235"/>
    <w:rsid w:val="00CA22A4"/>
    <w:rsid w:val="00CA23D0"/>
    <w:rsid w:val="00CA255B"/>
    <w:rsid w:val="00CA25D8"/>
    <w:rsid w:val="00CA26D5"/>
    <w:rsid w:val="00CA2C8F"/>
    <w:rsid w:val="00CA2D47"/>
    <w:rsid w:val="00CA2EEC"/>
    <w:rsid w:val="00CA311A"/>
    <w:rsid w:val="00CA3964"/>
    <w:rsid w:val="00CA39AE"/>
    <w:rsid w:val="00CA3B13"/>
    <w:rsid w:val="00CA3B28"/>
    <w:rsid w:val="00CA3BA1"/>
    <w:rsid w:val="00CA3EDE"/>
    <w:rsid w:val="00CA4027"/>
    <w:rsid w:val="00CA41F0"/>
    <w:rsid w:val="00CA4213"/>
    <w:rsid w:val="00CA4306"/>
    <w:rsid w:val="00CA4787"/>
    <w:rsid w:val="00CA48CA"/>
    <w:rsid w:val="00CA4BBC"/>
    <w:rsid w:val="00CA543D"/>
    <w:rsid w:val="00CA550D"/>
    <w:rsid w:val="00CA5C67"/>
    <w:rsid w:val="00CA5C7D"/>
    <w:rsid w:val="00CA60DC"/>
    <w:rsid w:val="00CA61B4"/>
    <w:rsid w:val="00CA6340"/>
    <w:rsid w:val="00CA63E5"/>
    <w:rsid w:val="00CA64DA"/>
    <w:rsid w:val="00CA6510"/>
    <w:rsid w:val="00CA654E"/>
    <w:rsid w:val="00CA65F0"/>
    <w:rsid w:val="00CA6978"/>
    <w:rsid w:val="00CA6988"/>
    <w:rsid w:val="00CA6B0F"/>
    <w:rsid w:val="00CA6C5F"/>
    <w:rsid w:val="00CA6CC2"/>
    <w:rsid w:val="00CA6EEF"/>
    <w:rsid w:val="00CA6F23"/>
    <w:rsid w:val="00CA6F74"/>
    <w:rsid w:val="00CA6F7E"/>
    <w:rsid w:val="00CA719F"/>
    <w:rsid w:val="00CA739C"/>
    <w:rsid w:val="00CA7425"/>
    <w:rsid w:val="00CA766E"/>
    <w:rsid w:val="00CA77BD"/>
    <w:rsid w:val="00CA7A53"/>
    <w:rsid w:val="00CA7BD9"/>
    <w:rsid w:val="00CA7CEC"/>
    <w:rsid w:val="00CA7E61"/>
    <w:rsid w:val="00CA7E67"/>
    <w:rsid w:val="00CA7E7B"/>
    <w:rsid w:val="00CA7FC5"/>
    <w:rsid w:val="00CB00D2"/>
    <w:rsid w:val="00CB00DA"/>
    <w:rsid w:val="00CB02B1"/>
    <w:rsid w:val="00CB030E"/>
    <w:rsid w:val="00CB03B7"/>
    <w:rsid w:val="00CB0417"/>
    <w:rsid w:val="00CB0426"/>
    <w:rsid w:val="00CB0473"/>
    <w:rsid w:val="00CB0772"/>
    <w:rsid w:val="00CB08CE"/>
    <w:rsid w:val="00CB091E"/>
    <w:rsid w:val="00CB0B15"/>
    <w:rsid w:val="00CB0BD5"/>
    <w:rsid w:val="00CB0BFE"/>
    <w:rsid w:val="00CB0CEA"/>
    <w:rsid w:val="00CB11DE"/>
    <w:rsid w:val="00CB16D3"/>
    <w:rsid w:val="00CB1750"/>
    <w:rsid w:val="00CB1F89"/>
    <w:rsid w:val="00CB227B"/>
    <w:rsid w:val="00CB2450"/>
    <w:rsid w:val="00CB24E5"/>
    <w:rsid w:val="00CB2667"/>
    <w:rsid w:val="00CB275B"/>
    <w:rsid w:val="00CB279B"/>
    <w:rsid w:val="00CB2A1E"/>
    <w:rsid w:val="00CB2A8E"/>
    <w:rsid w:val="00CB30E1"/>
    <w:rsid w:val="00CB339E"/>
    <w:rsid w:val="00CB372C"/>
    <w:rsid w:val="00CB3F0A"/>
    <w:rsid w:val="00CB3F4E"/>
    <w:rsid w:val="00CB4132"/>
    <w:rsid w:val="00CB42DD"/>
    <w:rsid w:val="00CB4434"/>
    <w:rsid w:val="00CB496A"/>
    <w:rsid w:val="00CB4B1F"/>
    <w:rsid w:val="00CB4D4B"/>
    <w:rsid w:val="00CB4D4E"/>
    <w:rsid w:val="00CB503F"/>
    <w:rsid w:val="00CB508E"/>
    <w:rsid w:val="00CB5106"/>
    <w:rsid w:val="00CB515E"/>
    <w:rsid w:val="00CB5180"/>
    <w:rsid w:val="00CB5532"/>
    <w:rsid w:val="00CB5F1C"/>
    <w:rsid w:val="00CB5FB8"/>
    <w:rsid w:val="00CB63D2"/>
    <w:rsid w:val="00CB64CE"/>
    <w:rsid w:val="00CB6976"/>
    <w:rsid w:val="00CB6995"/>
    <w:rsid w:val="00CB69E1"/>
    <w:rsid w:val="00CB6BDA"/>
    <w:rsid w:val="00CB6D86"/>
    <w:rsid w:val="00CB7079"/>
    <w:rsid w:val="00CB709F"/>
    <w:rsid w:val="00CB7169"/>
    <w:rsid w:val="00CB717A"/>
    <w:rsid w:val="00CB751B"/>
    <w:rsid w:val="00CB7692"/>
    <w:rsid w:val="00CB7790"/>
    <w:rsid w:val="00CB7A2E"/>
    <w:rsid w:val="00CB7AB4"/>
    <w:rsid w:val="00CB7B6C"/>
    <w:rsid w:val="00CB7DE9"/>
    <w:rsid w:val="00CC0186"/>
    <w:rsid w:val="00CC02D9"/>
    <w:rsid w:val="00CC0393"/>
    <w:rsid w:val="00CC06B0"/>
    <w:rsid w:val="00CC06E0"/>
    <w:rsid w:val="00CC07CE"/>
    <w:rsid w:val="00CC0B47"/>
    <w:rsid w:val="00CC0C43"/>
    <w:rsid w:val="00CC0C6C"/>
    <w:rsid w:val="00CC0D2E"/>
    <w:rsid w:val="00CC0D7D"/>
    <w:rsid w:val="00CC0D9E"/>
    <w:rsid w:val="00CC108F"/>
    <w:rsid w:val="00CC109E"/>
    <w:rsid w:val="00CC112E"/>
    <w:rsid w:val="00CC11EB"/>
    <w:rsid w:val="00CC1250"/>
    <w:rsid w:val="00CC13B2"/>
    <w:rsid w:val="00CC13F2"/>
    <w:rsid w:val="00CC14BC"/>
    <w:rsid w:val="00CC14E3"/>
    <w:rsid w:val="00CC1583"/>
    <w:rsid w:val="00CC16BB"/>
    <w:rsid w:val="00CC178F"/>
    <w:rsid w:val="00CC1822"/>
    <w:rsid w:val="00CC191A"/>
    <w:rsid w:val="00CC192C"/>
    <w:rsid w:val="00CC1A08"/>
    <w:rsid w:val="00CC1A96"/>
    <w:rsid w:val="00CC1B45"/>
    <w:rsid w:val="00CC1CCA"/>
    <w:rsid w:val="00CC1D52"/>
    <w:rsid w:val="00CC219F"/>
    <w:rsid w:val="00CC223E"/>
    <w:rsid w:val="00CC259A"/>
    <w:rsid w:val="00CC2646"/>
    <w:rsid w:val="00CC28A3"/>
    <w:rsid w:val="00CC28F2"/>
    <w:rsid w:val="00CC2AF5"/>
    <w:rsid w:val="00CC3127"/>
    <w:rsid w:val="00CC328E"/>
    <w:rsid w:val="00CC32D4"/>
    <w:rsid w:val="00CC337C"/>
    <w:rsid w:val="00CC363B"/>
    <w:rsid w:val="00CC3A1D"/>
    <w:rsid w:val="00CC3CC3"/>
    <w:rsid w:val="00CC3D6F"/>
    <w:rsid w:val="00CC3D8E"/>
    <w:rsid w:val="00CC3F7A"/>
    <w:rsid w:val="00CC4377"/>
    <w:rsid w:val="00CC441B"/>
    <w:rsid w:val="00CC472A"/>
    <w:rsid w:val="00CC47C8"/>
    <w:rsid w:val="00CC4A89"/>
    <w:rsid w:val="00CC4B3A"/>
    <w:rsid w:val="00CC4BE9"/>
    <w:rsid w:val="00CC4F5A"/>
    <w:rsid w:val="00CC5073"/>
    <w:rsid w:val="00CC527A"/>
    <w:rsid w:val="00CC53F2"/>
    <w:rsid w:val="00CC550B"/>
    <w:rsid w:val="00CC5604"/>
    <w:rsid w:val="00CC57D3"/>
    <w:rsid w:val="00CC58B4"/>
    <w:rsid w:val="00CC58C0"/>
    <w:rsid w:val="00CC5BC3"/>
    <w:rsid w:val="00CC5C5D"/>
    <w:rsid w:val="00CC5CBF"/>
    <w:rsid w:val="00CC5E6C"/>
    <w:rsid w:val="00CC6262"/>
    <w:rsid w:val="00CC660B"/>
    <w:rsid w:val="00CC66CD"/>
    <w:rsid w:val="00CC6A3D"/>
    <w:rsid w:val="00CC6B02"/>
    <w:rsid w:val="00CC6BC2"/>
    <w:rsid w:val="00CC6D6A"/>
    <w:rsid w:val="00CC6E14"/>
    <w:rsid w:val="00CC6FBF"/>
    <w:rsid w:val="00CC7049"/>
    <w:rsid w:val="00CC71E2"/>
    <w:rsid w:val="00CC73B5"/>
    <w:rsid w:val="00CC74D8"/>
    <w:rsid w:val="00CC761D"/>
    <w:rsid w:val="00CC7F8D"/>
    <w:rsid w:val="00CD0204"/>
    <w:rsid w:val="00CD0421"/>
    <w:rsid w:val="00CD075F"/>
    <w:rsid w:val="00CD08EF"/>
    <w:rsid w:val="00CD0A99"/>
    <w:rsid w:val="00CD0FDF"/>
    <w:rsid w:val="00CD10B1"/>
    <w:rsid w:val="00CD1163"/>
    <w:rsid w:val="00CD1172"/>
    <w:rsid w:val="00CD1294"/>
    <w:rsid w:val="00CD14B3"/>
    <w:rsid w:val="00CD14DD"/>
    <w:rsid w:val="00CD15BC"/>
    <w:rsid w:val="00CD1C31"/>
    <w:rsid w:val="00CD1E16"/>
    <w:rsid w:val="00CD203A"/>
    <w:rsid w:val="00CD2110"/>
    <w:rsid w:val="00CD217B"/>
    <w:rsid w:val="00CD2484"/>
    <w:rsid w:val="00CD24AF"/>
    <w:rsid w:val="00CD2593"/>
    <w:rsid w:val="00CD266F"/>
    <w:rsid w:val="00CD29CB"/>
    <w:rsid w:val="00CD2AD4"/>
    <w:rsid w:val="00CD2B3F"/>
    <w:rsid w:val="00CD2C68"/>
    <w:rsid w:val="00CD2D35"/>
    <w:rsid w:val="00CD2D84"/>
    <w:rsid w:val="00CD2E6E"/>
    <w:rsid w:val="00CD2E9C"/>
    <w:rsid w:val="00CD2EA6"/>
    <w:rsid w:val="00CD313C"/>
    <w:rsid w:val="00CD313D"/>
    <w:rsid w:val="00CD31AA"/>
    <w:rsid w:val="00CD33A1"/>
    <w:rsid w:val="00CD34C5"/>
    <w:rsid w:val="00CD38EA"/>
    <w:rsid w:val="00CD3C73"/>
    <w:rsid w:val="00CD3CE8"/>
    <w:rsid w:val="00CD3E8A"/>
    <w:rsid w:val="00CD3EC9"/>
    <w:rsid w:val="00CD4014"/>
    <w:rsid w:val="00CD425D"/>
    <w:rsid w:val="00CD456C"/>
    <w:rsid w:val="00CD4A17"/>
    <w:rsid w:val="00CD4D9E"/>
    <w:rsid w:val="00CD4DAA"/>
    <w:rsid w:val="00CD4DE6"/>
    <w:rsid w:val="00CD4FCD"/>
    <w:rsid w:val="00CD5217"/>
    <w:rsid w:val="00CD5293"/>
    <w:rsid w:val="00CD5527"/>
    <w:rsid w:val="00CD55CE"/>
    <w:rsid w:val="00CD55F8"/>
    <w:rsid w:val="00CD5775"/>
    <w:rsid w:val="00CD57AF"/>
    <w:rsid w:val="00CD57F4"/>
    <w:rsid w:val="00CD596A"/>
    <w:rsid w:val="00CD5BD6"/>
    <w:rsid w:val="00CD5D35"/>
    <w:rsid w:val="00CD5D72"/>
    <w:rsid w:val="00CD605A"/>
    <w:rsid w:val="00CD6183"/>
    <w:rsid w:val="00CD62EE"/>
    <w:rsid w:val="00CD6338"/>
    <w:rsid w:val="00CD63D6"/>
    <w:rsid w:val="00CD64AC"/>
    <w:rsid w:val="00CD67FA"/>
    <w:rsid w:val="00CD6820"/>
    <w:rsid w:val="00CD6953"/>
    <w:rsid w:val="00CD6964"/>
    <w:rsid w:val="00CD6C00"/>
    <w:rsid w:val="00CD71AD"/>
    <w:rsid w:val="00CD736E"/>
    <w:rsid w:val="00CD7609"/>
    <w:rsid w:val="00CD76F1"/>
    <w:rsid w:val="00CD7713"/>
    <w:rsid w:val="00CD7749"/>
    <w:rsid w:val="00CD77BE"/>
    <w:rsid w:val="00CD791B"/>
    <w:rsid w:val="00CD7ADA"/>
    <w:rsid w:val="00CD7FD9"/>
    <w:rsid w:val="00CE0207"/>
    <w:rsid w:val="00CE03ED"/>
    <w:rsid w:val="00CE0622"/>
    <w:rsid w:val="00CE074E"/>
    <w:rsid w:val="00CE0825"/>
    <w:rsid w:val="00CE0BF5"/>
    <w:rsid w:val="00CE0D07"/>
    <w:rsid w:val="00CE0D31"/>
    <w:rsid w:val="00CE0D3A"/>
    <w:rsid w:val="00CE0D95"/>
    <w:rsid w:val="00CE0E26"/>
    <w:rsid w:val="00CE12A9"/>
    <w:rsid w:val="00CE1342"/>
    <w:rsid w:val="00CE15BA"/>
    <w:rsid w:val="00CE16D5"/>
    <w:rsid w:val="00CE1D87"/>
    <w:rsid w:val="00CE1FEC"/>
    <w:rsid w:val="00CE2033"/>
    <w:rsid w:val="00CE20C5"/>
    <w:rsid w:val="00CE2746"/>
    <w:rsid w:val="00CE28D2"/>
    <w:rsid w:val="00CE28EB"/>
    <w:rsid w:val="00CE2950"/>
    <w:rsid w:val="00CE2D9F"/>
    <w:rsid w:val="00CE2EF3"/>
    <w:rsid w:val="00CE3106"/>
    <w:rsid w:val="00CE3251"/>
    <w:rsid w:val="00CE32B8"/>
    <w:rsid w:val="00CE332E"/>
    <w:rsid w:val="00CE3450"/>
    <w:rsid w:val="00CE360D"/>
    <w:rsid w:val="00CE3930"/>
    <w:rsid w:val="00CE3A5B"/>
    <w:rsid w:val="00CE3AA4"/>
    <w:rsid w:val="00CE3AE8"/>
    <w:rsid w:val="00CE3B1F"/>
    <w:rsid w:val="00CE3CA4"/>
    <w:rsid w:val="00CE40E8"/>
    <w:rsid w:val="00CE4158"/>
    <w:rsid w:val="00CE45F2"/>
    <w:rsid w:val="00CE464E"/>
    <w:rsid w:val="00CE4822"/>
    <w:rsid w:val="00CE4891"/>
    <w:rsid w:val="00CE4986"/>
    <w:rsid w:val="00CE49F1"/>
    <w:rsid w:val="00CE4A78"/>
    <w:rsid w:val="00CE4E0E"/>
    <w:rsid w:val="00CE4EFC"/>
    <w:rsid w:val="00CE4F23"/>
    <w:rsid w:val="00CE504C"/>
    <w:rsid w:val="00CE533D"/>
    <w:rsid w:val="00CE539F"/>
    <w:rsid w:val="00CE569B"/>
    <w:rsid w:val="00CE56FA"/>
    <w:rsid w:val="00CE5BEF"/>
    <w:rsid w:val="00CE5CFE"/>
    <w:rsid w:val="00CE613B"/>
    <w:rsid w:val="00CE6148"/>
    <w:rsid w:val="00CE6201"/>
    <w:rsid w:val="00CE63D0"/>
    <w:rsid w:val="00CE646B"/>
    <w:rsid w:val="00CE65C6"/>
    <w:rsid w:val="00CE65CB"/>
    <w:rsid w:val="00CE67F2"/>
    <w:rsid w:val="00CE682E"/>
    <w:rsid w:val="00CE683F"/>
    <w:rsid w:val="00CE6841"/>
    <w:rsid w:val="00CE69CA"/>
    <w:rsid w:val="00CE6BB1"/>
    <w:rsid w:val="00CE6C8C"/>
    <w:rsid w:val="00CE7058"/>
    <w:rsid w:val="00CE7209"/>
    <w:rsid w:val="00CE75D9"/>
    <w:rsid w:val="00CE76B9"/>
    <w:rsid w:val="00CE76D2"/>
    <w:rsid w:val="00CE7A6F"/>
    <w:rsid w:val="00CE7A9A"/>
    <w:rsid w:val="00CE7D65"/>
    <w:rsid w:val="00CE7EEB"/>
    <w:rsid w:val="00CF0334"/>
    <w:rsid w:val="00CF0358"/>
    <w:rsid w:val="00CF0412"/>
    <w:rsid w:val="00CF041E"/>
    <w:rsid w:val="00CF043E"/>
    <w:rsid w:val="00CF07F1"/>
    <w:rsid w:val="00CF0A96"/>
    <w:rsid w:val="00CF0C5E"/>
    <w:rsid w:val="00CF0D1C"/>
    <w:rsid w:val="00CF0D31"/>
    <w:rsid w:val="00CF0E40"/>
    <w:rsid w:val="00CF1172"/>
    <w:rsid w:val="00CF11C3"/>
    <w:rsid w:val="00CF11E6"/>
    <w:rsid w:val="00CF13F4"/>
    <w:rsid w:val="00CF1762"/>
    <w:rsid w:val="00CF17B9"/>
    <w:rsid w:val="00CF181F"/>
    <w:rsid w:val="00CF1906"/>
    <w:rsid w:val="00CF1965"/>
    <w:rsid w:val="00CF1BA5"/>
    <w:rsid w:val="00CF1EC1"/>
    <w:rsid w:val="00CF1EF9"/>
    <w:rsid w:val="00CF2399"/>
    <w:rsid w:val="00CF2666"/>
    <w:rsid w:val="00CF26F1"/>
    <w:rsid w:val="00CF282D"/>
    <w:rsid w:val="00CF2C76"/>
    <w:rsid w:val="00CF2CBE"/>
    <w:rsid w:val="00CF2D9C"/>
    <w:rsid w:val="00CF2DCC"/>
    <w:rsid w:val="00CF2EAA"/>
    <w:rsid w:val="00CF3095"/>
    <w:rsid w:val="00CF30ED"/>
    <w:rsid w:val="00CF31FD"/>
    <w:rsid w:val="00CF3698"/>
    <w:rsid w:val="00CF37A7"/>
    <w:rsid w:val="00CF3C55"/>
    <w:rsid w:val="00CF3E17"/>
    <w:rsid w:val="00CF4240"/>
    <w:rsid w:val="00CF4414"/>
    <w:rsid w:val="00CF4B0A"/>
    <w:rsid w:val="00CF4B9F"/>
    <w:rsid w:val="00CF4CC0"/>
    <w:rsid w:val="00CF4D6B"/>
    <w:rsid w:val="00CF4D8A"/>
    <w:rsid w:val="00CF4F2B"/>
    <w:rsid w:val="00CF4F34"/>
    <w:rsid w:val="00CF5097"/>
    <w:rsid w:val="00CF5194"/>
    <w:rsid w:val="00CF524D"/>
    <w:rsid w:val="00CF52D4"/>
    <w:rsid w:val="00CF53C7"/>
    <w:rsid w:val="00CF53E3"/>
    <w:rsid w:val="00CF54FD"/>
    <w:rsid w:val="00CF56E9"/>
    <w:rsid w:val="00CF575F"/>
    <w:rsid w:val="00CF59D3"/>
    <w:rsid w:val="00CF5B6D"/>
    <w:rsid w:val="00CF5C35"/>
    <w:rsid w:val="00CF5E06"/>
    <w:rsid w:val="00CF5E48"/>
    <w:rsid w:val="00CF5EC2"/>
    <w:rsid w:val="00CF5EF0"/>
    <w:rsid w:val="00CF5EF4"/>
    <w:rsid w:val="00CF5FCC"/>
    <w:rsid w:val="00CF600B"/>
    <w:rsid w:val="00CF6072"/>
    <w:rsid w:val="00CF60B3"/>
    <w:rsid w:val="00CF613C"/>
    <w:rsid w:val="00CF6210"/>
    <w:rsid w:val="00CF62F4"/>
    <w:rsid w:val="00CF63D5"/>
    <w:rsid w:val="00CF65BE"/>
    <w:rsid w:val="00CF6631"/>
    <w:rsid w:val="00CF6985"/>
    <w:rsid w:val="00CF69E1"/>
    <w:rsid w:val="00CF6A9B"/>
    <w:rsid w:val="00CF6A9F"/>
    <w:rsid w:val="00CF6B86"/>
    <w:rsid w:val="00CF6CA1"/>
    <w:rsid w:val="00CF71D3"/>
    <w:rsid w:val="00CF73CF"/>
    <w:rsid w:val="00CF73D1"/>
    <w:rsid w:val="00CF7438"/>
    <w:rsid w:val="00CF79FF"/>
    <w:rsid w:val="00CF7B37"/>
    <w:rsid w:val="00CF7B94"/>
    <w:rsid w:val="00CF7CD3"/>
    <w:rsid w:val="00CF7CDB"/>
    <w:rsid w:val="00CF7D7F"/>
    <w:rsid w:val="00CF7F15"/>
    <w:rsid w:val="00CF7F1C"/>
    <w:rsid w:val="00D00109"/>
    <w:rsid w:val="00D00289"/>
    <w:rsid w:val="00D006E0"/>
    <w:rsid w:val="00D00731"/>
    <w:rsid w:val="00D00C05"/>
    <w:rsid w:val="00D00DC0"/>
    <w:rsid w:val="00D00DD4"/>
    <w:rsid w:val="00D01A47"/>
    <w:rsid w:val="00D01CFE"/>
    <w:rsid w:val="00D01F8E"/>
    <w:rsid w:val="00D02167"/>
    <w:rsid w:val="00D0253E"/>
    <w:rsid w:val="00D025B6"/>
    <w:rsid w:val="00D02748"/>
    <w:rsid w:val="00D0292B"/>
    <w:rsid w:val="00D02AC2"/>
    <w:rsid w:val="00D0314F"/>
    <w:rsid w:val="00D03170"/>
    <w:rsid w:val="00D0322E"/>
    <w:rsid w:val="00D0341E"/>
    <w:rsid w:val="00D0352D"/>
    <w:rsid w:val="00D03544"/>
    <w:rsid w:val="00D0359D"/>
    <w:rsid w:val="00D0373A"/>
    <w:rsid w:val="00D0398B"/>
    <w:rsid w:val="00D03B48"/>
    <w:rsid w:val="00D03C16"/>
    <w:rsid w:val="00D03F11"/>
    <w:rsid w:val="00D03F56"/>
    <w:rsid w:val="00D04201"/>
    <w:rsid w:val="00D043F5"/>
    <w:rsid w:val="00D04436"/>
    <w:rsid w:val="00D04562"/>
    <w:rsid w:val="00D04664"/>
    <w:rsid w:val="00D0468F"/>
    <w:rsid w:val="00D048C8"/>
    <w:rsid w:val="00D0495B"/>
    <w:rsid w:val="00D04AA1"/>
    <w:rsid w:val="00D04C67"/>
    <w:rsid w:val="00D04DAA"/>
    <w:rsid w:val="00D04E7E"/>
    <w:rsid w:val="00D04FCC"/>
    <w:rsid w:val="00D05206"/>
    <w:rsid w:val="00D052B4"/>
    <w:rsid w:val="00D052B6"/>
    <w:rsid w:val="00D0540B"/>
    <w:rsid w:val="00D05669"/>
    <w:rsid w:val="00D058B0"/>
    <w:rsid w:val="00D05AA9"/>
    <w:rsid w:val="00D05BC3"/>
    <w:rsid w:val="00D05C03"/>
    <w:rsid w:val="00D05C9C"/>
    <w:rsid w:val="00D05FA2"/>
    <w:rsid w:val="00D060E7"/>
    <w:rsid w:val="00D061AE"/>
    <w:rsid w:val="00D06284"/>
    <w:rsid w:val="00D062AD"/>
    <w:rsid w:val="00D06647"/>
    <w:rsid w:val="00D06686"/>
    <w:rsid w:val="00D0674A"/>
    <w:rsid w:val="00D0680E"/>
    <w:rsid w:val="00D06998"/>
    <w:rsid w:val="00D069CB"/>
    <w:rsid w:val="00D06D56"/>
    <w:rsid w:val="00D06D64"/>
    <w:rsid w:val="00D06DC4"/>
    <w:rsid w:val="00D06F1E"/>
    <w:rsid w:val="00D06FAA"/>
    <w:rsid w:val="00D070BF"/>
    <w:rsid w:val="00D07189"/>
    <w:rsid w:val="00D07403"/>
    <w:rsid w:val="00D07577"/>
    <w:rsid w:val="00D075E7"/>
    <w:rsid w:val="00D07871"/>
    <w:rsid w:val="00D078DF"/>
    <w:rsid w:val="00D078E6"/>
    <w:rsid w:val="00D07A25"/>
    <w:rsid w:val="00D07BA6"/>
    <w:rsid w:val="00D07DC5"/>
    <w:rsid w:val="00D07F09"/>
    <w:rsid w:val="00D07F48"/>
    <w:rsid w:val="00D100A9"/>
    <w:rsid w:val="00D1039B"/>
    <w:rsid w:val="00D104DC"/>
    <w:rsid w:val="00D10505"/>
    <w:rsid w:val="00D10608"/>
    <w:rsid w:val="00D10747"/>
    <w:rsid w:val="00D1095A"/>
    <w:rsid w:val="00D10B35"/>
    <w:rsid w:val="00D10CCE"/>
    <w:rsid w:val="00D10CFC"/>
    <w:rsid w:val="00D10DFB"/>
    <w:rsid w:val="00D11143"/>
    <w:rsid w:val="00D11204"/>
    <w:rsid w:val="00D11262"/>
    <w:rsid w:val="00D11277"/>
    <w:rsid w:val="00D118FC"/>
    <w:rsid w:val="00D11938"/>
    <w:rsid w:val="00D11B5E"/>
    <w:rsid w:val="00D11BB2"/>
    <w:rsid w:val="00D11DF9"/>
    <w:rsid w:val="00D11E83"/>
    <w:rsid w:val="00D1205A"/>
    <w:rsid w:val="00D122C4"/>
    <w:rsid w:val="00D1233B"/>
    <w:rsid w:val="00D1248A"/>
    <w:rsid w:val="00D1251F"/>
    <w:rsid w:val="00D12736"/>
    <w:rsid w:val="00D12B8C"/>
    <w:rsid w:val="00D12C3B"/>
    <w:rsid w:val="00D12D48"/>
    <w:rsid w:val="00D12F90"/>
    <w:rsid w:val="00D130A7"/>
    <w:rsid w:val="00D1315E"/>
    <w:rsid w:val="00D13161"/>
    <w:rsid w:val="00D1317B"/>
    <w:rsid w:val="00D13668"/>
    <w:rsid w:val="00D139E1"/>
    <w:rsid w:val="00D1439D"/>
    <w:rsid w:val="00D143C8"/>
    <w:rsid w:val="00D145D2"/>
    <w:rsid w:val="00D146D1"/>
    <w:rsid w:val="00D147A4"/>
    <w:rsid w:val="00D147E9"/>
    <w:rsid w:val="00D147FD"/>
    <w:rsid w:val="00D14910"/>
    <w:rsid w:val="00D14C2F"/>
    <w:rsid w:val="00D150A6"/>
    <w:rsid w:val="00D152D7"/>
    <w:rsid w:val="00D159E9"/>
    <w:rsid w:val="00D15B21"/>
    <w:rsid w:val="00D15C34"/>
    <w:rsid w:val="00D15D18"/>
    <w:rsid w:val="00D15D40"/>
    <w:rsid w:val="00D15F4B"/>
    <w:rsid w:val="00D16018"/>
    <w:rsid w:val="00D16035"/>
    <w:rsid w:val="00D16052"/>
    <w:rsid w:val="00D161D1"/>
    <w:rsid w:val="00D162A9"/>
    <w:rsid w:val="00D1634C"/>
    <w:rsid w:val="00D16930"/>
    <w:rsid w:val="00D1694C"/>
    <w:rsid w:val="00D16979"/>
    <w:rsid w:val="00D16C63"/>
    <w:rsid w:val="00D16D62"/>
    <w:rsid w:val="00D175DD"/>
    <w:rsid w:val="00D176A8"/>
    <w:rsid w:val="00D1799E"/>
    <w:rsid w:val="00D17A9A"/>
    <w:rsid w:val="00D17BB8"/>
    <w:rsid w:val="00D200AF"/>
    <w:rsid w:val="00D20366"/>
    <w:rsid w:val="00D20534"/>
    <w:rsid w:val="00D206CA"/>
    <w:rsid w:val="00D2076D"/>
    <w:rsid w:val="00D20BB5"/>
    <w:rsid w:val="00D20C24"/>
    <w:rsid w:val="00D20CE7"/>
    <w:rsid w:val="00D20E01"/>
    <w:rsid w:val="00D20E5A"/>
    <w:rsid w:val="00D20F7D"/>
    <w:rsid w:val="00D21076"/>
    <w:rsid w:val="00D21196"/>
    <w:rsid w:val="00D2121E"/>
    <w:rsid w:val="00D212C4"/>
    <w:rsid w:val="00D216C3"/>
    <w:rsid w:val="00D21887"/>
    <w:rsid w:val="00D2195E"/>
    <w:rsid w:val="00D21B5F"/>
    <w:rsid w:val="00D21BFE"/>
    <w:rsid w:val="00D21D61"/>
    <w:rsid w:val="00D21E4E"/>
    <w:rsid w:val="00D222DA"/>
    <w:rsid w:val="00D2236D"/>
    <w:rsid w:val="00D22397"/>
    <w:rsid w:val="00D224E2"/>
    <w:rsid w:val="00D2253C"/>
    <w:rsid w:val="00D22833"/>
    <w:rsid w:val="00D2286D"/>
    <w:rsid w:val="00D228BA"/>
    <w:rsid w:val="00D22BB8"/>
    <w:rsid w:val="00D22DC2"/>
    <w:rsid w:val="00D22EB6"/>
    <w:rsid w:val="00D22ECE"/>
    <w:rsid w:val="00D23048"/>
    <w:rsid w:val="00D23179"/>
    <w:rsid w:val="00D2322C"/>
    <w:rsid w:val="00D2323B"/>
    <w:rsid w:val="00D2329F"/>
    <w:rsid w:val="00D23317"/>
    <w:rsid w:val="00D23762"/>
    <w:rsid w:val="00D2384C"/>
    <w:rsid w:val="00D23957"/>
    <w:rsid w:val="00D23A81"/>
    <w:rsid w:val="00D23CF6"/>
    <w:rsid w:val="00D23E2C"/>
    <w:rsid w:val="00D23EA3"/>
    <w:rsid w:val="00D24034"/>
    <w:rsid w:val="00D2409C"/>
    <w:rsid w:val="00D2413C"/>
    <w:rsid w:val="00D2452E"/>
    <w:rsid w:val="00D246FA"/>
    <w:rsid w:val="00D246FC"/>
    <w:rsid w:val="00D24872"/>
    <w:rsid w:val="00D24891"/>
    <w:rsid w:val="00D24935"/>
    <w:rsid w:val="00D24BC8"/>
    <w:rsid w:val="00D24D28"/>
    <w:rsid w:val="00D24DF4"/>
    <w:rsid w:val="00D24E99"/>
    <w:rsid w:val="00D25078"/>
    <w:rsid w:val="00D251FD"/>
    <w:rsid w:val="00D255B2"/>
    <w:rsid w:val="00D25731"/>
    <w:rsid w:val="00D25781"/>
    <w:rsid w:val="00D258FE"/>
    <w:rsid w:val="00D2599C"/>
    <w:rsid w:val="00D25A33"/>
    <w:rsid w:val="00D25BB3"/>
    <w:rsid w:val="00D25C1F"/>
    <w:rsid w:val="00D25E6C"/>
    <w:rsid w:val="00D26178"/>
    <w:rsid w:val="00D261F9"/>
    <w:rsid w:val="00D26586"/>
    <w:rsid w:val="00D2658F"/>
    <w:rsid w:val="00D2694A"/>
    <w:rsid w:val="00D26E1E"/>
    <w:rsid w:val="00D26FE4"/>
    <w:rsid w:val="00D272AA"/>
    <w:rsid w:val="00D2751F"/>
    <w:rsid w:val="00D27640"/>
    <w:rsid w:val="00D27788"/>
    <w:rsid w:val="00D278D6"/>
    <w:rsid w:val="00D27926"/>
    <w:rsid w:val="00D2796D"/>
    <w:rsid w:val="00D27C78"/>
    <w:rsid w:val="00D27DB6"/>
    <w:rsid w:val="00D27FE0"/>
    <w:rsid w:val="00D30261"/>
    <w:rsid w:val="00D302DA"/>
    <w:rsid w:val="00D30369"/>
    <w:rsid w:val="00D3074B"/>
    <w:rsid w:val="00D307AE"/>
    <w:rsid w:val="00D3088D"/>
    <w:rsid w:val="00D30C0D"/>
    <w:rsid w:val="00D30E90"/>
    <w:rsid w:val="00D30EEB"/>
    <w:rsid w:val="00D30FBC"/>
    <w:rsid w:val="00D30FCF"/>
    <w:rsid w:val="00D31146"/>
    <w:rsid w:val="00D315A9"/>
    <w:rsid w:val="00D31654"/>
    <w:rsid w:val="00D316D2"/>
    <w:rsid w:val="00D31740"/>
    <w:rsid w:val="00D317EC"/>
    <w:rsid w:val="00D31BA8"/>
    <w:rsid w:val="00D320E8"/>
    <w:rsid w:val="00D32170"/>
    <w:rsid w:val="00D321C2"/>
    <w:rsid w:val="00D321FA"/>
    <w:rsid w:val="00D3282B"/>
    <w:rsid w:val="00D32BBB"/>
    <w:rsid w:val="00D32D53"/>
    <w:rsid w:val="00D32DED"/>
    <w:rsid w:val="00D32E43"/>
    <w:rsid w:val="00D331C2"/>
    <w:rsid w:val="00D333AB"/>
    <w:rsid w:val="00D3370E"/>
    <w:rsid w:val="00D338E5"/>
    <w:rsid w:val="00D33B0F"/>
    <w:rsid w:val="00D33CFD"/>
    <w:rsid w:val="00D33D85"/>
    <w:rsid w:val="00D33D97"/>
    <w:rsid w:val="00D34997"/>
    <w:rsid w:val="00D349B4"/>
    <w:rsid w:val="00D34D2E"/>
    <w:rsid w:val="00D34D69"/>
    <w:rsid w:val="00D3502C"/>
    <w:rsid w:val="00D3507D"/>
    <w:rsid w:val="00D35096"/>
    <w:rsid w:val="00D350B2"/>
    <w:rsid w:val="00D35148"/>
    <w:rsid w:val="00D352BD"/>
    <w:rsid w:val="00D35358"/>
    <w:rsid w:val="00D35600"/>
    <w:rsid w:val="00D356ED"/>
    <w:rsid w:val="00D3574C"/>
    <w:rsid w:val="00D357B0"/>
    <w:rsid w:val="00D3590F"/>
    <w:rsid w:val="00D35BC0"/>
    <w:rsid w:val="00D35CCD"/>
    <w:rsid w:val="00D35D8E"/>
    <w:rsid w:val="00D361E8"/>
    <w:rsid w:val="00D362FF"/>
    <w:rsid w:val="00D36573"/>
    <w:rsid w:val="00D36807"/>
    <w:rsid w:val="00D3699C"/>
    <w:rsid w:val="00D36A70"/>
    <w:rsid w:val="00D36C2C"/>
    <w:rsid w:val="00D36D35"/>
    <w:rsid w:val="00D36F51"/>
    <w:rsid w:val="00D3749A"/>
    <w:rsid w:val="00D3771C"/>
    <w:rsid w:val="00D37947"/>
    <w:rsid w:val="00D37B97"/>
    <w:rsid w:val="00D37F7C"/>
    <w:rsid w:val="00D37FF5"/>
    <w:rsid w:val="00D4002B"/>
    <w:rsid w:val="00D4009B"/>
    <w:rsid w:val="00D401FA"/>
    <w:rsid w:val="00D406B0"/>
    <w:rsid w:val="00D407EA"/>
    <w:rsid w:val="00D408D6"/>
    <w:rsid w:val="00D40984"/>
    <w:rsid w:val="00D40B45"/>
    <w:rsid w:val="00D40BE6"/>
    <w:rsid w:val="00D40C8F"/>
    <w:rsid w:val="00D40F65"/>
    <w:rsid w:val="00D40FD1"/>
    <w:rsid w:val="00D4121D"/>
    <w:rsid w:val="00D41362"/>
    <w:rsid w:val="00D413F7"/>
    <w:rsid w:val="00D4184E"/>
    <w:rsid w:val="00D41D37"/>
    <w:rsid w:val="00D41DE1"/>
    <w:rsid w:val="00D41F0E"/>
    <w:rsid w:val="00D41FF8"/>
    <w:rsid w:val="00D425AA"/>
    <w:rsid w:val="00D4299A"/>
    <w:rsid w:val="00D42AF8"/>
    <w:rsid w:val="00D42B2E"/>
    <w:rsid w:val="00D42BD8"/>
    <w:rsid w:val="00D42E96"/>
    <w:rsid w:val="00D42FF9"/>
    <w:rsid w:val="00D42FFD"/>
    <w:rsid w:val="00D43279"/>
    <w:rsid w:val="00D4336F"/>
    <w:rsid w:val="00D4339E"/>
    <w:rsid w:val="00D433B4"/>
    <w:rsid w:val="00D43458"/>
    <w:rsid w:val="00D4350F"/>
    <w:rsid w:val="00D43523"/>
    <w:rsid w:val="00D43616"/>
    <w:rsid w:val="00D43967"/>
    <w:rsid w:val="00D43B9B"/>
    <w:rsid w:val="00D43D07"/>
    <w:rsid w:val="00D43D2D"/>
    <w:rsid w:val="00D43DA2"/>
    <w:rsid w:val="00D43E56"/>
    <w:rsid w:val="00D44176"/>
    <w:rsid w:val="00D443E0"/>
    <w:rsid w:val="00D4440D"/>
    <w:rsid w:val="00D44418"/>
    <w:rsid w:val="00D44962"/>
    <w:rsid w:val="00D44CF2"/>
    <w:rsid w:val="00D44D5B"/>
    <w:rsid w:val="00D45145"/>
    <w:rsid w:val="00D45569"/>
    <w:rsid w:val="00D45683"/>
    <w:rsid w:val="00D45791"/>
    <w:rsid w:val="00D45975"/>
    <w:rsid w:val="00D45A1F"/>
    <w:rsid w:val="00D45AF3"/>
    <w:rsid w:val="00D45B86"/>
    <w:rsid w:val="00D45D5A"/>
    <w:rsid w:val="00D45FCB"/>
    <w:rsid w:val="00D4629B"/>
    <w:rsid w:val="00D464FA"/>
    <w:rsid w:val="00D466C2"/>
    <w:rsid w:val="00D469B3"/>
    <w:rsid w:val="00D46B1C"/>
    <w:rsid w:val="00D46C22"/>
    <w:rsid w:val="00D46E49"/>
    <w:rsid w:val="00D47045"/>
    <w:rsid w:val="00D4712B"/>
    <w:rsid w:val="00D472CC"/>
    <w:rsid w:val="00D473B3"/>
    <w:rsid w:val="00D473BA"/>
    <w:rsid w:val="00D4761D"/>
    <w:rsid w:val="00D47708"/>
    <w:rsid w:val="00D47937"/>
    <w:rsid w:val="00D4793F"/>
    <w:rsid w:val="00D4796A"/>
    <w:rsid w:val="00D47D96"/>
    <w:rsid w:val="00D5007B"/>
    <w:rsid w:val="00D5056E"/>
    <w:rsid w:val="00D5082F"/>
    <w:rsid w:val="00D5086B"/>
    <w:rsid w:val="00D50A63"/>
    <w:rsid w:val="00D50AF7"/>
    <w:rsid w:val="00D50C8E"/>
    <w:rsid w:val="00D50D68"/>
    <w:rsid w:val="00D50F7B"/>
    <w:rsid w:val="00D51012"/>
    <w:rsid w:val="00D51551"/>
    <w:rsid w:val="00D517A4"/>
    <w:rsid w:val="00D51A1D"/>
    <w:rsid w:val="00D51A67"/>
    <w:rsid w:val="00D51C8C"/>
    <w:rsid w:val="00D5206A"/>
    <w:rsid w:val="00D52185"/>
    <w:rsid w:val="00D524B1"/>
    <w:rsid w:val="00D524DF"/>
    <w:rsid w:val="00D5260B"/>
    <w:rsid w:val="00D52707"/>
    <w:rsid w:val="00D52990"/>
    <w:rsid w:val="00D52BA9"/>
    <w:rsid w:val="00D52DC0"/>
    <w:rsid w:val="00D5321E"/>
    <w:rsid w:val="00D539BD"/>
    <w:rsid w:val="00D53B5E"/>
    <w:rsid w:val="00D53EF1"/>
    <w:rsid w:val="00D53F73"/>
    <w:rsid w:val="00D53FCD"/>
    <w:rsid w:val="00D54120"/>
    <w:rsid w:val="00D541FA"/>
    <w:rsid w:val="00D5420E"/>
    <w:rsid w:val="00D544F3"/>
    <w:rsid w:val="00D54672"/>
    <w:rsid w:val="00D546A6"/>
    <w:rsid w:val="00D548CE"/>
    <w:rsid w:val="00D548D7"/>
    <w:rsid w:val="00D5495A"/>
    <w:rsid w:val="00D549E4"/>
    <w:rsid w:val="00D54B92"/>
    <w:rsid w:val="00D54C8A"/>
    <w:rsid w:val="00D54CA4"/>
    <w:rsid w:val="00D55069"/>
    <w:rsid w:val="00D551E9"/>
    <w:rsid w:val="00D5520A"/>
    <w:rsid w:val="00D553C5"/>
    <w:rsid w:val="00D5546B"/>
    <w:rsid w:val="00D55767"/>
    <w:rsid w:val="00D55940"/>
    <w:rsid w:val="00D55E22"/>
    <w:rsid w:val="00D560F2"/>
    <w:rsid w:val="00D56190"/>
    <w:rsid w:val="00D563B3"/>
    <w:rsid w:val="00D5659C"/>
    <w:rsid w:val="00D56679"/>
    <w:rsid w:val="00D56797"/>
    <w:rsid w:val="00D569A8"/>
    <w:rsid w:val="00D569B1"/>
    <w:rsid w:val="00D57105"/>
    <w:rsid w:val="00D5712A"/>
    <w:rsid w:val="00D57156"/>
    <w:rsid w:val="00D57357"/>
    <w:rsid w:val="00D573E8"/>
    <w:rsid w:val="00D573ED"/>
    <w:rsid w:val="00D57662"/>
    <w:rsid w:val="00D57824"/>
    <w:rsid w:val="00D5794F"/>
    <w:rsid w:val="00D579D5"/>
    <w:rsid w:val="00D57B34"/>
    <w:rsid w:val="00D57D74"/>
    <w:rsid w:val="00D60678"/>
    <w:rsid w:val="00D60771"/>
    <w:rsid w:val="00D608E2"/>
    <w:rsid w:val="00D60B16"/>
    <w:rsid w:val="00D60E5C"/>
    <w:rsid w:val="00D60FE3"/>
    <w:rsid w:val="00D610CE"/>
    <w:rsid w:val="00D61219"/>
    <w:rsid w:val="00D6136F"/>
    <w:rsid w:val="00D61406"/>
    <w:rsid w:val="00D6144C"/>
    <w:rsid w:val="00D61480"/>
    <w:rsid w:val="00D6149F"/>
    <w:rsid w:val="00D614CA"/>
    <w:rsid w:val="00D614F6"/>
    <w:rsid w:val="00D616D0"/>
    <w:rsid w:val="00D6193F"/>
    <w:rsid w:val="00D619D0"/>
    <w:rsid w:val="00D61A7E"/>
    <w:rsid w:val="00D61AC7"/>
    <w:rsid w:val="00D61B3C"/>
    <w:rsid w:val="00D61BA7"/>
    <w:rsid w:val="00D61E06"/>
    <w:rsid w:val="00D61EED"/>
    <w:rsid w:val="00D6200F"/>
    <w:rsid w:val="00D620EC"/>
    <w:rsid w:val="00D6236D"/>
    <w:rsid w:val="00D624B1"/>
    <w:rsid w:val="00D627D9"/>
    <w:rsid w:val="00D629D6"/>
    <w:rsid w:val="00D62C4E"/>
    <w:rsid w:val="00D62CD1"/>
    <w:rsid w:val="00D62D2F"/>
    <w:rsid w:val="00D62D6D"/>
    <w:rsid w:val="00D62EB9"/>
    <w:rsid w:val="00D62EDD"/>
    <w:rsid w:val="00D62F37"/>
    <w:rsid w:val="00D63066"/>
    <w:rsid w:val="00D6326B"/>
    <w:rsid w:val="00D63494"/>
    <w:rsid w:val="00D63518"/>
    <w:rsid w:val="00D635AB"/>
    <w:rsid w:val="00D635CB"/>
    <w:rsid w:val="00D638D4"/>
    <w:rsid w:val="00D63C27"/>
    <w:rsid w:val="00D63D6F"/>
    <w:rsid w:val="00D63DAD"/>
    <w:rsid w:val="00D64129"/>
    <w:rsid w:val="00D64174"/>
    <w:rsid w:val="00D64517"/>
    <w:rsid w:val="00D6483C"/>
    <w:rsid w:val="00D64C39"/>
    <w:rsid w:val="00D64DFD"/>
    <w:rsid w:val="00D65067"/>
    <w:rsid w:val="00D6542A"/>
    <w:rsid w:val="00D656BF"/>
    <w:rsid w:val="00D656C8"/>
    <w:rsid w:val="00D65862"/>
    <w:rsid w:val="00D65BDB"/>
    <w:rsid w:val="00D65C48"/>
    <w:rsid w:val="00D65CF1"/>
    <w:rsid w:val="00D65D40"/>
    <w:rsid w:val="00D65D96"/>
    <w:rsid w:val="00D66098"/>
    <w:rsid w:val="00D6613E"/>
    <w:rsid w:val="00D66383"/>
    <w:rsid w:val="00D663A2"/>
    <w:rsid w:val="00D664A8"/>
    <w:rsid w:val="00D66687"/>
    <w:rsid w:val="00D66722"/>
    <w:rsid w:val="00D66775"/>
    <w:rsid w:val="00D66845"/>
    <w:rsid w:val="00D66932"/>
    <w:rsid w:val="00D669C3"/>
    <w:rsid w:val="00D6706F"/>
    <w:rsid w:val="00D6708C"/>
    <w:rsid w:val="00D6713F"/>
    <w:rsid w:val="00D6717D"/>
    <w:rsid w:val="00D671DC"/>
    <w:rsid w:val="00D67290"/>
    <w:rsid w:val="00D672E3"/>
    <w:rsid w:val="00D6759F"/>
    <w:rsid w:val="00D67854"/>
    <w:rsid w:val="00D67887"/>
    <w:rsid w:val="00D67CFD"/>
    <w:rsid w:val="00D70116"/>
    <w:rsid w:val="00D7025A"/>
    <w:rsid w:val="00D70991"/>
    <w:rsid w:val="00D70A5B"/>
    <w:rsid w:val="00D70C17"/>
    <w:rsid w:val="00D70CAF"/>
    <w:rsid w:val="00D70FD0"/>
    <w:rsid w:val="00D71053"/>
    <w:rsid w:val="00D71244"/>
    <w:rsid w:val="00D715FD"/>
    <w:rsid w:val="00D71D1E"/>
    <w:rsid w:val="00D71E57"/>
    <w:rsid w:val="00D7217E"/>
    <w:rsid w:val="00D721AD"/>
    <w:rsid w:val="00D72292"/>
    <w:rsid w:val="00D72602"/>
    <w:rsid w:val="00D72705"/>
    <w:rsid w:val="00D727AC"/>
    <w:rsid w:val="00D727BA"/>
    <w:rsid w:val="00D7285D"/>
    <w:rsid w:val="00D72B3C"/>
    <w:rsid w:val="00D72CEE"/>
    <w:rsid w:val="00D72F45"/>
    <w:rsid w:val="00D730C4"/>
    <w:rsid w:val="00D73177"/>
    <w:rsid w:val="00D7322A"/>
    <w:rsid w:val="00D73484"/>
    <w:rsid w:val="00D7359F"/>
    <w:rsid w:val="00D736D4"/>
    <w:rsid w:val="00D73726"/>
    <w:rsid w:val="00D7372A"/>
    <w:rsid w:val="00D73892"/>
    <w:rsid w:val="00D738DF"/>
    <w:rsid w:val="00D73B2A"/>
    <w:rsid w:val="00D73BD9"/>
    <w:rsid w:val="00D73D8C"/>
    <w:rsid w:val="00D73D8D"/>
    <w:rsid w:val="00D73DB7"/>
    <w:rsid w:val="00D73E28"/>
    <w:rsid w:val="00D73E80"/>
    <w:rsid w:val="00D73FB7"/>
    <w:rsid w:val="00D741D2"/>
    <w:rsid w:val="00D741ED"/>
    <w:rsid w:val="00D74249"/>
    <w:rsid w:val="00D74468"/>
    <w:rsid w:val="00D74D36"/>
    <w:rsid w:val="00D751A8"/>
    <w:rsid w:val="00D7550B"/>
    <w:rsid w:val="00D756F8"/>
    <w:rsid w:val="00D758C1"/>
    <w:rsid w:val="00D758DD"/>
    <w:rsid w:val="00D75955"/>
    <w:rsid w:val="00D75ABF"/>
    <w:rsid w:val="00D76009"/>
    <w:rsid w:val="00D764D4"/>
    <w:rsid w:val="00D76617"/>
    <w:rsid w:val="00D766D2"/>
    <w:rsid w:val="00D76799"/>
    <w:rsid w:val="00D769F9"/>
    <w:rsid w:val="00D76BBE"/>
    <w:rsid w:val="00D76D75"/>
    <w:rsid w:val="00D77063"/>
    <w:rsid w:val="00D7707F"/>
    <w:rsid w:val="00D77326"/>
    <w:rsid w:val="00D7736B"/>
    <w:rsid w:val="00D77401"/>
    <w:rsid w:val="00D80007"/>
    <w:rsid w:val="00D80180"/>
    <w:rsid w:val="00D8024E"/>
    <w:rsid w:val="00D80956"/>
    <w:rsid w:val="00D80A17"/>
    <w:rsid w:val="00D80A29"/>
    <w:rsid w:val="00D80A3E"/>
    <w:rsid w:val="00D80AA1"/>
    <w:rsid w:val="00D80AF4"/>
    <w:rsid w:val="00D80BE0"/>
    <w:rsid w:val="00D80E5E"/>
    <w:rsid w:val="00D80EC2"/>
    <w:rsid w:val="00D80FB2"/>
    <w:rsid w:val="00D81064"/>
    <w:rsid w:val="00D81174"/>
    <w:rsid w:val="00D81178"/>
    <w:rsid w:val="00D81325"/>
    <w:rsid w:val="00D81903"/>
    <w:rsid w:val="00D81DA0"/>
    <w:rsid w:val="00D81F3C"/>
    <w:rsid w:val="00D821CD"/>
    <w:rsid w:val="00D82856"/>
    <w:rsid w:val="00D82AAB"/>
    <w:rsid w:val="00D82B00"/>
    <w:rsid w:val="00D82C0B"/>
    <w:rsid w:val="00D82C96"/>
    <w:rsid w:val="00D82CD0"/>
    <w:rsid w:val="00D82D6C"/>
    <w:rsid w:val="00D82E5C"/>
    <w:rsid w:val="00D830A9"/>
    <w:rsid w:val="00D833E4"/>
    <w:rsid w:val="00D8360B"/>
    <w:rsid w:val="00D83612"/>
    <w:rsid w:val="00D836A3"/>
    <w:rsid w:val="00D836E5"/>
    <w:rsid w:val="00D83871"/>
    <w:rsid w:val="00D839FB"/>
    <w:rsid w:val="00D83DE6"/>
    <w:rsid w:val="00D83E5A"/>
    <w:rsid w:val="00D83FEF"/>
    <w:rsid w:val="00D84049"/>
    <w:rsid w:val="00D8430B"/>
    <w:rsid w:val="00D84421"/>
    <w:rsid w:val="00D84553"/>
    <w:rsid w:val="00D847B7"/>
    <w:rsid w:val="00D84AF1"/>
    <w:rsid w:val="00D84C8D"/>
    <w:rsid w:val="00D850FA"/>
    <w:rsid w:val="00D85281"/>
    <w:rsid w:val="00D85441"/>
    <w:rsid w:val="00D857B2"/>
    <w:rsid w:val="00D85884"/>
    <w:rsid w:val="00D858A1"/>
    <w:rsid w:val="00D859D2"/>
    <w:rsid w:val="00D85DDA"/>
    <w:rsid w:val="00D86353"/>
    <w:rsid w:val="00D8670A"/>
    <w:rsid w:val="00D867CA"/>
    <w:rsid w:val="00D867EA"/>
    <w:rsid w:val="00D86833"/>
    <w:rsid w:val="00D8691E"/>
    <w:rsid w:val="00D86B89"/>
    <w:rsid w:val="00D86C36"/>
    <w:rsid w:val="00D86C7E"/>
    <w:rsid w:val="00D86DAB"/>
    <w:rsid w:val="00D86DD0"/>
    <w:rsid w:val="00D86F53"/>
    <w:rsid w:val="00D86F98"/>
    <w:rsid w:val="00D870AA"/>
    <w:rsid w:val="00D870B1"/>
    <w:rsid w:val="00D870C3"/>
    <w:rsid w:val="00D87432"/>
    <w:rsid w:val="00D87659"/>
    <w:rsid w:val="00D87671"/>
    <w:rsid w:val="00D87793"/>
    <w:rsid w:val="00D8782A"/>
    <w:rsid w:val="00D878E3"/>
    <w:rsid w:val="00D87AF2"/>
    <w:rsid w:val="00D87B26"/>
    <w:rsid w:val="00D87EDC"/>
    <w:rsid w:val="00D87F52"/>
    <w:rsid w:val="00D90020"/>
    <w:rsid w:val="00D90391"/>
    <w:rsid w:val="00D90407"/>
    <w:rsid w:val="00D90579"/>
    <w:rsid w:val="00D9058A"/>
    <w:rsid w:val="00D90C42"/>
    <w:rsid w:val="00D90C4A"/>
    <w:rsid w:val="00D90D40"/>
    <w:rsid w:val="00D90DA1"/>
    <w:rsid w:val="00D91A65"/>
    <w:rsid w:val="00D91B2B"/>
    <w:rsid w:val="00D91BC9"/>
    <w:rsid w:val="00D91C43"/>
    <w:rsid w:val="00D91E35"/>
    <w:rsid w:val="00D92052"/>
    <w:rsid w:val="00D92185"/>
    <w:rsid w:val="00D9223A"/>
    <w:rsid w:val="00D9239B"/>
    <w:rsid w:val="00D923F1"/>
    <w:rsid w:val="00D924E2"/>
    <w:rsid w:val="00D92645"/>
    <w:rsid w:val="00D92689"/>
    <w:rsid w:val="00D92717"/>
    <w:rsid w:val="00D92765"/>
    <w:rsid w:val="00D92794"/>
    <w:rsid w:val="00D927BD"/>
    <w:rsid w:val="00D92961"/>
    <w:rsid w:val="00D92B60"/>
    <w:rsid w:val="00D92F0A"/>
    <w:rsid w:val="00D931FA"/>
    <w:rsid w:val="00D93300"/>
    <w:rsid w:val="00D93594"/>
    <w:rsid w:val="00D936D0"/>
    <w:rsid w:val="00D93714"/>
    <w:rsid w:val="00D93945"/>
    <w:rsid w:val="00D93B36"/>
    <w:rsid w:val="00D93B3F"/>
    <w:rsid w:val="00D93D28"/>
    <w:rsid w:val="00D93D2F"/>
    <w:rsid w:val="00D940A3"/>
    <w:rsid w:val="00D941C1"/>
    <w:rsid w:val="00D942BE"/>
    <w:rsid w:val="00D94354"/>
    <w:rsid w:val="00D9464D"/>
    <w:rsid w:val="00D94676"/>
    <w:rsid w:val="00D94759"/>
    <w:rsid w:val="00D9489C"/>
    <w:rsid w:val="00D948CC"/>
    <w:rsid w:val="00D94B9D"/>
    <w:rsid w:val="00D94F0B"/>
    <w:rsid w:val="00D95012"/>
    <w:rsid w:val="00D95042"/>
    <w:rsid w:val="00D95295"/>
    <w:rsid w:val="00D95544"/>
    <w:rsid w:val="00D95577"/>
    <w:rsid w:val="00D95589"/>
    <w:rsid w:val="00D95648"/>
    <w:rsid w:val="00D95672"/>
    <w:rsid w:val="00D956FE"/>
    <w:rsid w:val="00D95997"/>
    <w:rsid w:val="00D95C53"/>
    <w:rsid w:val="00D95CC3"/>
    <w:rsid w:val="00D95D26"/>
    <w:rsid w:val="00D95ED2"/>
    <w:rsid w:val="00D96024"/>
    <w:rsid w:val="00D96330"/>
    <w:rsid w:val="00D96436"/>
    <w:rsid w:val="00D964FD"/>
    <w:rsid w:val="00D9670A"/>
    <w:rsid w:val="00D96734"/>
    <w:rsid w:val="00D9677B"/>
    <w:rsid w:val="00D96AA4"/>
    <w:rsid w:val="00D96BBF"/>
    <w:rsid w:val="00D96F09"/>
    <w:rsid w:val="00D96FE4"/>
    <w:rsid w:val="00D97271"/>
    <w:rsid w:val="00D9727D"/>
    <w:rsid w:val="00D97520"/>
    <w:rsid w:val="00D97853"/>
    <w:rsid w:val="00D9785A"/>
    <w:rsid w:val="00D97A13"/>
    <w:rsid w:val="00D97B72"/>
    <w:rsid w:val="00D97EC3"/>
    <w:rsid w:val="00D97FF1"/>
    <w:rsid w:val="00DA02A2"/>
    <w:rsid w:val="00DA03DE"/>
    <w:rsid w:val="00DA04BE"/>
    <w:rsid w:val="00DA06CD"/>
    <w:rsid w:val="00DA079B"/>
    <w:rsid w:val="00DA08E1"/>
    <w:rsid w:val="00DA0965"/>
    <w:rsid w:val="00DA0A4B"/>
    <w:rsid w:val="00DA0A73"/>
    <w:rsid w:val="00DA0CC1"/>
    <w:rsid w:val="00DA0D36"/>
    <w:rsid w:val="00DA0E71"/>
    <w:rsid w:val="00DA0E73"/>
    <w:rsid w:val="00DA0F96"/>
    <w:rsid w:val="00DA0FE5"/>
    <w:rsid w:val="00DA12AC"/>
    <w:rsid w:val="00DA13DF"/>
    <w:rsid w:val="00DA1407"/>
    <w:rsid w:val="00DA1740"/>
    <w:rsid w:val="00DA18AD"/>
    <w:rsid w:val="00DA1A6F"/>
    <w:rsid w:val="00DA1D6E"/>
    <w:rsid w:val="00DA1D9D"/>
    <w:rsid w:val="00DA2075"/>
    <w:rsid w:val="00DA2106"/>
    <w:rsid w:val="00DA2207"/>
    <w:rsid w:val="00DA2527"/>
    <w:rsid w:val="00DA288F"/>
    <w:rsid w:val="00DA28FD"/>
    <w:rsid w:val="00DA2B1C"/>
    <w:rsid w:val="00DA2C25"/>
    <w:rsid w:val="00DA2CEF"/>
    <w:rsid w:val="00DA2FA3"/>
    <w:rsid w:val="00DA318E"/>
    <w:rsid w:val="00DA3318"/>
    <w:rsid w:val="00DA334B"/>
    <w:rsid w:val="00DA3492"/>
    <w:rsid w:val="00DA3791"/>
    <w:rsid w:val="00DA383F"/>
    <w:rsid w:val="00DA385C"/>
    <w:rsid w:val="00DA3D18"/>
    <w:rsid w:val="00DA3DD8"/>
    <w:rsid w:val="00DA3E59"/>
    <w:rsid w:val="00DA3F3D"/>
    <w:rsid w:val="00DA426B"/>
    <w:rsid w:val="00DA429D"/>
    <w:rsid w:val="00DA4526"/>
    <w:rsid w:val="00DA4549"/>
    <w:rsid w:val="00DA4D53"/>
    <w:rsid w:val="00DA4E44"/>
    <w:rsid w:val="00DA4E98"/>
    <w:rsid w:val="00DA516A"/>
    <w:rsid w:val="00DA52B3"/>
    <w:rsid w:val="00DA5460"/>
    <w:rsid w:val="00DA573D"/>
    <w:rsid w:val="00DA582E"/>
    <w:rsid w:val="00DA5A2F"/>
    <w:rsid w:val="00DA5BAC"/>
    <w:rsid w:val="00DA5E5F"/>
    <w:rsid w:val="00DA6015"/>
    <w:rsid w:val="00DA6156"/>
    <w:rsid w:val="00DA61D2"/>
    <w:rsid w:val="00DA6559"/>
    <w:rsid w:val="00DA665A"/>
    <w:rsid w:val="00DA6A38"/>
    <w:rsid w:val="00DA6BD6"/>
    <w:rsid w:val="00DA6D11"/>
    <w:rsid w:val="00DA70BC"/>
    <w:rsid w:val="00DA70C7"/>
    <w:rsid w:val="00DA717C"/>
    <w:rsid w:val="00DA7393"/>
    <w:rsid w:val="00DA7CD2"/>
    <w:rsid w:val="00DA7EE2"/>
    <w:rsid w:val="00DA7FD1"/>
    <w:rsid w:val="00DB017C"/>
    <w:rsid w:val="00DB01D6"/>
    <w:rsid w:val="00DB036F"/>
    <w:rsid w:val="00DB0463"/>
    <w:rsid w:val="00DB0B95"/>
    <w:rsid w:val="00DB0B9E"/>
    <w:rsid w:val="00DB0E70"/>
    <w:rsid w:val="00DB0F85"/>
    <w:rsid w:val="00DB1034"/>
    <w:rsid w:val="00DB107D"/>
    <w:rsid w:val="00DB1183"/>
    <w:rsid w:val="00DB1232"/>
    <w:rsid w:val="00DB1424"/>
    <w:rsid w:val="00DB1566"/>
    <w:rsid w:val="00DB15A1"/>
    <w:rsid w:val="00DB1691"/>
    <w:rsid w:val="00DB1C2B"/>
    <w:rsid w:val="00DB1C38"/>
    <w:rsid w:val="00DB1DBD"/>
    <w:rsid w:val="00DB2032"/>
    <w:rsid w:val="00DB205B"/>
    <w:rsid w:val="00DB21B0"/>
    <w:rsid w:val="00DB2385"/>
    <w:rsid w:val="00DB26BD"/>
    <w:rsid w:val="00DB27B2"/>
    <w:rsid w:val="00DB286F"/>
    <w:rsid w:val="00DB2B9C"/>
    <w:rsid w:val="00DB2C2A"/>
    <w:rsid w:val="00DB2CEB"/>
    <w:rsid w:val="00DB2D6B"/>
    <w:rsid w:val="00DB2DA3"/>
    <w:rsid w:val="00DB2F2B"/>
    <w:rsid w:val="00DB2FD8"/>
    <w:rsid w:val="00DB31DD"/>
    <w:rsid w:val="00DB3324"/>
    <w:rsid w:val="00DB3453"/>
    <w:rsid w:val="00DB34EC"/>
    <w:rsid w:val="00DB3F07"/>
    <w:rsid w:val="00DB4014"/>
    <w:rsid w:val="00DB4098"/>
    <w:rsid w:val="00DB40C9"/>
    <w:rsid w:val="00DB43A5"/>
    <w:rsid w:val="00DB44DC"/>
    <w:rsid w:val="00DB45F4"/>
    <w:rsid w:val="00DB45FF"/>
    <w:rsid w:val="00DB4A6D"/>
    <w:rsid w:val="00DB4F2C"/>
    <w:rsid w:val="00DB51BC"/>
    <w:rsid w:val="00DB548D"/>
    <w:rsid w:val="00DB54D8"/>
    <w:rsid w:val="00DB5703"/>
    <w:rsid w:val="00DB6237"/>
    <w:rsid w:val="00DB6326"/>
    <w:rsid w:val="00DB646D"/>
    <w:rsid w:val="00DB661F"/>
    <w:rsid w:val="00DB676F"/>
    <w:rsid w:val="00DB6864"/>
    <w:rsid w:val="00DB6979"/>
    <w:rsid w:val="00DB69D5"/>
    <w:rsid w:val="00DB6AF3"/>
    <w:rsid w:val="00DB6B91"/>
    <w:rsid w:val="00DB6C77"/>
    <w:rsid w:val="00DB6ECE"/>
    <w:rsid w:val="00DB6F19"/>
    <w:rsid w:val="00DB701E"/>
    <w:rsid w:val="00DB7047"/>
    <w:rsid w:val="00DB7048"/>
    <w:rsid w:val="00DB72FE"/>
    <w:rsid w:val="00DB7678"/>
    <w:rsid w:val="00DB7BB0"/>
    <w:rsid w:val="00DB7BC2"/>
    <w:rsid w:val="00DB7D2F"/>
    <w:rsid w:val="00DB7DA9"/>
    <w:rsid w:val="00DB7DDE"/>
    <w:rsid w:val="00DC0050"/>
    <w:rsid w:val="00DC00FA"/>
    <w:rsid w:val="00DC0350"/>
    <w:rsid w:val="00DC035D"/>
    <w:rsid w:val="00DC066A"/>
    <w:rsid w:val="00DC0B5A"/>
    <w:rsid w:val="00DC0C01"/>
    <w:rsid w:val="00DC0C73"/>
    <w:rsid w:val="00DC0EC5"/>
    <w:rsid w:val="00DC1196"/>
    <w:rsid w:val="00DC11DB"/>
    <w:rsid w:val="00DC1953"/>
    <w:rsid w:val="00DC1A1D"/>
    <w:rsid w:val="00DC1AE8"/>
    <w:rsid w:val="00DC1BB4"/>
    <w:rsid w:val="00DC1D96"/>
    <w:rsid w:val="00DC2184"/>
    <w:rsid w:val="00DC21F6"/>
    <w:rsid w:val="00DC226D"/>
    <w:rsid w:val="00DC260B"/>
    <w:rsid w:val="00DC268C"/>
    <w:rsid w:val="00DC2902"/>
    <w:rsid w:val="00DC2A44"/>
    <w:rsid w:val="00DC2CAA"/>
    <w:rsid w:val="00DC2DA1"/>
    <w:rsid w:val="00DC30AD"/>
    <w:rsid w:val="00DC31DE"/>
    <w:rsid w:val="00DC3AB9"/>
    <w:rsid w:val="00DC3F54"/>
    <w:rsid w:val="00DC4057"/>
    <w:rsid w:val="00DC41EB"/>
    <w:rsid w:val="00DC4366"/>
    <w:rsid w:val="00DC4431"/>
    <w:rsid w:val="00DC4A6D"/>
    <w:rsid w:val="00DC4AAC"/>
    <w:rsid w:val="00DC4B6B"/>
    <w:rsid w:val="00DC4CF0"/>
    <w:rsid w:val="00DC4E16"/>
    <w:rsid w:val="00DC4F8C"/>
    <w:rsid w:val="00DC513F"/>
    <w:rsid w:val="00DC5322"/>
    <w:rsid w:val="00DC5380"/>
    <w:rsid w:val="00DC54CF"/>
    <w:rsid w:val="00DC55AC"/>
    <w:rsid w:val="00DC5687"/>
    <w:rsid w:val="00DC58B8"/>
    <w:rsid w:val="00DC598E"/>
    <w:rsid w:val="00DC5D37"/>
    <w:rsid w:val="00DC6410"/>
    <w:rsid w:val="00DC6419"/>
    <w:rsid w:val="00DC645A"/>
    <w:rsid w:val="00DC676B"/>
    <w:rsid w:val="00DC696E"/>
    <w:rsid w:val="00DC6C6C"/>
    <w:rsid w:val="00DC6C87"/>
    <w:rsid w:val="00DC6F10"/>
    <w:rsid w:val="00DC6F56"/>
    <w:rsid w:val="00DC700B"/>
    <w:rsid w:val="00DC70DC"/>
    <w:rsid w:val="00DC7607"/>
    <w:rsid w:val="00DC7684"/>
    <w:rsid w:val="00DC7A92"/>
    <w:rsid w:val="00DC7CE4"/>
    <w:rsid w:val="00DC7D08"/>
    <w:rsid w:val="00DC7ED1"/>
    <w:rsid w:val="00DC7EDF"/>
    <w:rsid w:val="00DD017F"/>
    <w:rsid w:val="00DD060E"/>
    <w:rsid w:val="00DD06D5"/>
    <w:rsid w:val="00DD0707"/>
    <w:rsid w:val="00DD089E"/>
    <w:rsid w:val="00DD0C1D"/>
    <w:rsid w:val="00DD0C2E"/>
    <w:rsid w:val="00DD0D36"/>
    <w:rsid w:val="00DD0DF2"/>
    <w:rsid w:val="00DD0E07"/>
    <w:rsid w:val="00DD0EC3"/>
    <w:rsid w:val="00DD0F4F"/>
    <w:rsid w:val="00DD0F55"/>
    <w:rsid w:val="00DD12F0"/>
    <w:rsid w:val="00DD168C"/>
    <w:rsid w:val="00DD18A5"/>
    <w:rsid w:val="00DD199B"/>
    <w:rsid w:val="00DD1D9A"/>
    <w:rsid w:val="00DD2115"/>
    <w:rsid w:val="00DD228A"/>
    <w:rsid w:val="00DD2396"/>
    <w:rsid w:val="00DD23E5"/>
    <w:rsid w:val="00DD2720"/>
    <w:rsid w:val="00DD2802"/>
    <w:rsid w:val="00DD2812"/>
    <w:rsid w:val="00DD282F"/>
    <w:rsid w:val="00DD291B"/>
    <w:rsid w:val="00DD2B0C"/>
    <w:rsid w:val="00DD32B6"/>
    <w:rsid w:val="00DD33EC"/>
    <w:rsid w:val="00DD3588"/>
    <w:rsid w:val="00DD3613"/>
    <w:rsid w:val="00DD40A0"/>
    <w:rsid w:val="00DD419D"/>
    <w:rsid w:val="00DD45B9"/>
    <w:rsid w:val="00DD4718"/>
    <w:rsid w:val="00DD47EC"/>
    <w:rsid w:val="00DD48D7"/>
    <w:rsid w:val="00DD495C"/>
    <w:rsid w:val="00DD4A09"/>
    <w:rsid w:val="00DD4B1B"/>
    <w:rsid w:val="00DD4D13"/>
    <w:rsid w:val="00DD502A"/>
    <w:rsid w:val="00DD50E4"/>
    <w:rsid w:val="00DD51B5"/>
    <w:rsid w:val="00DD52C9"/>
    <w:rsid w:val="00DD542C"/>
    <w:rsid w:val="00DD5444"/>
    <w:rsid w:val="00DD5479"/>
    <w:rsid w:val="00DD57AB"/>
    <w:rsid w:val="00DD5896"/>
    <w:rsid w:val="00DD5998"/>
    <w:rsid w:val="00DD59E2"/>
    <w:rsid w:val="00DD5A64"/>
    <w:rsid w:val="00DD5B27"/>
    <w:rsid w:val="00DD5D4B"/>
    <w:rsid w:val="00DD5E7C"/>
    <w:rsid w:val="00DD5F7A"/>
    <w:rsid w:val="00DD603D"/>
    <w:rsid w:val="00DD653A"/>
    <w:rsid w:val="00DD6828"/>
    <w:rsid w:val="00DD6A65"/>
    <w:rsid w:val="00DD6B4E"/>
    <w:rsid w:val="00DD6C64"/>
    <w:rsid w:val="00DD6D4F"/>
    <w:rsid w:val="00DD7049"/>
    <w:rsid w:val="00DD72BF"/>
    <w:rsid w:val="00DD7570"/>
    <w:rsid w:val="00DD75A8"/>
    <w:rsid w:val="00DD7720"/>
    <w:rsid w:val="00DD787A"/>
    <w:rsid w:val="00DD7A0D"/>
    <w:rsid w:val="00DD7BB2"/>
    <w:rsid w:val="00DD7C61"/>
    <w:rsid w:val="00DD7D0B"/>
    <w:rsid w:val="00DD7F81"/>
    <w:rsid w:val="00DD7FE9"/>
    <w:rsid w:val="00DE04FB"/>
    <w:rsid w:val="00DE057F"/>
    <w:rsid w:val="00DE05F4"/>
    <w:rsid w:val="00DE07B4"/>
    <w:rsid w:val="00DE08FB"/>
    <w:rsid w:val="00DE09C5"/>
    <w:rsid w:val="00DE0F62"/>
    <w:rsid w:val="00DE1145"/>
    <w:rsid w:val="00DE1151"/>
    <w:rsid w:val="00DE123B"/>
    <w:rsid w:val="00DE1316"/>
    <w:rsid w:val="00DE153C"/>
    <w:rsid w:val="00DE15D4"/>
    <w:rsid w:val="00DE15F7"/>
    <w:rsid w:val="00DE1611"/>
    <w:rsid w:val="00DE195A"/>
    <w:rsid w:val="00DE1961"/>
    <w:rsid w:val="00DE1A51"/>
    <w:rsid w:val="00DE1CB1"/>
    <w:rsid w:val="00DE1D7C"/>
    <w:rsid w:val="00DE1EF3"/>
    <w:rsid w:val="00DE24C6"/>
    <w:rsid w:val="00DE251D"/>
    <w:rsid w:val="00DE2692"/>
    <w:rsid w:val="00DE283D"/>
    <w:rsid w:val="00DE29A0"/>
    <w:rsid w:val="00DE2A3A"/>
    <w:rsid w:val="00DE2BD4"/>
    <w:rsid w:val="00DE2D88"/>
    <w:rsid w:val="00DE2EEC"/>
    <w:rsid w:val="00DE2FA6"/>
    <w:rsid w:val="00DE2FCD"/>
    <w:rsid w:val="00DE3305"/>
    <w:rsid w:val="00DE3320"/>
    <w:rsid w:val="00DE3458"/>
    <w:rsid w:val="00DE3848"/>
    <w:rsid w:val="00DE3AD1"/>
    <w:rsid w:val="00DE3B98"/>
    <w:rsid w:val="00DE3BEB"/>
    <w:rsid w:val="00DE3D2A"/>
    <w:rsid w:val="00DE4096"/>
    <w:rsid w:val="00DE40B7"/>
    <w:rsid w:val="00DE4125"/>
    <w:rsid w:val="00DE42C2"/>
    <w:rsid w:val="00DE443C"/>
    <w:rsid w:val="00DE464C"/>
    <w:rsid w:val="00DE46A9"/>
    <w:rsid w:val="00DE47DE"/>
    <w:rsid w:val="00DE4920"/>
    <w:rsid w:val="00DE4B99"/>
    <w:rsid w:val="00DE4C72"/>
    <w:rsid w:val="00DE4CE5"/>
    <w:rsid w:val="00DE504A"/>
    <w:rsid w:val="00DE50CF"/>
    <w:rsid w:val="00DE5262"/>
    <w:rsid w:val="00DE5318"/>
    <w:rsid w:val="00DE5445"/>
    <w:rsid w:val="00DE5A18"/>
    <w:rsid w:val="00DE5C9F"/>
    <w:rsid w:val="00DE5E7D"/>
    <w:rsid w:val="00DE5EE2"/>
    <w:rsid w:val="00DE622D"/>
    <w:rsid w:val="00DE640D"/>
    <w:rsid w:val="00DE68FC"/>
    <w:rsid w:val="00DE6A59"/>
    <w:rsid w:val="00DE6A95"/>
    <w:rsid w:val="00DE6C51"/>
    <w:rsid w:val="00DE6C6B"/>
    <w:rsid w:val="00DE6DD7"/>
    <w:rsid w:val="00DE6ED2"/>
    <w:rsid w:val="00DE70A5"/>
    <w:rsid w:val="00DE7284"/>
    <w:rsid w:val="00DE732F"/>
    <w:rsid w:val="00DE742F"/>
    <w:rsid w:val="00DE7439"/>
    <w:rsid w:val="00DE7743"/>
    <w:rsid w:val="00DE78C0"/>
    <w:rsid w:val="00DE7ABD"/>
    <w:rsid w:val="00DE7C25"/>
    <w:rsid w:val="00DE7C5D"/>
    <w:rsid w:val="00DE7D80"/>
    <w:rsid w:val="00DF0016"/>
    <w:rsid w:val="00DF003F"/>
    <w:rsid w:val="00DF0401"/>
    <w:rsid w:val="00DF0844"/>
    <w:rsid w:val="00DF08DD"/>
    <w:rsid w:val="00DF0969"/>
    <w:rsid w:val="00DF0A55"/>
    <w:rsid w:val="00DF0A82"/>
    <w:rsid w:val="00DF1468"/>
    <w:rsid w:val="00DF1605"/>
    <w:rsid w:val="00DF1842"/>
    <w:rsid w:val="00DF1924"/>
    <w:rsid w:val="00DF1957"/>
    <w:rsid w:val="00DF1C07"/>
    <w:rsid w:val="00DF1CF6"/>
    <w:rsid w:val="00DF20B1"/>
    <w:rsid w:val="00DF23C1"/>
    <w:rsid w:val="00DF23CF"/>
    <w:rsid w:val="00DF2441"/>
    <w:rsid w:val="00DF24E4"/>
    <w:rsid w:val="00DF2525"/>
    <w:rsid w:val="00DF25CE"/>
    <w:rsid w:val="00DF2686"/>
    <w:rsid w:val="00DF278E"/>
    <w:rsid w:val="00DF28BD"/>
    <w:rsid w:val="00DF2A0D"/>
    <w:rsid w:val="00DF2A52"/>
    <w:rsid w:val="00DF31C3"/>
    <w:rsid w:val="00DF3310"/>
    <w:rsid w:val="00DF33B4"/>
    <w:rsid w:val="00DF34CC"/>
    <w:rsid w:val="00DF34F3"/>
    <w:rsid w:val="00DF35E1"/>
    <w:rsid w:val="00DF370F"/>
    <w:rsid w:val="00DF3BE9"/>
    <w:rsid w:val="00DF3D17"/>
    <w:rsid w:val="00DF3EC4"/>
    <w:rsid w:val="00DF3F28"/>
    <w:rsid w:val="00DF46FE"/>
    <w:rsid w:val="00DF4B69"/>
    <w:rsid w:val="00DF4BFD"/>
    <w:rsid w:val="00DF4DA4"/>
    <w:rsid w:val="00DF5139"/>
    <w:rsid w:val="00DF5498"/>
    <w:rsid w:val="00DF554B"/>
    <w:rsid w:val="00DF5B23"/>
    <w:rsid w:val="00DF5C75"/>
    <w:rsid w:val="00DF5CC4"/>
    <w:rsid w:val="00DF6005"/>
    <w:rsid w:val="00DF605D"/>
    <w:rsid w:val="00DF61FC"/>
    <w:rsid w:val="00DF6949"/>
    <w:rsid w:val="00DF69E8"/>
    <w:rsid w:val="00DF6A78"/>
    <w:rsid w:val="00DF6C3F"/>
    <w:rsid w:val="00DF6EC1"/>
    <w:rsid w:val="00DF700E"/>
    <w:rsid w:val="00DF7067"/>
    <w:rsid w:val="00DF70E6"/>
    <w:rsid w:val="00DF7331"/>
    <w:rsid w:val="00DF74EA"/>
    <w:rsid w:val="00DF758A"/>
    <w:rsid w:val="00DF759C"/>
    <w:rsid w:val="00DF78B5"/>
    <w:rsid w:val="00DF7A3A"/>
    <w:rsid w:val="00DF7B76"/>
    <w:rsid w:val="00DF7D63"/>
    <w:rsid w:val="00DF7F05"/>
    <w:rsid w:val="00E00268"/>
    <w:rsid w:val="00E00341"/>
    <w:rsid w:val="00E00421"/>
    <w:rsid w:val="00E00941"/>
    <w:rsid w:val="00E00A12"/>
    <w:rsid w:val="00E00DB8"/>
    <w:rsid w:val="00E00E98"/>
    <w:rsid w:val="00E01206"/>
    <w:rsid w:val="00E0157C"/>
    <w:rsid w:val="00E015B3"/>
    <w:rsid w:val="00E016C9"/>
    <w:rsid w:val="00E017B9"/>
    <w:rsid w:val="00E019C6"/>
    <w:rsid w:val="00E019EB"/>
    <w:rsid w:val="00E01A42"/>
    <w:rsid w:val="00E01E5C"/>
    <w:rsid w:val="00E01F08"/>
    <w:rsid w:val="00E01FB4"/>
    <w:rsid w:val="00E0204D"/>
    <w:rsid w:val="00E02281"/>
    <w:rsid w:val="00E023CD"/>
    <w:rsid w:val="00E024D7"/>
    <w:rsid w:val="00E024E1"/>
    <w:rsid w:val="00E02752"/>
    <w:rsid w:val="00E02895"/>
    <w:rsid w:val="00E028F2"/>
    <w:rsid w:val="00E029DB"/>
    <w:rsid w:val="00E02A68"/>
    <w:rsid w:val="00E02B5B"/>
    <w:rsid w:val="00E02BA1"/>
    <w:rsid w:val="00E02BE7"/>
    <w:rsid w:val="00E02C61"/>
    <w:rsid w:val="00E03751"/>
    <w:rsid w:val="00E03DF2"/>
    <w:rsid w:val="00E04122"/>
    <w:rsid w:val="00E04196"/>
    <w:rsid w:val="00E04890"/>
    <w:rsid w:val="00E049A2"/>
    <w:rsid w:val="00E04BA5"/>
    <w:rsid w:val="00E04CCD"/>
    <w:rsid w:val="00E04D44"/>
    <w:rsid w:val="00E04F75"/>
    <w:rsid w:val="00E0521F"/>
    <w:rsid w:val="00E0541B"/>
    <w:rsid w:val="00E05BDD"/>
    <w:rsid w:val="00E05C7F"/>
    <w:rsid w:val="00E05CB1"/>
    <w:rsid w:val="00E05DF2"/>
    <w:rsid w:val="00E05E90"/>
    <w:rsid w:val="00E05FAB"/>
    <w:rsid w:val="00E060B1"/>
    <w:rsid w:val="00E06437"/>
    <w:rsid w:val="00E065A8"/>
    <w:rsid w:val="00E067B7"/>
    <w:rsid w:val="00E067D0"/>
    <w:rsid w:val="00E06962"/>
    <w:rsid w:val="00E06A2E"/>
    <w:rsid w:val="00E06D9F"/>
    <w:rsid w:val="00E06EC2"/>
    <w:rsid w:val="00E072AD"/>
    <w:rsid w:val="00E074B8"/>
    <w:rsid w:val="00E074C4"/>
    <w:rsid w:val="00E076D1"/>
    <w:rsid w:val="00E07EB8"/>
    <w:rsid w:val="00E10774"/>
    <w:rsid w:val="00E10C02"/>
    <w:rsid w:val="00E10E50"/>
    <w:rsid w:val="00E11202"/>
    <w:rsid w:val="00E11381"/>
    <w:rsid w:val="00E113D9"/>
    <w:rsid w:val="00E114E7"/>
    <w:rsid w:val="00E1151B"/>
    <w:rsid w:val="00E11A03"/>
    <w:rsid w:val="00E11A7C"/>
    <w:rsid w:val="00E11B41"/>
    <w:rsid w:val="00E11E1E"/>
    <w:rsid w:val="00E11F24"/>
    <w:rsid w:val="00E123B9"/>
    <w:rsid w:val="00E12455"/>
    <w:rsid w:val="00E125A6"/>
    <w:rsid w:val="00E1261E"/>
    <w:rsid w:val="00E12674"/>
    <w:rsid w:val="00E12A6D"/>
    <w:rsid w:val="00E12B12"/>
    <w:rsid w:val="00E12CEF"/>
    <w:rsid w:val="00E12DB9"/>
    <w:rsid w:val="00E13211"/>
    <w:rsid w:val="00E1353C"/>
    <w:rsid w:val="00E13575"/>
    <w:rsid w:val="00E13622"/>
    <w:rsid w:val="00E13681"/>
    <w:rsid w:val="00E13A13"/>
    <w:rsid w:val="00E13D4D"/>
    <w:rsid w:val="00E13EEF"/>
    <w:rsid w:val="00E13F37"/>
    <w:rsid w:val="00E13F94"/>
    <w:rsid w:val="00E14310"/>
    <w:rsid w:val="00E143B8"/>
    <w:rsid w:val="00E1475D"/>
    <w:rsid w:val="00E1496F"/>
    <w:rsid w:val="00E14A62"/>
    <w:rsid w:val="00E14B94"/>
    <w:rsid w:val="00E15338"/>
    <w:rsid w:val="00E15573"/>
    <w:rsid w:val="00E155D3"/>
    <w:rsid w:val="00E1583E"/>
    <w:rsid w:val="00E1596B"/>
    <w:rsid w:val="00E159E2"/>
    <w:rsid w:val="00E15A8F"/>
    <w:rsid w:val="00E15CB9"/>
    <w:rsid w:val="00E15CD1"/>
    <w:rsid w:val="00E16182"/>
    <w:rsid w:val="00E1696E"/>
    <w:rsid w:val="00E16B59"/>
    <w:rsid w:val="00E16B81"/>
    <w:rsid w:val="00E16D2C"/>
    <w:rsid w:val="00E16F30"/>
    <w:rsid w:val="00E17030"/>
    <w:rsid w:val="00E17172"/>
    <w:rsid w:val="00E1766B"/>
    <w:rsid w:val="00E17763"/>
    <w:rsid w:val="00E17831"/>
    <w:rsid w:val="00E17919"/>
    <w:rsid w:val="00E17DA9"/>
    <w:rsid w:val="00E2011B"/>
    <w:rsid w:val="00E2013C"/>
    <w:rsid w:val="00E2025C"/>
    <w:rsid w:val="00E203B2"/>
    <w:rsid w:val="00E20652"/>
    <w:rsid w:val="00E207B3"/>
    <w:rsid w:val="00E2099E"/>
    <w:rsid w:val="00E20BE5"/>
    <w:rsid w:val="00E20C82"/>
    <w:rsid w:val="00E20DE1"/>
    <w:rsid w:val="00E20F37"/>
    <w:rsid w:val="00E211F9"/>
    <w:rsid w:val="00E212EC"/>
    <w:rsid w:val="00E216EB"/>
    <w:rsid w:val="00E21840"/>
    <w:rsid w:val="00E21987"/>
    <w:rsid w:val="00E21BE5"/>
    <w:rsid w:val="00E21C68"/>
    <w:rsid w:val="00E21E33"/>
    <w:rsid w:val="00E21F59"/>
    <w:rsid w:val="00E21F73"/>
    <w:rsid w:val="00E21F8B"/>
    <w:rsid w:val="00E21F9C"/>
    <w:rsid w:val="00E2202F"/>
    <w:rsid w:val="00E22184"/>
    <w:rsid w:val="00E22247"/>
    <w:rsid w:val="00E22393"/>
    <w:rsid w:val="00E223F4"/>
    <w:rsid w:val="00E2265B"/>
    <w:rsid w:val="00E22745"/>
    <w:rsid w:val="00E22C5D"/>
    <w:rsid w:val="00E22E73"/>
    <w:rsid w:val="00E2335B"/>
    <w:rsid w:val="00E2354B"/>
    <w:rsid w:val="00E23597"/>
    <w:rsid w:val="00E23725"/>
    <w:rsid w:val="00E2372B"/>
    <w:rsid w:val="00E237EE"/>
    <w:rsid w:val="00E238CA"/>
    <w:rsid w:val="00E239A3"/>
    <w:rsid w:val="00E23B0E"/>
    <w:rsid w:val="00E23DA0"/>
    <w:rsid w:val="00E23DB4"/>
    <w:rsid w:val="00E23E9A"/>
    <w:rsid w:val="00E23F1F"/>
    <w:rsid w:val="00E24037"/>
    <w:rsid w:val="00E24293"/>
    <w:rsid w:val="00E2431E"/>
    <w:rsid w:val="00E244CB"/>
    <w:rsid w:val="00E24659"/>
    <w:rsid w:val="00E24680"/>
    <w:rsid w:val="00E24952"/>
    <w:rsid w:val="00E24995"/>
    <w:rsid w:val="00E249E3"/>
    <w:rsid w:val="00E24A33"/>
    <w:rsid w:val="00E24A4E"/>
    <w:rsid w:val="00E24D96"/>
    <w:rsid w:val="00E24F09"/>
    <w:rsid w:val="00E25054"/>
    <w:rsid w:val="00E25069"/>
    <w:rsid w:val="00E250F5"/>
    <w:rsid w:val="00E251D0"/>
    <w:rsid w:val="00E253B0"/>
    <w:rsid w:val="00E2549F"/>
    <w:rsid w:val="00E254B0"/>
    <w:rsid w:val="00E254C4"/>
    <w:rsid w:val="00E255D7"/>
    <w:rsid w:val="00E257BC"/>
    <w:rsid w:val="00E2588C"/>
    <w:rsid w:val="00E2591D"/>
    <w:rsid w:val="00E25A3E"/>
    <w:rsid w:val="00E25EC0"/>
    <w:rsid w:val="00E25EDB"/>
    <w:rsid w:val="00E261E3"/>
    <w:rsid w:val="00E26560"/>
    <w:rsid w:val="00E265E9"/>
    <w:rsid w:val="00E266D8"/>
    <w:rsid w:val="00E267B2"/>
    <w:rsid w:val="00E26B5E"/>
    <w:rsid w:val="00E26C2F"/>
    <w:rsid w:val="00E26C4B"/>
    <w:rsid w:val="00E26D6B"/>
    <w:rsid w:val="00E26DF2"/>
    <w:rsid w:val="00E26E5B"/>
    <w:rsid w:val="00E26E64"/>
    <w:rsid w:val="00E27009"/>
    <w:rsid w:val="00E272BC"/>
    <w:rsid w:val="00E27463"/>
    <w:rsid w:val="00E276C7"/>
    <w:rsid w:val="00E276EF"/>
    <w:rsid w:val="00E27A33"/>
    <w:rsid w:val="00E27AAF"/>
    <w:rsid w:val="00E27AD6"/>
    <w:rsid w:val="00E27BAB"/>
    <w:rsid w:val="00E27D60"/>
    <w:rsid w:val="00E27E61"/>
    <w:rsid w:val="00E303F7"/>
    <w:rsid w:val="00E304B5"/>
    <w:rsid w:val="00E30760"/>
    <w:rsid w:val="00E307A1"/>
    <w:rsid w:val="00E30A4D"/>
    <w:rsid w:val="00E30B4F"/>
    <w:rsid w:val="00E30E12"/>
    <w:rsid w:val="00E30F59"/>
    <w:rsid w:val="00E31051"/>
    <w:rsid w:val="00E310C7"/>
    <w:rsid w:val="00E311ED"/>
    <w:rsid w:val="00E311F3"/>
    <w:rsid w:val="00E31235"/>
    <w:rsid w:val="00E312F4"/>
    <w:rsid w:val="00E3148B"/>
    <w:rsid w:val="00E31682"/>
    <w:rsid w:val="00E316A9"/>
    <w:rsid w:val="00E316E8"/>
    <w:rsid w:val="00E3176C"/>
    <w:rsid w:val="00E317E6"/>
    <w:rsid w:val="00E31A95"/>
    <w:rsid w:val="00E31B33"/>
    <w:rsid w:val="00E31DFC"/>
    <w:rsid w:val="00E3202D"/>
    <w:rsid w:val="00E32193"/>
    <w:rsid w:val="00E32233"/>
    <w:rsid w:val="00E3270A"/>
    <w:rsid w:val="00E328E8"/>
    <w:rsid w:val="00E32906"/>
    <w:rsid w:val="00E329C6"/>
    <w:rsid w:val="00E32A44"/>
    <w:rsid w:val="00E32BA3"/>
    <w:rsid w:val="00E32C0E"/>
    <w:rsid w:val="00E32D6D"/>
    <w:rsid w:val="00E32EA5"/>
    <w:rsid w:val="00E32F65"/>
    <w:rsid w:val="00E33122"/>
    <w:rsid w:val="00E331B7"/>
    <w:rsid w:val="00E331D6"/>
    <w:rsid w:val="00E33339"/>
    <w:rsid w:val="00E333EB"/>
    <w:rsid w:val="00E337EA"/>
    <w:rsid w:val="00E33944"/>
    <w:rsid w:val="00E339A1"/>
    <w:rsid w:val="00E33AE0"/>
    <w:rsid w:val="00E33B04"/>
    <w:rsid w:val="00E33FCE"/>
    <w:rsid w:val="00E34566"/>
    <w:rsid w:val="00E3471B"/>
    <w:rsid w:val="00E34845"/>
    <w:rsid w:val="00E3488E"/>
    <w:rsid w:val="00E34E63"/>
    <w:rsid w:val="00E34E69"/>
    <w:rsid w:val="00E35048"/>
    <w:rsid w:val="00E3506E"/>
    <w:rsid w:val="00E35254"/>
    <w:rsid w:val="00E352DD"/>
    <w:rsid w:val="00E353E3"/>
    <w:rsid w:val="00E3543F"/>
    <w:rsid w:val="00E355E2"/>
    <w:rsid w:val="00E358D6"/>
    <w:rsid w:val="00E35A9B"/>
    <w:rsid w:val="00E35C3C"/>
    <w:rsid w:val="00E35D8D"/>
    <w:rsid w:val="00E35DEC"/>
    <w:rsid w:val="00E35E89"/>
    <w:rsid w:val="00E35F24"/>
    <w:rsid w:val="00E36166"/>
    <w:rsid w:val="00E36410"/>
    <w:rsid w:val="00E36440"/>
    <w:rsid w:val="00E3644A"/>
    <w:rsid w:val="00E36709"/>
    <w:rsid w:val="00E3696C"/>
    <w:rsid w:val="00E36CA6"/>
    <w:rsid w:val="00E36CCA"/>
    <w:rsid w:val="00E36D00"/>
    <w:rsid w:val="00E36D74"/>
    <w:rsid w:val="00E36DB1"/>
    <w:rsid w:val="00E37056"/>
    <w:rsid w:val="00E37392"/>
    <w:rsid w:val="00E373DC"/>
    <w:rsid w:val="00E3778B"/>
    <w:rsid w:val="00E37F84"/>
    <w:rsid w:val="00E37F8B"/>
    <w:rsid w:val="00E40368"/>
    <w:rsid w:val="00E40483"/>
    <w:rsid w:val="00E40694"/>
    <w:rsid w:val="00E40C8D"/>
    <w:rsid w:val="00E41105"/>
    <w:rsid w:val="00E4115D"/>
    <w:rsid w:val="00E415F9"/>
    <w:rsid w:val="00E416DA"/>
    <w:rsid w:val="00E419B2"/>
    <w:rsid w:val="00E41C42"/>
    <w:rsid w:val="00E41D6E"/>
    <w:rsid w:val="00E41E6E"/>
    <w:rsid w:val="00E41EA3"/>
    <w:rsid w:val="00E41EF6"/>
    <w:rsid w:val="00E42166"/>
    <w:rsid w:val="00E421CA"/>
    <w:rsid w:val="00E421DE"/>
    <w:rsid w:val="00E4229A"/>
    <w:rsid w:val="00E427AB"/>
    <w:rsid w:val="00E4296A"/>
    <w:rsid w:val="00E4297F"/>
    <w:rsid w:val="00E42BF6"/>
    <w:rsid w:val="00E42D30"/>
    <w:rsid w:val="00E42E4C"/>
    <w:rsid w:val="00E42EC9"/>
    <w:rsid w:val="00E43225"/>
    <w:rsid w:val="00E4322A"/>
    <w:rsid w:val="00E43391"/>
    <w:rsid w:val="00E43608"/>
    <w:rsid w:val="00E43787"/>
    <w:rsid w:val="00E43957"/>
    <w:rsid w:val="00E43C3F"/>
    <w:rsid w:val="00E43D66"/>
    <w:rsid w:val="00E43F3E"/>
    <w:rsid w:val="00E44126"/>
    <w:rsid w:val="00E44200"/>
    <w:rsid w:val="00E442B8"/>
    <w:rsid w:val="00E44532"/>
    <w:rsid w:val="00E445C8"/>
    <w:rsid w:val="00E446A3"/>
    <w:rsid w:val="00E44779"/>
    <w:rsid w:val="00E44846"/>
    <w:rsid w:val="00E449C5"/>
    <w:rsid w:val="00E44A0E"/>
    <w:rsid w:val="00E44A40"/>
    <w:rsid w:val="00E44A61"/>
    <w:rsid w:val="00E44AD3"/>
    <w:rsid w:val="00E44BB6"/>
    <w:rsid w:val="00E44EDF"/>
    <w:rsid w:val="00E44FE8"/>
    <w:rsid w:val="00E450D2"/>
    <w:rsid w:val="00E45247"/>
    <w:rsid w:val="00E452AC"/>
    <w:rsid w:val="00E452D9"/>
    <w:rsid w:val="00E454FC"/>
    <w:rsid w:val="00E45690"/>
    <w:rsid w:val="00E4576E"/>
    <w:rsid w:val="00E4579C"/>
    <w:rsid w:val="00E4587B"/>
    <w:rsid w:val="00E458D4"/>
    <w:rsid w:val="00E4603E"/>
    <w:rsid w:val="00E46073"/>
    <w:rsid w:val="00E464C2"/>
    <w:rsid w:val="00E469B4"/>
    <w:rsid w:val="00E46B4F"/>
    <w:rsid w:val="00E46C03"/>
    <w:rsid w:val="00E46CC6"/>
    <w:rsid w:val="00E46F69"/>
    <w:rsid w:val="00E47314"/>
    <w:rsid w:val="00E473A3"/>
    <w:rsid w:val="00E474F8"/>
    <w:rsid w:val="00E475B4"/>
    <w:rsid w:val="00E47A5B"/>
    <w:rsid w:val="00E47A9E"/>
    <w:rsid w:val="00E47C17"/>
    <w:rsid w:val="00E47C35"/>
    <w:rsid w:val="00E47D7A"/>
    <w:rsid w:val="00E47DBD"/>
    <w:rsid w:val="00E47DD3"/>
    <w:rsid w:val="00E47ED3"/>
    <w:rsid w:val="00E47F2D"/>
    <w:rsid w:val="00E50038"/>
    <w:rsid w:val="00E501C7"/>
    <w:rsid w:val="00E501CF"/>
    <w:rsid w:val="00E503A1"/>
    <w:rsid w:val="00E5042B"/>
    <w:rsid w:val="00E50770"/>
    <w:rsid w:val="00E5079B"/>
    <w:rsid w:val="00E50852"/>
    <w:rsid w:val="00E50877"/>
    <w:rsid w:val="00E50AF1"/>
    <w:rsid w:val="00E50C17"/>
    <w:rsid w:val="00E50C29"/>
    <w:rsid w:val="00E50F6F"/>
    <w:rsid w:val="00E51148"/>
    <w:rsid w:val="00E512E9"/>
    <w:rsid w:val="00E515ED"/>
    <w:rsid w:val="00E521D8"/>
    <w:rsid w:val="00E526AF"/>
    <w:rsid w:val="00E52B36"/>
    <w:rsid w:val="00E52C9D"/>
    <w:rsid w:val="00E52E79"/>
    <w:rsid w:val="00E52F82"/>
    <w:rsid w:val="00E53328"/>
    <w:rsid w:val="00E533CA"/>
    <w:rsid w:val="00E533EF"/>
    <w:rsid w:val="00E53498"/>
    <w:rsid w:val="00E53502"/>
    <w:rsid w:val="00E5364F"/>
    <w:rsid w:val="00E536C0"/>
    <w:rsid w:val="00E537C9"/>
    <w:rsid w:val="00E53A68"/>
    <w:rsid w:val="00E540CB"/>
    <w:rsid w:val="00E540D1"/>
    <w:rsid w:val="00E54252"/>
    <w:rsid w:val="00E54263"/>
    <w:rsid w:val="00E54651"/>
    <w:rsid w:val="00E54731"/>
    <w:rsid w:val="00E54767"/>
    <w:rsid w:val="00E548A7"/>
    <w:rsid w:val="00E548B2"/>
    <w:rsid w:val="00E548B7"/>
    <w:rsid w:val="00E5493F"/>
    <w:rsid w:val="00E549AA"/>
    <w:rsid w:val="00E54B7A"/>
    <w:rsid w:val="00E54D47"/>
    <w:rsid w:val="00E54E85"/>
    <w:rsid w:val="00E54EC5"/>
    <w:rsid w:val="00E54EDF"/>
    <w:rsid w:val="00E54F0A"/>
    <w:rsid w:val="00E55032"/>
    <w:rsid w:val="00E550AF"/>
    <w:rsid w:val="00E551F9"/>
    <w:rsid w:val="00E555E5"/>
    <w:rsid w:val="00E556DC"/>
    <w:rsid w:val="00E55B64"/>
    <w:rsid w:val="00E55C72"/>
    <w:rsid w:val="00E55CBB"/>
    <w:rsid w:val="00E55DC6"/>
    <w:rsid w:val="00E55DE7"/>
    <w:rsid w:val="00E55F75"/>
    <w:rsid w:val="00E55F94"/>
    <w:rsid w:val="00E56188"/>
    <w:rsid w:val="00E5626A"/>
    <w:rsid w:val="00E56296"/>
    <w:rsid w:val="00E56345"/>
    <w:rsid w:val="00E563A8"/>
    <w:rsid w:val="00E564F0"/>
    <w:rsid w:val="00E5659D"/>
    <w:rsid w:val="00E56626"/>
    <w:rsid w:val="00E5673A"/>
    <w:rsid w:val="00E569DC"/>
    <w:rsid w:val="00E56B48"/>
    <w:rsid w:val="00E56C3C"/>
    <w:rsid w:val="00E56F2F"/>
    <w:rsid w:val="00E57108"/>
    <w:rsid w:val="00E571B4"/>
    <w:rsid w:val="00E573B0"/>
    <w:rsid w:val="00E5745F"/>
    <w:rsid w:val="00E5765E"/>
    <w:rsid w:val="00E57878"/>
    <w:rsid w:val="00E60509"/>
    <w:rsid w:val="00E60793"/>
    <w:rsid w:val="00E6089B"/>
    <w:rsid w:val="00E60989"/>
    <w:rsid w:val="00E60A5B"/>
    <w:rsid w:val="00E60AC3"/>
    <w:rsid w:val="00E60ED1"/>
    <w:rsid w:val="00E60FB1"/>
    <w:rsid w:val="00E610B5"/>
    <w:rsid w:val="00E6148F"/>
    <w:rsid w:val="00E61931"/>
    <w:rsid w:val="00E61A15"/>
    <w:rsid w:val="00E61C9A"/>
    <w:rsid w:val="00E61F3A"/>
    <w:rsid w:val="00E61FEE"/>
    <w:rsid w:val="00E6205A"/>
    <w:rsid w:val="00E6211E"/>
    <w:rsid w:val="00E622C2"/>
    <w:rsid w:val="00E6246D"/>
    <w:rsid w:val="00E62490"/>
    <w:rsid w:val="00E624FB"/>
    <w:rsid w:val="00E62726"/>
    <w:rsid w:val="00E62832"/>
    <w:rsid w:val="00E62963"/>
    <w:rsid w:val="00E62B8C"/>
    <w:rsid w:val="00E62FA5"/>
    <w:rsid w:val="00E63467"/>
    <w:rsid w:val="00E63731"/>
    <w:rsid w:val="00E6378B"/>
    <w:rsid w:val="00E63844"/>
    <w:rsid w:val="00E63CCD"/>
    <w:rsid w:val="00E63E5D"/>
    <w:rsid w:val="00E64197"/>
    <w:rsid w:val="00E64485"/>
    <w:rsid w:val="00E64631"/>
    <w:rsid w:val="00E646D1"/>
    <w:rsid w:val="00E64E77"/>
    <w:rsid w:val="00E650D9"/>
    <w:rsid w:val="00E6512F"/>
    <w:rsid w:val="00E65309"/>
    <w:rsid w:val="00E65316"/>
    <w:rsid w:val="00E6544D"/>
    <w:rsid w:val="00E65937"/>
    <w:rsid w:val="00E6594F"/>
    <w:rsid w:val="00E659F5"/>
    <w:rsid w:val="00E65B3D"/>
    <w:rsid w:val="00E6601F"/>
    <w:rsid w:val="00E663E2"/>
    <w:rsid w:val="00E666BB"/>
    <w:rsid w:val="00E666CD"/>
    <w:rsid w:val="00E6672A"/>
    <w:rsid w:val="00E6683D"/>
    <w:rsid w:val="00E668C8"/>
    <w:rsid w:val="00E66AE3"/>
    <w:rsid w:val="00E66BE6"/>
    <w:rsid w:val="00E66CC2"/>
    <w:rsid w:val="00E66E24"/>
    <w:rsid w:val="00E66E68"/>
    <w:rsid w:val="00E672AD"/>
    <w:rsid w:val="00E672F5"/>
    <w:rsid w:val="00E6737F"/>
    <w:rsid w:val="00E673D6"/>
    <w:rsid w:val="00E67500"/>
    <w:rsid w:val="00E67A17"/>
    <w:rsid w:val="00E67C58"/>
    <w:rsid w:val="00E67EB0"/>
    <w:rsid w:val="00E67EB7"/>
    <w:rsid w:val="00E7004C"/>
    <w:rsid w:val="00E700F7"/>
    <w:rsid w:val="00E70276"/>
    <w:rsid w:val="00E70688"/>
    <w:rsid w:val="00E706D1"/>
    <w:rsid w:val="00E70765"/>
    <w:rsid w:val="00E70857"/>
    <w:rsid w:val="00E70A0A"/>
    <w:rsid w:val="00E70B24"/>
    <w:rsid w:val="00E70C09"/>
    <w:rsid w:val="00E70CFD"/>
    <w:rsid w:val="00E70E70"/>
    <w:rsid w:val="00E70F47"/>
    <w:rsid w:val="00E70F58"/>
    <w:rsid w:val="00E7103C"/>
    <w:rsid w:val="00E7123B"/>
    <w:rsid w:val="00E712F2"/>
    <w:rsid w:val="00E714FF"/>
    <w:rsid w:val="00E717B0"/>
    <w:rsid w:val="00E71892"/>
    <w:rsid w:val="00E71B83"/>
    <w:rsid w:val="00E71C17"/>
    <w:rsid w:val="00E71CA1"/>
    <w:rsid w:val="00E71D38"/>
    <w:rsid w:val="00E71DA9"/>
    <w:rsid w:val="00E72084"/>
    <w:rsid w:val="00E720EF"/>
    <w:rsid w:val="00E72233"/>
    <w:rsid w:val="00E722CB"/>
    <w:rsid w:val="00E72686"/>
    <w:rsid w:val="00E7282D"/>
    <w:rsid w:val="00E72957"/>
    <w:rsid w:val="00E72A52"/>
    <w:rsid w:val="00E731FF"/>
    <w:rsid w:val="00E7327A"/>
    <w:rsid w:val="00E73296"/>
    <w:rsid w:val="00E732FA"/>
    <w:rsid w:val="00E73535"/>
    <w:rsid w:val="00E736A4"/>
    <w:rsid w:val="00E736DF"/>
    <w:rsid w:val="00E73B7A"/>
    <w:rsid w:val="00E73C08"/>
    <w:rsid w:val="00E73C4F"/>
    <w:rsid w:val="00E74121"/>
    <w:rsid w:val="00E742F9"/>
    <w:rsid w:val="00E7444B"/>
    <w:rsid w:val="00E74709"/>
    <w:rsid w:val="00E747DB"/>
    <w:rsid w:val="00E74861"/>
    <w:rsid w:val="00E74978"/>
    <w:rsid w:val="00E74C20"/>
    <w:rsid w:val="00E74E68"/>
    <w:rsid w:val="00E75124"/>
    <w:rsid w:val="00E75256"/>
    <w:rsid w:val="00E7532A"/>
    <w:rsid w:val="00E753A0"/>
    <w:rsid w:val="00E755AA"/>
    <w:rsid w:val="00E7563B"/>
    <w:rsid w:val="00E756EE"/>
    <w:rsid w:val="00E75AF2"/>
    <w:rsid w:val="00E75AF8"/>
    <w:rsid w:val="00E75BAC"/>
    <w:rsid w:val="00E75C13"/>
    <w:rsid w:val="00E75D18"/>
    <w:rsid w:val="00E75D75"/>
    <w:rsid w:val="00E75EC8"/>
    <w:rsid w:val="00E75F97"/>
    <w:rsid w:val="00E76364"/>
    <w:rsid w:val="00E76711"/>
    <w:rsid w:val="00E768B1"/>
    <w:rsid w:val="00E769AC"/>
    <w:rsid w:val="00E76C46"/>
    <w:rsid w:val="00E76C5F"/>
    <w:rsid w:val="00E76CF1"/>
    <w:rsid w:val="00E7704C"/>
    <w:rsid w:val="00E77233"/>
    <w:rsid w:val="00E77481"/>
    <w:rsid w:val="00E7748B"/>
    <w:rsid w:val="00E774A6"/>
    <w:rsid w:val="00E77821"/>
    <w:rsid w:val="00E77982"/>
    <w:rsid w:val="00E779D6"/>
    <w:rsid w:val="00E77B70"/>
    <w:rsid w:val="00E77B73"/>
    <w:rsid w:val="00E80290"/>
    <w:rsid w:val="00E8053F"/>
    <w:rsid w:val="00E8058A"/>
    <w:rsid w:val="00E8074F"/>
    <w:rsid w:val="00E80898"/>
    <w:rsid w:val="00E80A9D"/>
    <w:rsid w:val="00E812A6"/>
    <w:rsid w:val="00E81305"/>
    <w:rsid w:val="00E81945"/>
    <w:rsid w:val="00E81977"/>
    <w:rsid w:val="00E81C02"/>
    <w:rsid w:val="00E81E66"/>
    <w:rsid w:val="00E81E6D"/>
    <w:rsid w:val="00E81E78"/>
    <w:rsid w:val="00E81E89"/>
    <w:rsid w:val="00E81ED0"/>
    <w:rsid w:val="00E81F26"/>
    <w:rsid w:val="00E81F44"/>
    <w:rsid w:val="00E81FCF"/>
    <w:rsid w:val="00E820E5"/>
    <w:rsid w:val="00E821D2"/>
    <w:rsid w:val="00E82291"/>
    <w:rsid w:val="00E822A2"/>
    <w:rsid w:val="00E82342"/>
    <w:rsid w:val="00E82344"/>
    <w:rsid w:val="00E8242F"/>
    <w:rsid w:val="00E828EC"/>
    <w:rsid w:val="00E82942"/>
    <w:rsid w:val="00E829C9"/>
    <w:rsid w:val="00E82A6E"/>
    <w:rsid w:val="00E82B38"/>
    <w:rsid w:val="00E82CA4"/>
    <w:rsid w:val="00E82D02"/>
    <w:rsid w:val="00E82DDC"/>
    <w:rsid w:val="00E82DE5"/>
    <w:rsid w:val="00E82E2B"/>
    <w:rsid w:val="00E8325A"/>
    <w:rsid w:val="00E8342B"/>
    <w:rsid w:val="00E83548"/>
    <w:rsid w:val="00E835F1"/>
    <w:rsid w:val="00E836B3"/>
    <w:rsid w:val="00E83817"/>
    <w:rsid w:val="00E8388F"/>
    <w:rsid w:val="00E8395A"/>
    <w:rsid w:val="00E8396C"/>
    <w:rsid w:val="00E83A53"/>
    <w:rsid w:val="00E83B62"/>
    <w:rsid w:val="00E83B84"/>
    <w:rsid w:val="00E83DE7"/>
    <w:rsid w:val="00E83E14"/>
    <w:rsid w:val="00E83F9C"/>
    <w:rsid w:val="00E8401A"/>
    <w:rsid w:val="00E8405D"/>
    <w:rsid w:val="00E8420C"/>
    <w:rsid w:val="00E84727"/>
    <w:rsid w:val="00E84A2A"/>
    <w:rsid w:val="00E84A77"/>
    <w:rsid w:val="00E84B0B"/>
    <w:rsid w:val="00E84C69"/>
    <w:rsid w:val="00E84D22"/>
    <w:rsid w:val="00E84E38"/>
    <w:rsid w:val="00E84EF4"/>
    <w:rsid w:val="00E85082"/>
    <w:rsid w:val="00E85947"/>
    <w:rsid w:val="00E85A4A"/>
    <w:rsid w:val="00E85BF6"/>
    <w:rsid w:val="00E85D17"/>
    <w:rsid w:val="00E85FF1"/>
    <w:rsid w:val="00E86048"/>
    <w:rsid w:val="00E8606F"/>
    <w:rsid w:val="00E86294"/>
    <w:rsid w:val="00E8637C"/>
    <w:rsid w:val="00E865F4"/>
    <w:rsid w:val="00E86636"/>
    <w:rsid w:val="00E86712"/>
    <w:rsid w:val="00E86735"/>
    <w:rsid w:val="00E86870"/>
    <w:rsid w:val="00E868D0"/>
    <w:rsid w:val="00E86C23"/>
    <w:rsid w:val="00E86DCC"/>
    <w:rsid w:val="00E86EB8"/>
    <w:rsid w:val="00E871F5"/>
    <w:rsid w:val="00E87222"/>
    <w:rsid w:val="00E872FB"/>
    <w:rsid w:val="00E872FE"/>
    <w:rsid w:val="00E873F6"/>
    <w:rsid w:val="00E87555"/>
    <w:rsid w:val="00E8767B"/>
    <w:rsid w:val="00E87683"/>
    <w:rsid w:val="00E87865"/>
    <w:rsid w:val="00E87917"/>
    <w:rsid w:val="00E87943"/>
    <w:rsid w:val="00E87B2F"/>
    <w:rsid w:val="00E87D53"/>
    <w:rsid w:val="00E90260"/>
    <w:rsid w:val="00E9048F"/>
    <w:rsid w:val="00E90844"/>
    <w:rsid w:val="00E9085A"/>
    <w:rsid w:val="00E90A36"/>
    <w:rsid w:val="00E90E4B"/>
    <w:rsid w:val="00E91310"/>
    <w:rsid w:val="00E914A4"/>
    <w:rsid w:val="00E914B7"/>
    <w:rsid w:val="00E914BB"/>
    <w:rsid w:val="00E9183E"/>
    <w:rsid w:val="00E918AB"/>
    <w:rsid w:val="00E91E11"/>
    <w:rsid w:val="00E91EB3"/>
    <w:rsid w:val="00E92134"/>
    <w:rsid w:val="00E9226B"/>
    <w:rsid w:val="00E92334"/>
    <w:rsid w:val="00E923F0"/>
    <w:rsid w:val="00E926C9"/>
    <w:rsid w:val="00E92962"/>
    <w:rsid w:val="00E929BE"/>
    <w:rsid w:val="00E92A2E"/>
    <w:rsid w:val="00E92A5D"/>
    <w:rsid w:val="00E92D40"/>
    <w:rsid w:val="00E92E94"/>
    <w:rsid w:val="00E930DD"/>
    <w:rsid w:val="00E93131"/>
    <w:rsid w:val="00E931BF"/>
    <w:rsid w:val="00E93566"/>
    <w:rsid w:val="00E935C2"/>
    <w:rsid w:val="00E9364B"/>
    <w:rsid w:val="00E93968"/>
    <w:rsid w:val="00E93977"/>
    <w:rsid w:val="00E939AE"/>
    <w:rsid w:val="00E93CC4"/>
    <w:rsid w:val="00E93F67"/>
    <w:rsid w:val="00E93F92"/>
    <w:rsid w:val="00E93FBE"/>
    <w:rsid w:val="00E944B3"/>
    <w:rsid w:val="00E944C5"/>
    <w:rsid w:val="00E94591"/>
    <w:rsid w:val="00E946C8"/>
    <w:rsid w:val="00E946F7"/>
    <w:rsid w:val="00E94733"/>
    <w:rsid w:val="00E948BE"/>
    <w:rsid w:val="00E94D00"/>
    <w:rsid w:val="00E94E82"/>
    <w:rsid w:val="00E951E0"/>
    <w:rsid w:val="00E95221"/>
    <w:rsid w:val="00E952D0"/>
    <w:rsid w:val="00E955C3"/>
    <w:rsid w:val="00E956A8"/>
    <w:rsid w:val="00E9578B"/>
    <w:rsid w:val="00E95B59"/>
    <w:rsid w:val="00E95EC8"/>
    <w:rsid w:val="00E9602D"/>
    <w:rsid w:val="00E961FF"/>
    <w:rsid w:val="00E9635F"/>
    <w:rsid w:val="00E964EE"/>
    <w:rsid w:val="00E9693A"/>
    <w:rsid w:val="00E96C8E"/>
    <w:rsid w:val="00E97068"/>
    <w:rsid w:val="00E970D8"/>
    <w:rsid w:val="00E971A6"/>
    <w:rsid w:val="00E971CC"/>
    <w:rsid w:val="00E97364"/>
    <w:rsid w:val="00E97860"/>
    <w:rsid w:val="00E97C37"/>
    <w:rsid w:val="00E97E22"/>
    <w:rsid w:val="00E97EA3"/>
    <w:rsid w:val="00E97F06"/>
    <w:rsid w:val="00E97FD6"/>
    <w:rsid w:val="00EA013B"/>
    <w:rsid w:val="00EA0144"/>
    <w:rsid w:val="00EA01AD"/>
    <w:rsid w:val="00EA02C4"/>
    <w:rsid w:val="00EA03A1"/>
    <w:rsid w:val="00EA0462"/>
    <w:rsid w:val="00EA06F9"/>
    <w:rsid w:val="00EA096F"/>
    <w:rsid w:val="00EA0982"/>
    <w:rsid w:val="00EA0B90"/>
    <w:rsid w:val="00EA0F7D"/>
    <w:rsid w:val="00EA11F3"/>
    <w:rsid w:val="00EA125E"/>
    <w:rsid w:val="00EA1876"/>
    <w:rsid w:val="00EA199F"/>
    <w:rsid w:val="00EA1A09"/>
    <w:rsid w:val="00EA1A3C"/>
    <w:rsid w:val="00EA1AC7"/>
    <w:rsid w:val="00EA1C2D"/>
    <w:rsid w:val="00EA1D00"/>
    <w:rsid w:val="00EA1D9D"/>
    <w:rsid w:val="00EA1EE4"/>
    <w:rsid w:val="00EA1FFC"/>
    <w:rsid w:val="00EA2780"/>
    <w:rsid w:val="00EA2967"/>
    <w:rsid w:val="00EA2C9D"/>
    <w:rsid w:val="00EA2CE0"/>
    <w:rsid w:val="00EA2CE4"/>
    <w:rsid w:val="00EA2E3C"/>
    <w:rsid w:val="00EA2FB7"/>
    <w:rsid w:val="00EA302D"/>
    <w:rsid w:val="00EA307F"/>
    <w:rsid w:val="00EA31C5"/>
    <w:rsid w:val="00EA34C6"/>
    <w:rsid w:val="00EA3577"/>
    <w:rsid w:val="00EA358B"/>
    <w:rsid w:val="00EA35AB"/>
    <w:rsid w:val="00EA3622"/>
    <w:rsid w:val="00EA3669"/>
    <w:rsid w:val="00EA393D"/>
    <w:rsid w:val="00EA3A9A"/>
    <w:rsid w:val="00EA3B04"/>
    <w:rsid w:val="00EA3C82"/>
    <w:rsid w:val="00EA3D34"/>
    <w:rsid w:val="00EA3F95"/>
    <w:rsid w:val="00EA3FA6"/>
    <w:rsid w:val="00EA3FBE"/>
    <w:rsid w:val="00EA4251"/>
    <w:rsid w:val="00EA42EC"/>
    <w:rsid w:val="00EA43F1"/>
    <w:rsid w:val="00EA4406"/>
    <w:rsid w:val="00EA4578"/>
    <w:rsid w:val="00EA499A"/>
    <w:rsid w:val="00EA4A71"/>
    <w:rsid w:val="00EA4D03"/>
    <w:rsid w:val="00EA5227"/>
    <w:rsid w:val="00EA53E9"/>
    <w:rsid w:val="00EA547A"/>
    <w:rsid w:val="00EA5569"/>
    <w:rsid w:val="00EA5620"/>
    <w:rsid w:val="00EA5622"/>
    <w:rsid w:val="00EA5F57"/>
    <w:rsid w:val="00EA60FF"/>
    <w:rsid w:val="00EA6100"/>
    <w:rsid w:val="00EA611F"/>
    <w:rsid w:val="00EA640C"/>
    <w:rsid w:val="00EA6445"/>
    <w:rsid w:val="00EA6607"/>
    <w:rsid w:val="00EA6A6C"/>
    <w:rsid w:val="00EA6C1B"/>
    <w:rsid w:val="00EA6F84"/>
    <w:rsid w:val="00EA708A"/>
    <w:rsid w:val="00EA7130"/>
    <w:rsid w:val="00EA71AE"/>
    <w:rsid w:val="00EA7401"/>
    <w:rsid w:val="00EA76E6"/>
    <w:rsid w:val="00EA7758"/>
    <w:rsid w:val="00EA775D"/>
    <w:rsid w:val="00EA780F"/>
    <w:rsid w:val="00EB026F"/>
    <w:rsid w:val="00EB05DF"/>
    <w:rsid w:val="00EB0725"/>
    <w:rsid w:val="00EB07C1"/>
    <w:rsid w:val="00EB08C5"/>
    <w:rsid w:val="00EB08F4"/>
    <w:rsid w:val="00EB0ADE"/>
    <w:rsid w:val="00EB0B7B"/>
    <w:rsid w:val="00EB0F1D"/>
    <w:rsid w:val="00EB0F30"/>
    <w:rsid w:val="00EB1227"/>
    <w:rsid w:val="00EB1247"/>
    <w:rsid w:val="00EB140E"/>
    <w:rsid w:val="00EB14A5"/>
    <w:rsid w:val="00EB1578"/>
    <w:rsid w:val="00EB18FC"/>
    <w:rsid w:val="00EB2205"/>
    <w:rsid w:val="00EB2290"/>
    <w:rsid w:val="00EB2737"/>
    <w:rsid w:val="00EB286E"/>
    <w:rsid w:val="00EB2C21"/>
    <w:rsid w:val="00EB30BC"/>
    <w:rsid w:val="00EB34EF"/>
    <w:rsid w:val="00EB3553"/>
    <w:rsid w:val="00EB35B1"/>
    <w:rsid w:val="00EB373E"/>
    <w:rsid w:val="00EB3A4B"/>
    <w:rsid w:val="00EB3A8C"/>
    <w:rsid w:val="00EB3BBB"/>
    <w:rsid w:val="00EB3C72"/>
    <w:rsid w:val="00EB40BA"/>
    <w:rsid w:val="00EB4111"/>
    <w:rsid w:val="00EB421F"/>
    <w:rsid w:val="00EB4591"/>
    <w:rsid w:val="00EB47C6"/>
    <w:rsid w:val="00EB486F"/>
    <w:rsid w:val="00EB4886"/>
    <w:rsid w:val="00EB4A09"/>
    <w:rsid w:val="00EB50D5"/>
    <w:rsid w:val="00EB50D6"/>
    <w:rsid w:val="00EB5124"/>
    <w:rsid w:val="00EB517C"/>
    <w:rsid w:val="00EB5197"/>
    <w:rsid w:val="00EB51DE"/>
    <w:rsid w:val="00EB521F"/>
    <w:rsid w:val="00EB52CE"/>
    <w:rsid w:val="00EB554E"/>
    <w:rsid w:val="00EB565C"/>
    <w:rsid w:val="00EB5808"/>
    <w:rsid w:val="00EB595C"/>
    <w:rsid w:val="00EB59CE"/>
    <w:rsid w:val="00EB59D6"/>
    <w:rsid w:val="00EB611D"/>
    <w:rsid w:val="00EB6298"/>
    <w:rsid w:val="00EB63D5"/>
    <w:rsid w:val="00EB6567"/>
    <w:rsid w:val="00EB6B1B"/>
    <w:rsid w:val="00EB6C59"/>
    <w:rsid w:val="00EB6CE9"/>
    <w:rsid w:val="00EB707D"/>
    <w:rsid w:val="00EB75F6"/>
    <w:rsid w:val="00EB77B8"/>
    <w:rsid w:val="00EB788F"/>
    <w:rsid w:val="00EB7BB8"/>
    <w:rsid w:val="00EB7C58"/>
    <w:rsid w:val="00EB7FA2"/>
    <w:rsid w:val="00EC0063"/>
    <w:rsid w:val="00EC00DD"/>
    <w:rsid w:val="00EC02D3"/>
    <w:rsid w:val="00EC0483"/>
    <w:rsid w:val="00EC096F"/>
    <w:rsid w:val="00EC0D63"/>
    <w:rsid w:val="00EC0D7B"/>
    <w:rsid w:val="00EC0E9D"/>
    <w:rsid w:val="00EC1139"/>
    <w:rsid w:val="00EC11DC"/>
    <w:rsid w:val="00EC13DF"/>
    <w:rsid w:val="00EC14BF"/>
    <w:rsid w:val="00EC1568"/>
    <w:rsid w:val="00EC1652"/>
    <w:rsid w:val="00EC178A"/>
    <w:rsid w:val="00EC1A34"/>
    <w:rsid w:val="00EC1CA8"/>
    <w:rsid w:val="00EC1D17"/>
    <w:rsid w:val="00EC1E91"/>
    <w:rsid w:val="00EC1E95"/>
    <w:rsid w:val="00EC1F7E"/>
    <w:rsid w:val="00EC29DB"/>
    <w:rsid w:val="00EC2A69"/>
    <w:rsid w:val="00EC2BCB"/>
    <w:rsid w:val="00EC2DFC"/>
    <w:rsid w:val="00EC2E63"/>
    <w:rsid w:val="00EC3064"/>
    <w:rsid w:val="00EC3719"/>
    <w:rsid w:val="00EC37D5"/>
    <w:rsid w:val="00EC38FD"/>
    <w:rsid w:val="00EC3D2A"/>
    <w:rsid w:val="00EC3E88"/>
    <w:rsid w:val="00EC3FF1"/>
    <w:rsid w:val="00EC420E"/>
    <w:rsid w:val="00EC4487"/>
    <w:rsid w:val="00EC44A3"/>
    <w:rsid w:val="00EC47E7"/>
    <w:rsid w:val="00EC4803"/>
    <w:rsid w:val="00EC4915"/>
    <w:rsid w:val="00EC4AD6"/>
    <w:rsid w:val="00EC4F32"/>
    <w:rsid w:val="00EC5059"/>
    <w:rsid w:val="00EC5250"/>
    <w:rsid w:val="00EC5335"/>
    <w:rsid w:val="00EC5779"/>
    <w:rsid w:val="00EC57D2"/>
    <w:rsid w:val="00EC5A1C"/>
    <w:rsid w:val="00EC5C3A"/>
    <w:rsid w:val="00EC5D8D"/>
    <w:rsid w:val="00EC5E88"/>
    <w:rsid w:val="00EC5E90"/>
    <w:rsid w:val="00EC61B3"/>
    <w:rsid w:val="00EC628D"/>
    <w:rsid w:val="00EC665F"/>
    <w:rsid w:val="00EC6C79"/>
    <w:rsid w:val="00EC6D61"/>
    <w:rsid w:val="00EC6EBA"/>
    <w:rsid w:val="00EC6EC0"/>
    <w:rsid w:val="00EC70AF"/>
    <w:rsid w:val="00EC710A"/>
    <w:rsid w:val="00EC7223"/>
    <w:rsid w:val="00EC739C"/>
    <w:rsid w:val="00EC770D"/>
    <w:rsid w:val="00EC7B5A"/>
    <w:rsid w:val="00EC7BF8"/>
    <w:rsid w:val="00ED02A1"/>
    <w:rsid w:val="00ED03CE"/>
    <w:rsid w:val="00ED05F2"/>
    <w:rsid w:val="00ED0F7C"/>
    <w:rsid w:val="00ED11C4"/>
    <w:rsid w:val="00ED1318"/>
    <w:rsid w:val="00ED1338"/>
    <w:rsid w:val="00ED163B"/>
    <w:rsid w:val="00ED165B"/>
    <w:rsid w:val="00ED1792"/>
    <w:rsid w:val="00ED1AF4"/>
    <w:rsid w:val="00ED1C20"/>
    <w:rsid w:val="00ED1E37"/>
    <w:rsid w:val="00ED2388"/>
    <w:rsid w:val="00ED23E2"/>
    <w:rsid w:val="00ED2626"/>
    <w:rsid w:val="00ED27C4"/>
    <w:rsid w:val="00ED28B3"/>
    <w:rsid w:val="00ED29A2"/>
    <w:rsid w:val="00ED2A74"/>
    <w:rsid w:val="00ED2CCE"/>
    <w:rsid w:val="00ED2CE8"/>
    <w:rsid w:val="00ED2F19"/>
    <w:rsid w:val="00ED3057"/>
    <w:rsid w:val="00ED3434"/>
    <w:rsid w:val="00ED3523"/>
    <w:rsid w:val="00ED36BF"/>
    <w:rsid w:val="00ED398B"/>
    <w:rsid w:val="00ED3ABE"/>
    <w:rsid w:val="00ED3ACC"/>
    <w:rsid w:val="00ED3FEF"/>
    <w:rsid w:val="00ED4129"/>
    <w:rsid w:val="00ED41DB"/>
    <w:rsid w:val="00ED4340"/>
    <w:rsid w:val="00ED4428"/>
    <w:rsid w:val="00ED45FC"/>
    <w:rsid w:val="00ED4AD9"/>
    <w:rsid w:val="00ED4C92"/>
    <w:rsid w:val="00ED4DA4"/>
    <w:rsid w:val="00ED5255"/>
    <w:rsid w:val="00ED5436"/>
    <w:rsid w:val="00ED55B2"/>
    <w:rsid w:val="00ED564C"/>
    <w:rsid w:val="00ED5666"/>
    <w:rsid w:val="00ED5713"/>
    <w:rsid w:val="00ED572E"/>
    <w:rsid w:val="00ED5747"/>
    <w:rsid w:val="00ED58CD"/>
    <w:rsid w:val="00ED5CB9"/>
    <w:rsid w:val="00ED5D84"/>
    <w:rsid w:val="00ED5F66"/>
    <w:rsid w:val="00ED5F70"/>
    <w:rsid w:val="00ED5FA3"/>
    <w:rsid w:val="00ED5FFF"/>
    <w:rsid w:val="00ED623F"/>
    <w:rsid w:val="00ED624F"/>
    <w:rsid w:val="00ED627E"/>
    <w:rsid w:val="00ED628E"/>
    <w:rsid w:val="00ED62A7"/>
    <w:rsid w:val="00ED63FE"/>
    <w:rsid w:val="00ED64AB"/>
    <w:rsid w:val="00ED663E"/>
    <w:rsid w:val="00ED68B5"/>
    <w:rsid w:val="00ED68E2"/>
    <w:rsid w:val="00ED6968"/>
    <w:rsid w:val="00ED6B36"/>
    <w:rsid w:val="00ED6E4B"/>
    <w:rsid w:val="00ED6F81"/>
    <w:rsid w:val="00ED73C9"/>
    <w:rsid w:val="00ED7451"/>
    <w:rsid w:val="00ED75FF"/>
    <w:rsid w:val="00ED7693"/>
    <w:rsid w:val="00ED7698"/>
    <w:rsid w:val="00ED7704"/>
    <w:rsid w:val="00ED79B3"/>
    <w:rsid w:val="00ED7A32"/>
    <w:rsid w:val="00ED7ADB"/>
    <w:rsid w:val="00ED7C47"/>
    <w:rsid w:val="00ED7D95"/>
    <w:rsid w:val="00ED7DF6"/>
    <w:rsid w:val="00ED7F7E"/>
    <w:rsid w:val="00EE008E"/>
    <w:rsid w:val="00EE00C1"/>
    <w:rsid w:val="00EE0784"/>
    <w:rsid w:val="00EE079E"/>
    <w:rsid w:val="00EE0882"/>
    <w:rsid w:val="00EE08CF"/>
    <w:rsid w:val="00EE0EB0"/>
    <w:rsid w:val="00EE1082"/>
    <w:rsid w:val="00EE117F"/>
    <w:rsid w:val="00EE1299"/>
    <w:rsid w:val="00EE175B"/>
    <w:rsid w:val="00EE179F"/>
    <w:rsid w:val="00EE1952"/>
    <w:rsid w:val="00EE1AC4"/>
    <w:rsid w:val="00EE1B88"/>
    <w:rsid w:val="00EE1C86"/>
    <w:rsid w:val="00EE1C8C"/>
    <w:rsid w:val="00EE1D35"/>
    <w:rsid w:val="00EE1ECA"/>
    <w:rsid w:val="00EE209F"/>
    <w:rsid w:val="00EE2823"/>
    <w:rsid w:val="00EE28C2"/>
    <w:rsid w:val="00EE2A3C"/>
    <w:rsid w:val="00EE2B3B"/>
    <w:rsid w:val="00EE2C68"/>
    <w:rsid w:val="00EE2C94"/>
    <w:rsid w:val="00EE2CC0"/>
    <w:rsid w:val="00EE30E3"/>
    <w:rsid w:val="00EE31E0"/>
    <w:rsid w:val="00EE3410"/>
    <w:rsid w:val="00EE34CE"/>
    <w:rsid w:val="00EE3A2D"/>
    <w:rsid w:val="00EE3AD8"/>
    <w:rsid w:val="00EE3ADE"/>
    <w:rsid w:val="00EE3D05"/>
    <w:rsid w:val="00EE3D67"/>
    <w:rsid w:val="00EE3DCB"/>
    <w:rsid w:val="00EE41DA"/>
    <w:rsid w:val="00EE4208"/>
    <w:rsid w:val="00EE441C"/>
    <w:rsid w:val="00EE46D1"/>
    <w:rsid w:val="00EE4809"/>
    <w:rsid w:val="00EE4911"/>
    <w:rsid w:val="00EE4BAC"/>
    <w:rsid w:val="00EE4BB8"/>
    <w:rsid w:val="00EE4BCC"/>
    <w:rsid w:val="00EE4E68"/>
    <w:rsid w:val="00EE4E7D"/>
    <w:rsid w:val="00EE512A"/>
    <w:rsid w:val="00EE5183"/>
    <w:rsid w:val="00EE54AB"/>
    <w:rsid w:val="00EE55B1"/>
    <w:rsid w:val="00EE564E"/>
    <w:rsid w:val="00EE57EC"/>
    <w:rsid w:val="00EE58BE"/>
    <w:rsid w:val="00EE5D5A"/>
    <w:rsid w:val="00EE5DEC"/>
    <w:rsid w:val="00EE60C2"/>
    <w:rsid w:val="00EE630D"/>
    <w:rsid w:val="00EE644A"/>
    <w:rsid w:val="00EE64E6"/>
    <w:rsid w:val="00EE651C"/>
    <w:rsid w:val="00EE6525"/>
    <w:rsid w:val="00EE6532"/>
    <w:rsid w:val="00EE655A"/>
    <w:rsid w:val="00EE6568"/>
    <w:rsid w:val="00EE6586"/>
    <w:rsid w:val="00EE66D6"/>
    <w:rsid w:val="00EE675E"/>
    <w:rsid w:val="00EE68FA"/>
    <w:rsid w:val="00EE6A32"/>
    <w:rsid w:val="00EE6A5F"/>
    <w:rsid w:val="00EE6C24"/>
    <w:rsid w:val="00EE6CA9"/>
    <w:rsid w:val="00EE75FC"/>
    <w:rsid w:val="00EE777C"/>
    <w:rsid w:val="00EE7923"/>
    <w:rsid w:val="00EE7A27"/>
    <w:rsid w:val="00EF0070"/>
    <w:rsid w:val="00EF0109"/>
    <w:rsid w:val="00EF0133"/>
    <w:rsid w:val="00EF026B"/>
    <w:rsid w:val="00EF04AC"/>
    <w:rsid w:val="00EF0552"/>
    <w:rsid w:val="00EF0B40"/>
    <w:rsid w:val="00EF0B93"/>
    <w:rsid w:val="00EF0BBB"/>
    <w:rsid w:val="00EF0C88"/>
    <w:rsid w:val="00EF0CB9"/>
    <w:rsid w:val="00EF0D7C"/>
    <w:rsid w:val="00EF0DC3"/>
    <w:rsid w:val="00EF0FE8"/>
    <w:rsid w:val="00EF1173"/>
    <w:rsid w:val="00EF1251"/>
    <w:rsid w:val="00EF1413"/>
    <w:rsid w:val="00EF1C5A"/>
    <w:rsid w:val="00EF1CC8"/>
    <w:rsid w:val="00EF1D46"/>
    <w:rsid w:val="00EF1DBD"/>
    <w:rsid w:val="00EF1ED6"/>
    <w:rsid w:val="00EF20F6"/>
    <w:rsid w:val="00EF2106"/>
    <w:rsid w:val="00EF219E"/>
    <w:rsid w:val="00EF22EC"/>
    <w:rsid w:val="00EF272D"/>
    <w:rsid w:val="00EF293A"/>
    <w:rsid w:val="00EF2AB0"/>
    <w:rsid w:val="00EF2CAE"/>
    <w:rsid w:val="00EF2D97"/>
    <w:rsid w:val="00EF2F2B"/>
    <w:rsid w:val="00EF36E5"/>
    <w:rsid w:val="00EF381E"/>
    <w:rsid w:val="00EF3904"/>
    <w:rsid w:val="00EF39CC"/>
    <w:rsid w:val="00EF3A49"/>
    <w:rsid w:val="00EF3A9E"/>
    <w:rsid w:val="00EF3B5E"/>
    <w:rsid w:val="00EF3DEF"/>
    <w:rsid w:val="00EF3E59"/>
    <w:rsid w:val="00EF3E84"/>
    <w:rsid w:val="00EF437E"/>
    <w:rsid w:val="00EF4599"/>
    <w:rsid w:val="00EF47E0"/>
    <w:rsid w:val="00EF4B9E"/>
    <w:rsid w:val="00EF4BE7"/>
    <w:rsid w:val="00EF4CD9"/>
    <w:rsid w:val="00EF4EB4"/>
    <w:rsid w:val="00EF4FC4"/>
    <w:rsid w:val="00EF50E0"/>
    <w:rsid w:val="00EF521E"/>
    <w:rsid w:val="00EF52B0"/>
    <w:rsid w:val="00EF553A"/>
    <w:rsid w:val="00EF566C"/>
    <w:rsid w:val="00EF5790"/>
    <w:rsid w:val="00EF58CE"/>
    <w:rsid w:val="00EF5A94"/>
    <w:rsid w:val="00EF5B03"/>
    <w:rsid w:val="00EF5B3A"/>
    <w:rsid w:val="00EF5B92"/>
    <w:rsid w:val="00EF5C41"/>
    <w:rsid w:val="00EF5F8F"/>
    <w:rsid w:val="00EF6608"/>
    <w:rsid w:val="00EF6739"/>
    <w:rsid w:val="00EF6837"/>
    <w:rsid w:val="00EF6BB2"/>
    <w:rsid w:val="00EF6BD6"/>
    <w:rsid w:val="00EF6C37"/>
    <w:rsid w:val="00EF6CC8"/>
    <w:rsid w:val="00EF6E91"/>
    <w:rsid w:val="00EF6F0C"/>
    <w:rsid w:val="00EF7057"/>
    <w:rsid w:val="00EF7241"/>
    <w:rsid w:val="00EF72B0"/>
    <w:rsid w:val="00EF73BD"/>
    <w:rsid w:val="00EF7466"/>
    <w:rsid w:val="00EF7562"/>
    <w:rsid w:val="00EF7CCF"/>
    <w:rsid w:val="00F00024"/>
    <w:rsid w:val="00F000ED"/>
    <w:rsid w:val="00F0011C"/>
    <w:rsid w:val="00F001E7"/>
    <w:rsid w:val="00F00508"/>
    <w:rsid w:val="00F00564"/>
    <w:rsid w:val="00F0065E"/>
    <w:rsid w:val="00F0078D"/>
    <w:rsid w:val="00F00C51"/>
    <w:rsid w:val="00F00CFE"/>
    <w:rsid w:val="00F00E43"/>
    <w:rsid w:val="00F00F9B"/>
    <w:rsid w:val="00F0108B"/>
    <w:rsid w:val="00F01115"/>
    <w:rsid w:val="00F01192"/>
    <w:rsid w:val="00F011D0"/>
    <w:rsid w:val="00F01223"/>
    <w:rsid w:val="00F01647"/>
    <w:rsid w:val="00F0170A"/>
    <w:rsid w:val="00F01840"/>
    <w:rsid w:val="00F01A2E"/>
    <w:rsid w:val="00F0200E"/>
    <w:rsid w:val="00F021F8"/>
    <w:rsid w:val="00F0233C"/>
    <w:rsid w:val="00F02490"/>
    <w:rsid w:val="00F02496"/>
    <w:rsid w:val="00F024E1"/>
    <w:rsid w:val="00F0267E"/>
    <w:rsid w:val="00F02FC4"/>
    <w:rsid w:val="00F03110"/>
    <w:rsid w:val="00F03225"/>
    <w:rsid w:val="00F03499"/>
    <w:rsid w:val="00F03A90"/>
    <w:rsid w:val="00F03BFB"/>
    <w:rsid w:val="00F03D65"/>
    <w:rsid w:val="00F03E67"/>
    <w:rsid w:val="00F042AA"/>
    <w:rsid w:val="00F04441"/>
    <w:rsid w:val="00F045C0"/>
    <w:rsid w:val="00F046DC"/>
    <w:rsid w:val="00F049A8"/>
    <w:rsid w:val="00F04A5C"/>
    <w:rsid w:val="00F04B83"/>
    <w:rsid w:val="00F04BEF"/>
    <w:rsid w:val="00F04BFC"/>
    <w:rsid w:val="00F04CA1"/>
    <w:rsid w:val="00F04D75"/>
    <w:rsid w:val="00F052FE"/>
    <w:rsid w:val="00F05367"/>
    <w:rsid w:val="00F0552E"/>
    <w:rsid w:val="00F0562E"/>
    <w:rsid w:val="00F0595A"/>
    <w:rsid w:val="00F05A12"/>
    <w:rsid w:val="00F05A99"/>
    <w:rsid w:val="00F05C3A"/>
    <w:rsid w:val="00F05D17"/>
    <w:rsid w:val="00F05EBA"/>
    <w:rsid w:val="00F05EBD"/>
    <w:rsid w:val="00F062FE"/>
    <w:rsid w:val="00F067F0"/>
    <w:rsid w:val="00F06919"/>
    <w:rsid w:val="00F0697C"/>
    <w:rsid w:val="00F06B4F"/>
    <w:rsid w:val="00F06B79"/>
    <w:rsid w:val="00F06E18"/>
    <w:rsid w:val="00F06EED"/>
    <w:rsid w:val="00F06FFB"/>
    <w:rsid w:val="00F07416"/>
    <w:rsid w:val="00F0754A"/>
    <w:rsid w:val="00F07899"/>
    <w:rsid w:val="00F07A28"/>
    <w:rsid w:val="00F07A45"/>
    <w:rsid w:val="00F07BB4"/>
    <w:rsid w:val="00F07BC8"/>
    <w:rsid w:val="00F07C8A"/>
    <w:rsid w:val="00F07DF3"/>
    <w:rsid w:val="00F07EE6"/>
    <w:rsid w:val="00F07FF1"/>
    <w:rsid w:val="00F100FB"/>
    <w:rsid w:val="00F1021C"/>
    <w:rsid w:val="00F1026C"/>
    <w:rsid w:val="00F102DF"/>
    <w:rsid w:val="00F1030C"/>
    <w:rsid w:val="00F103A1"/>
    <w:rsid w:val="00F1040C"/>
    <w:rsid w:val="00F10937"/>
    <w:rsid w:val="00F10967"/>
    <w:rsid w:val="00F10CFD"/>
    <w:rsid w:val="00F10E11"/>
    <w:rsid w:val="00F10E37"/>
    <w:rsid w:val="00F10EE3"/>
    <w:rsid w:val="00F118A5"/>
    <w:rsid w:val="00F11AEA"/>
    <w:rsid w:val="00F11C03"/>
    <w:rsid w:val="00F11D3A"/>
    <w:rsid w:val="00F11EA0"/>
    <w:rsid w:val="00F11F5D"/>
    <w:rsid w:val="00F121FE"/>
    <w:rsid w:val="00F123B7"/>
    <w:rsid w:val="00F123D8"/>
    <w:rsid w:val="00F12695"/>
    <w:rsid w:val="00F12886"/>
    <w:rsid w:val="00F12BAF"/>
    <w:rsid w:val="00F12EC2"/>
    <w:rsid w:val="00F12ECC"/>
    <w:rsid w:val="00F12EDB"/>
    <w:rsid w:val="00F12F5E"/>
    <w:rsid w:val="00F12FD7"/>
    <w:rsid w:val="00F13030"/>
    <w:rsid w:val="00F1319C"/>
    <w:rsid w:val="00F13335"/>
    <w:rsid w:val="00F135C2"/>
    <w:rsid w:val="00F136C4"/>
    <w:rsid w:val="00F139AF"/>
    <w:rsid w:val="00F139B4"/>
    <w:rsid w:val="00F13AD6"/>
    <w:rsid w:val="00F13B5E"/>
    <w:rsid w:val="00F13BEC"/>
    <w:rsid w:val="00F13BEF"/>
    <w:rsid w:val="00F140BB"/>
    <w:rsid w:val="00F14208"/>
    <w:rsid w:val="00F1430D"/>
    <w:rsid w:val="00F144CD"/>
    <w:rsid w:val="00F146D7"/>
    <w:rsid w:val="00F148A8"/>
    <w:rsid w:val="00F148C7"/>
    <w:rsid w:val="00F14C5C"/>
    <w:rsid w:val="00F14E42"/>
    <w:rsid w:val="00F14E4A"/>
    <w:rsid w:val="00F150F3"/>
    <w:rsid w:val="00F1520F"/>
    <w:rsid w:val="00F153B6"/>
    <w:rsid w:val="00F1545F"/>
    <w:rsid w:val="00F155C8"/>
    <w:rsid w:val="00F157F9"/>
    <w:rsid w:val="00F15B44"/>
    <w:rsid w:val="00F16067"/>
    <w:rsid w:val="00F16126"/>
    <w:rsid w:val="00F1619E"/>
    <w:rsid w:val="00F1659C"/>
    <w:rsid w:val="00F16612"/>
    <w:rsid w:val="00F16697"/>
    <w:rsid w:val="00F166EB"/>
    <w:rsid w:val="00F167C9"/>
    <w:rsid w:val="00F1690B"/>
    <w:rsid w:val="00F16A81"/>
    <w:rsid w:val="00F16AAE"/>
    <w:rsid w:val="00F16B49"/>
    <w:rsid w:val="00F16D18"/>
    <w:rsid w:val="00F16DBC"/>
    <w:rsid w:val="00F173D6"/>
    <w:rsid w:val="00F17582"/>
    <w:rsid w:val="00F179EE"/>
    <w:rsid w:val="00F203B2"/>
    <w:rsid w:val="00F204BA"/>
    <w:rsid w:val="00F20503"/>
    <w:rsid w:val="00F205A3"/>
    <w:rsid w:val="00F205C3"/>
    <w:rsid w:val="00F20A80"/>
    <w:rsid w:val="00F20CE1"/>
    <w:rsid w:val="00F20E71"/>
    <w:rsid w:val="00F20FBC"/>
    <w:rsid w:val="00F20FE3"/>
    <w:rsid w:val="00F2123F"/>
    <w:rsid w:val="00F212AA"/>
    <w:rsid w:val="00F212AE"/>
    <w:rsid w:val="00F218B5"/>
    <w:rsid w:val="00F21C11"/>
    <w:rsid w:val="00F21CD6"/>
    <w:rsid w:val="00F21D20"/>
    <w:rsid w:val="00F22216"/>
    <w:rsid w:val="00F222E9"/>
    <w:rsid w:val="00F223EA"/>
    <w:rsid w:val="00F22411"/>
    <w:rsid w:val="00F2265A"/>
    <w:rsid w:val="00F22FAC"/>
    <w:rsid w:val="00F23039"/>
    <w:rsid w:val="00F2303F"/>
    <w:rsid w:val="00F23273"/>
    <w:rsid w:val="00F23328"/>
    <w:rsid w:val="00F235E0"/>
    <w:rsid w:val="00F235E8"/>
    <w:rsid w:val="00F238E5"/>
    <w:rsid w:val="00F23C1B"/>
    <w:rsid w:val="00F23D85"/>
    <w:rsid w:val="00F23D9D"/>
    <w:rsid w:val="00F243E2"/>
    <w:rsid w:val="00F24465"/>
    <w:rsid w:val="00F24747"/>
    <w:rsid w:val="00F24777"/>
    <w:rsid w:val="00F24918"/>
    <w:rsid w:val="00F249B4"/>
    <w:rsid w:val="00F250A1"/>
    <w:rsid w:val="00F25334"/>
    <w:rsid w:val="00F254D9"/>
    <w:rsid w:val="00F256C8"/>
    <w:rsid w:val="00F25A2D"/>
    <w:rsid w:val="00F25A99"/>
    <w:rsid w:val="00F25AB0"/>
    <w:rsid w:val="00F25AFC"/>
    <w:rsid w:val="00F25DAA"/>
    <w:rsid w:val="00F260B0"/>
    <w:rsid w:val="00F261E9"/>
    <w:rsid w:val="00F26609"/>
    <w:rsid w:val="00F266E4"/>
    <w:rsid w:val="00F26893"/>
    <w:rsid w:val="00F26A4E"/>
    <w:rsid w:val="00F26B22"/>
    <w:rsid w:val="00F26D88"/>
    <w:rsid w:val="00F27002"/>
    <w:rsid w:val="00F273B1"/>
    <w:rsid w:val="00F2784C"/>
    <w:rsid w:val="00F27B9C"/>
    <w:rsid w:val="00F27B9E"/>
    <w:rsid w:val="00F27D6D"/>
    <w:rsid w:val="00F27D76"/>
    <w:rsid w:val="00F27EE0"/>
    <w:rsid w:val="00F27F3F"/>
    <w:rsid w:val="00F30438"/>
    <w:rsid w:val="00F30601"/>
    <w:rsid w:val="00F309BD"/>
    <w:rsid w:val="00F30F0B"/>
    <w:rsid w:val="00F30F97"/>
    <w:rsid w:val="00F31095"/>
    <w:rsid w:val="00F310A2"/>
    <w:rsid w:val="00F311C5"/>
    <w:rsid w:val="00F312B0"/>
    <w:rsid w:val="00F312B7"/>
    <w:rsid w:val="00F313AB"/>
    <w:rsid w:val="00F315E5"/>
    <w:rsid w:val="00F319B6"/>
    <w:rsid w:val="00F319C3"/>
    <w:rsid w:val="00F31EA3"/>
    <w:rsid w:val="00F31F2B"/>
    <w:rsid w:val="00F3219C"/>
    <w:rsid w:val="00F32359"/>
    <w:rsid w:val="00F32369"/>
    <w:rsid w:val="00F3250B"/>
    <w:rsid w:val="00F3251F"/>
    <w:rsid w:val="00F328C2"/>
    <w:rsid w:val="00F329E1"/>
    <w:rsid w:val="00F32ACD"/>
    <w:rsid w:val="00F32FCD"/>
    <w:rsid w:val="00F3312E"/>
    <w:rsid w:val="00F33374"/>
    <w:rsid w:val="00F33394"/>
    <w:rsid w:val="00F3346C"/>
    <w:rsid w:val="00F33641"/>
    <w:rsid w:val="00F33655"/>
    <w:rsid w:val="00F33869"/>
    <w:rsid w:val="00F33AD3"/>
    <w:rsid w:val="00F33CCA"/>
    <w:rsid w:val="00F33CD7"/>
    <w:rsid w:val="00F33DE4"/>
    <w:rsid w:val="00F33F14"/>
    <w:rsid w:val="00F3423F"/>
    <w:rsid w:val="00F3433B"/>
    <w:rsid w:val="00F34459"/>
    <w:rsid w:val="00F344AD"/>
    <w:rsid w:val="00F34939"/>
    <w:rsid w:val="00F34B43"/>
    <w:rsid w:val="00F34B53"/>
    <w:rsid w:val="00F34B7A"/>
    <w:rsid w:val="00F34E6A"/>
    <w:rsid w:val="00F35063"/>
    <w:rsid w:val="00F35199"/>
    <w:rsid w:val="00F353A1"/>
    <w:rsid w:val="00F354E2"/>
    <w:rsid w:val="00F35511"/>
    <w:rsid w:val="00F35803"/>
    <w:rsid w:val="00F361DB"/>
    <w:rsid w:val="00F36332"/>
    <w:rsid w:val="00F363F3"/>
    <w:rsid w:val="00F3640D"/>
    <w:rsid w:val="00F3648B"/>
    <w:rsid w:val="00F3666F"/>
    <w:rsid w:val="00F367E1"/>
    <w:rsid w:val="00F367FF"/>
    <w:rsid w:val="00F369C0"/>
    <w:rsid w:val="00F36A06"/>
    <w:rsid w:val="00F36A94"/>
    <w:rsid w:val="00F36F28"/>
    <w:rsid w:val="00F37017"/>
    <w:rsid w:val="00F37280"/>
    <w:rsid w:val="00F373C3"/>
    <w:rsid w:val="00F37429"/>
    <w:rsid w:val="00F37511"/>
    <w:rsid w:val="00F3759F"/>
    <w:rsid w:val="00F37697"/>
    <w:rsid w:val="00F37A62"/>
    <w:rsid w:val="00F37B4D"/>
    <w:rsid w:val="00F37D2E"/>
    <w:rsid w:val="00F40017"/>
    <w:rsid w:val="00F40037"/>
    <w:rsid w:val="00F40105"/>
    <w:rsid w:val="00F4014B"/>
    <w:rsid w:val="00F40214"/>
    <w:rsid w:val="00F40286"/>
    <w:rsid w:val="00F4086C"/>
    <w:rsid w:val="00F40E88"/>
    <w:rsid w:val="00F40EC8"/>
    <w:rsid w:val="00F40F08"/>
    <w:rsid w:val="00F4101E"/>
    <w:rsid w:val="00F410B0"/>
    <w:rsid w:val="00F4152D"/>
    <w:rsid w:val="00F416B5"/>
    <w:rsid w:val="00F418EE"/>
    <w:rsid w:val="00F41987"/>
    <w:rsid w:val="00F41A05"/>
    <w:rsid w:val="00F420ED"/>
    <w:rsid w:val="00F421D1"/>
    <w:rsid w:val="00F4224F"/>
    <w:rsid w:val="00F4234B"/>
    <w:rsid w:val="00F423D6"/>
    <w:rsid w:val="00F42591"/>
    <w:rsid w:val="00F42651"/>
    <w:rsid w:val="00F426FD"/>
    <w:rsid w:val="00F42964"/>
    <w:rsid w:val="00F429C6"/>
    <w:rsid w:val="00F42A7B"/>
    <w:rsid w:val="00F42AE8"/>
    <w:rsid w:val="00F42B24"/>
    <w:rsid w:val="00F42D30"/>
    <w:rsid w:val="00F42D54"/>
    <w:rsid w:val="00F42DAE"/>
    <w:rsid w:val="00F42EA1"/>
    <w:rsid w:val="00F431FA"/>
    <w:rsid w:val="00F432AA"/>
    <w:rsid w:val="00F434D7"/>
    <w:rsid w:val="00F4353F"/>
    <w:rsid w:val="00F4382C"/>
    <w:rsid w:val="00F43A45"/>
    <w:rsid w:val="00F43BA1"/>
    <w:rsid w:val="00F43CE3"/>
    <w:rsid w:val="00F43D7E"/>
    <w:rsid w:val="00F43F39"/>
    <w:rsid w:val="00F44073"/>
    <w:rsid w:val="00F442AC"/>
    <w:rsid w:val="00F444A6"/>
    <w:rsid w:val="00F44B6D"/>
    <w:rsid w:val="00F44BE4"/>
    <w:rsid w:val="00F44C6D"/>
    <w:rsid w:val="00F44D2A"/>
    <w:rsid w:val="00F45097"/>
    <w:rsid w:val="00F453D7"/>
    <w:rsid w:val="00F4543D"/>
    <w:rsid w:val="00F45512"/>
    <w:rsid w:val="00F45514"/>
    <w:rsid w:val="00F45634"/>
    <w:rsid w:val="00F45B24"/>
    <w:rsid w:val="00F45C62"/>
    <w:rsid w:val="00F45CAA"/>
    <w:rsid w:val="00F45EE7"/>
    <w:rsid w:val="00F46356"/>
    <w:rsid w:val="00F463D3"/>
    <w:rsid w:val="00F4669E"/>
    <w:rsid w:val="00F46BC6"/>
    <w:rsid w:val="00F46C87"/>
    <w:rsid w:val="00F46E41"/>
    <w:rsid w:val="00F47130"/>
    <w:rsid w:val="00F4721D"/>
    <w:rsid w:val="00F4752A"/>
    <w:rsid w:val="00F478E1"/>
    <w:rsid w:val="00F47A24"/>
    <w:rsid w:val="00F47C35"/>
    <w:rsid w:val="00F47C91"/>
    <w:rsid w:val="00F47DA0"/>
    <w:rsid w:val="00F47F08"/>
    <w:rsid w:val="00F47F6A"/>
    <w:rsid w:val="00F503F6"/>
    <w:rsid w:val="00F50421"/>
    <w:rsid w:val="00F50548"/>
    <w:rsid w:val="00F50BAA"/>
    <w:rsid w:val="00F5117D"/>
    <w:rsid w:val="00F5119C"/>
    <w:rsid w:val="00F51391"/>
    <w:rsid w:val="00F514D3"/>
    <w:rsid w:val="00F515F1"/>
    <w:rsid w:val="00F51683"/>
    <w:rsid w:val="00F516D0"/>
    <w:rsid w:val="00F516D5"/>
    <w:rsid w:val="00F51916"/>
    <w:rsid w:val="00F51A93"/>
    <w:rsid w:val="00F51B26"/>
    <w:rsid w:val="00F51BB3"/>
    <w:rsid w:val="00F51E66"/>
    <w:rsid w:val="00F5253C"/>
    <w:rsid w:val="00F528AD"/>
    <w:rsid w:val="00F52A95"/>
    <w:rsid w:val="00F52BAE"/>
    <w:rsid w:val="00F52BCA"/>
    <w:rsid w:val="00F52C28"/>
    <w:rsid w:val="00F52DE9"/>
    <w:rsid w:val="00F52F47"/>
    <w:rsid w:val="00F52FE1"/>
    <w:rsid w:val="00F53684"/>
    <w:rsid w:val="00F536C2"/>
    <w:rsid w:val="00F53929"/>
    <w:rsid w:val="00F53BD5"/>
    <w:rsid w:val="00F5405E"/>
    <w:rsid w:val="00F54069"/>
    <w:rsid w:val="00F541C6"/>
    <w:rsid w:val="00F54759"/>
    <w:rsid w:val="00F54A8C"/>
    <w:rsid w:val="00F54E89"/>
    <w:rsid w:val="00F54E8C"/>
    <w:rsid w:val="00F55135"/>
    <w:rsid w:val="00F556B5"/>
    <w:rsid w:val="00F55A42"/>
    <w:rsid w:val="00F55B26"/>
    <w:rsid w:val="00F55D64"/>
    <w:rsid w:val="00F55E2C"/>
    <w:rsid w:val="00F55F20"/>
    <w:rsid w:val="00F56361"/>
    <w:rsid w:val="00F56365"/>
    <w:rsid w:val="00F563D8"/>
    <w:rsid w:val="00F5648C"/>
    <w:rsid w:val="00F568D8"/>
    <w:rsid w:val="00F5690E"/>
    <w:rsid w:val="00F56A2F"/>
    <w:rsid w:val="00F56E03"/>
    <w:rsid w:val="00F56EB9"/>
    <w:rsid w:val="00F570AF"/>
    <w:rsid w:val="00F57222"/>
    <w:rsid w:val="00F573AF"/>
    <w:rsid w:val="00F5753E"/>
    <w:rsid w:val="00F575A5"/>
    <w:rsid w:val="00F57858"/>
    <w:rsid w:val="00F578A6"/>
    <w:rsid w:val="00F57B55"/>
    <w:rsid w:val="00F57E56"/>
    <w:rsid w:val="00F600A4"/>
    <w:rsid w:val="00F601AD"/>
    <w:rsid w:val="00F60354"/>
    <w:rsid w:val="00F606F7"/>
    <w:rsid w:val="00F6076A"/>
    <w:rsid w:val="00F607ED"/>
    <w:rsid w:val="00F6092E"/>
    <w:rsid w:val="00F609D0"/>
    <w:rsid w:val="00F60A44"/>
    <w:rsid w:val="00F60A93"/>
    <w:rsid w:val="00F60D2E"/>
    <w:rsid w:val="00F60E6E"/>
    <w:rsid w:val="00F60EC0"/>
    <w:rsid w:val="00F611BC"/>
    <w:rsid w:val="00F6120F"/>
    <w:rsid w:val="00F614C6"/>
    <w:rsid w:val="00F6172C"/>
    <w:rsid w:val="00F617FD"/>
    <w:rsid w:val="00F61891"/>
    <w:rsid w:val="00F61931"/>
    <w:rsid w:val="00F619C3"/>
    <w:rsid w:val="00F61CE5"/>
    <w:rsid w:val="00F61D23"/>
    <w:rsid w:val="00F61EA8"/>
    <w:rsid w:val="00F621BA"/>
    <w:rsid w:val="00F622F7"/>
    <w:rsid w:val="00F625B8"/>
    <w:rsid w:val="00F62636"/>
    <w:rsid w:val="00F62C82"/>
    <w:rsid w:val="00F63032"/>
    <w:rsid w:val="00F63262"/>
    <w:rsid w:val="00F63265"/>
    <w:rsid w:val="00F632A2"/>
    <w:rsid w:val="00F637CF"/>
    <w:rsid w:val="00F639AE"/>
    <w:rsid w:val="00F63A08"/>
    <w:rsid w:val="00F63C03"/>
    <w:rsid w:val="00F6413A"/>
    <w:rsid w:val="00F641C0"/>
    <w:rsid w:val="00F6434A"/>
    <w:rsid w:val="00F64408"/>
    <w:rsid w:val="00F64572"/>
    <w:rsid w:val="00F647B8"/>
    <w:rsid w:val="00F6480E"/>
    <w:rsid w:val="00F649D5"/>
    <w:rsid w:val="00F64B6A"/>
    <w:rsid w:val="00F64F3D"/>
    <w:rsid w:val="00F650BF"/>
    <w:rsid w:val="00F652C3"/>
    <w:rsid w:val="00F65914"/>
    <w:rsid w:val="00F65B21"/>
    <w:rsid w:val="00F65C84"/>
    <w:rsid w:val="00F65CA0"/>
    <w:rsid w:val="00F65D95"/>
    <w:rsid w:val="00F65DAA"/>
    <w:rsid w:val="00F65F22"/>
    <w:rsid w:val="00F660CD"/>
    <w:rsid w:val="00F6629A"/>
    <w:rsid w:val="00F664DB"/>
    <w:rsid w:val="00F66749"/>
    <w:rsid w:val="00F669CF"/>
    <w:rsid w:val="00F66C1B"/>
    <w:rsid w:val="00F66CB3"/>
    <w:rsid w:val="00F66D98"/>
    <w:rsid w:val="00F66F65"/>
    <w:rsid w:val="00F66FCA"/>
    <w:rsid w:val="00F67089"/>
    <w:rsid w:val="00F670DB"/>
    <w:rsid w:val="00F67464"/>
    <w:rsid w:val="00F674F2"/>
    <w:rsid w:val="00F67876"/>
    <w:rsid w:val="00F678A0"/>
    <w:rsid w:val="00F67E6A"/>
    <w:rsid w:val="00F67F3C"/>
    <w:rsid w:val="00F700CD"/>
    <w:rsid w:val="00F7018A"/>
    <w:rsid w:val="00F7023B"/>
    <w:rsid w:val="00F702DB"/>
    <w:rsid w:val="00F7056A"/>
    <w:rsid w:val="00F707FA"/>
    <w:rsid w:val="00F708EA"/>
    <w:rsid w:val="00F709A9"/>
    <w:rsid w:val="00F70CA9"/>
    <w:rsid w:val="00F70D75"/>
    <w:rsid w:val="00F70E4F"/>
    <w:rsid w:val="00F7104D"/>
    <w:rsid w:val="00F71281"/>
    <w:rsid w:val="00F71736"/>
    <w:rsid w:val="00F71910"/>
    <w:rsid w:val="00F7198C"/>
    <w:rsid w:val="00F719FF"/>
    <w:rsid w:val="00F71C41"/>
    <w:rsid w:val="00F71DDD"/>
    <w:rsid w:val="00F7265E"/>
    <w:rsid w:val="00F727EA"/>
    <w:rsid w:val="00F72859"/>
    <w:rsid w:val="00F72A0D"/>
    <w:rsid w:val="00F72A5C"/>
    <w:rsid w:val="00F72F09"/>
    <w:rsid w:val="00F732A9"/>
    <w:rsid w:val="00F73686"/>
    <w:rsid w:val="00F73868"/>
    <w:rsid w:val="00F738D6"/>
    <w:rsid w:val="00F739EB"/>
    <w:rsid w:val="00F73DAF"/>
    <w:rsid w:val="00F73EAE"/>
    <w:rsid w:val="00F73FA2"/>
    <w:rsid w:val="00F74527"/>
    <w:rsid w:val="00F745EE"/>
    <w:rsid w:val="00F745FF"/>
    <w:rsid w:val="00F74600"/>
    <w:rsid w:val="00F74750"/>
    <w:rsid w:val="00F74D7A"/>
    <w:rsid w:val="00F74F37"/>
    <w:rsid w:val="00F74FAE"/>
    <w:rsid w:val="00F750A8"/>
    <w:rsid w:val="00F750CA"/>
    <w:rsid w:val="00F75159"/>
    <w:rsid w:val="00F75242"/>
    <w:rsid w:val="00F7529B"/>
    <w:rsid w:val="00F752B8"/>
    <w:rsid w:val="00F75497"/>
    <w:rsid w:val="00F756B8"/>
    <w:rsid w:val="00F757B3"/>
    <w:rsid w:val="00F7588C"/>
    <w:rsid w:val="00F75A87"/>
    <w:rsid w:val="00F75C4F"/>
    <w:rsid w:val="00F75D1C"/>
    <w:rsid w:val="00F75E27"/>
    <w:rsid w:val="00F76260"/>
    <w:rsid w:val="00F7632B"/>
    <w:rsid w:val="00F763B2"/>
    <w:rsid w:val="00F76649"/>
    <w:rsid w:val="00F766E4"/>
    <w:rsid w:val="00F767EF"/>
    <w:rsid w:val="00F7693E"/>
    <w:rsid w:val="00F769F9"/>
    <w:rsid w:val="00F76AB9"/>
    <w:rsid w:val="00F76CC6"/>
    <w:rsid w:val="00F76CF5"/>
    <w:rsid w:val="00F76E8A"/>
    <w:rsid w:val="00F777AB"/>
    <w:rsid w:val="00F77910"/>
    <w:rsid w:val="00F77981"/>
    <w:rsid w:val="00F77AE5"/>
    <w:rsid w:val="00F77B09"/>
    <w:rsid w:val="00F77B70"/>
    <w:rsid w:val="00F77CBB"/>
    <w:rsid w:val="00F77D23"/>
    <w:rsid w:val="00F77D32"/>
    <w:rsid w:val="00F8003B"/>
    <w:rsid w:val="00F8005A"/>
    <w:rsid w:val="00F80271"/>
    <w:rsid w:val="00F80805"/>
    <w:rsid w:val="00F80A5A"/>
    <w:rsid w:val="00F80F6E"/>
    <w:rsid w:val="00F81051"/>
    <w:rsid w:val="00F810AA"/>
    <w:rsid w:val="00F81212"/>
    <w:rsid w:val="00F81225"/>
    <w:rsid w:val="00F8126B"/>
    <w:rsid w:val="00F812B0"/>
    <w:rsid w:val="00F81648"/>
    <w:rsid w:val="00F81788"/>
    <w:rsid w:val="00F81ADF"/>
    <w:rsid w:val="00F81B48"/>
    <w:rsid w:val="00F81D14"/>
    <w:rsid w:val="00F81DD9"/>
    <w:rsid w:val="00F82040"/>
    <w:rsid w:val="00F824D9"/>
    <w:rsid w:val="00F829D1"/>
    <w:rsid w:val="00F82A09"/>
    <w:rsid w:val="00F8317E"/>
    <w:rsid w:val="00F83300"/>
    <w:rsid w:val="00F8332C"/>
    <w:rsid w:val="00F834D5"/>
    <w:rsid w:val="00F835F6"/>
    <w:rsid w:val="00F8361E"/>
    <w:rsid w:val="00F8395A"/>
    <w:rsid w:val="00F839D4"/>
    <w:rsid w:val="00F83B76"/>
    <w:rsid w:val="00F83BA4"/>
    <w:rsid w:val="00F83F44"/>
    <w:rsid w:val="00F84359"/>
    <w:rsid w:val="00F84699"/>
    <w:rsid w:val="00F846B9"/>
    <w:rsid w:val="00F8485A"/>
    <w:rsid w:val="00F849C5"/>
    <w:rsid w:val="00F84DC8"/>
    <w:rsid w:val="00F84FB3"/>
    <w:rsid w:val="00F84FEE"/>
    <w:rsid w:val="00F8508F"/>
    <w:rsid w:val="00F85457"/>
    <w:rsid w:val="00F85480"/>
    <w:rsid w:val="00F856B9"/>
    <w:rsid w:val="00F8578D"/>
    <w:rsid w:val="00F85945"/>
    <w:rsid w:val="00F85A23"/>
    <w:rsid w:val="00F85A7C"/>
    <w:rsid w:val="00F85E86"/>
    <w:rsid w:val="00F8616F"/>
    <w:rsid w:val="00F866E4"/>
    <w:rsid w:val="00F867DD"/>
    <w:rsid w:val="00F86BF6"/>
    <w:rsid w:val="00F86C4E"/>
    <w:rsid w:val="00F86C8A"/>
    <w:rsid w:val="00F8710D"/>
    <w:rsid w:val="00F87154"/>
    <w:rsid w:val="00F87386"/>
    <w:rsid w:val="00F8741F"/>
    <w:rsid w:val="00F87477"/>
    <w:rsid w:val="00F87845"/>
    <w:rsid w:val="00F87903"/>
    <w:rsid w:val="00F87B2A"/>
    <w:rsid w:val="00F87B2D"/>
    <w:rsid w:val="00F87C0B"/>
    <w:rsid w:val="00F902B6"/>
    <w:rsid w:val="00F9061D"/>
    <w:rsid w:val="00F90645"/>
    <w:rsid w:val="00F90736"/>
    <w:rsid w:val="00F90A9F"/>
    <w:rsid w:val="00F90B4F"/>
    <w:rsid w:val="00F90BD0"/>
    <w:rsid w:val="00F90F42"/>
    <w:rsid w:val="00F9107D"/>
    <w:rsid w:val="00F910D5"/>
    <w:rsid w:val="00F91139"/>
    <w:rsid w:val="00F91140"/>
    <w:rsid w:val="00F911E1"/>
    <w:rsid w:val="00F915CA"/>
    <w:rsid w:val="00F9162B"/>
    <w:rsid w:val="00F9172B"/>
    <w:rsid w:val="00F918C1"/>
    <w:rsid w:val="00F91AD2"/>
    <w:rsid w:val="00F91BF9"/>
    <w:rsid w:val="00F91F5D"/>
    <w:rsid w:val="00F92089"/>
    <w:rsid w:val="00F92586"/>
    <w:rsid w:val="00F925FC"/>
    <w:rsid w:val="00F927A4"/>
    <w:rsid w:val="00F92836"/>
    <w:rsid w:val="00F92939"/>
    <w:rsid w:val="00F92B11"/>
    <w:rsid w:val="00F92B1E"/>
    <w:rsid w:val="00F92ECF"/>
    <w:rsid w:val="00F93084"/>
    <w:rsid w:val="00F9328A"/>
    <w:rsid w:val="00F93317"/>
    <w:rsid w:val="00F936CC"/>
    <w:rsid w:val="00F937AE"/>
    <w:rsid w:val="00F93C56"/>
    <w:rsid w:val="00F93D52"/>
    <w:rsid w:val="00F93D63"/>
    <w:rsid w:val="00F93EC1"/>
    <w:rsid w:val="00F940DD"/>
    <w:rsid w:val="00F94153"/>
    <w:rsid w:val="00F941C8"/>
    <w:rsid w:val="00F942F1"/>
    <w:rsid w:val="00F94C4A"/>
    <w:rsid w:val="00F94E49"/>
    <w:rsid w:val="00F955B7"/>
    <w:rsid w:val="00F95926"/>
    <w:rsid w:val="00F95B16"/>
    <w:rsid w:val="00F95CBF"/>
    <w:rsid w:val="00F95E48"/>
    <w:rsid w:val="00F96293"/>
    <w:rsid w:val="00F96E03"/>
    <w:rsid w:val="00F96E55"/>
    <w:rsid w:val="00F970E0"/>
    <w:rsid w:val="00F97193"/>
    <w:rsid w:val="00F97232"/>
    <w:rsid w:val="00F97C79"/>
    <w:rsid w:val="00F97DFD"/>
    <w:rsid w:val="00F97E1C"/>
    <w:rsid w:val="00F97EC6"/>
    <w:rsid w:val="00F97F99"/>
    <w:rsid w:val="00FA0038"/>
    <w:rsid w:val="00FA0237"/>
    <w:rsid w:val="00FA055A"/>
    <w:rsid w:val="00FA056F"/>
    <w:rsid w:val="00FA070D"/>
    <w:rsid w:val="00FA07B6"/>
    <w:rsid w:val="00FA091A"/>
    <w:rsid w:val="00FA0A02"/>
    <w:rsid w:val="00FA0BBD"/>
    <w:rsid w:val="00FA0BE0"/>
    <w:rsid w:val="00FA0DA1"/>
    <w:rsid w:val="00FA104B"/>
    <w:rsid w:val="00FA104C"/>
    <w:rsid w:val="00FA11C2"/>
    <w:rsid w:val="00FA12A7"/>
    <w:rsid w:val="00FA1332"/>
    <w:rsid w:val="00FA170D"/>
    <w:rsid w:val="00FA17F1"/>
    <w:rsid w:val="00FA1A3C"/>
    <w:rsid w:val="00FA1B05"/>
    <w:rsid w:val="00FA1D27"/>
    <w:rsid w:val="00FA1D9B"/>
    <w:rsid w:val="00FA1E2C"/>
    <w:rsid w:val="00FA2206"/>
    <w:rsid w:val="00FA22CC"/>
    <w:rsid w:val="00FA2392"/>
    <w:rsid w:val="00FA24FF"/>
    <w:rsid w:val="00FA25F9"/>
    <w:rsid w:val="00FA2947"/>
    <w:rsid w:val="00FA2A1D"/>
    <w:rsid w:val="00FA2A94"/>
    <w:rsid w:val="00FA2AD3"/>
    <w:rsid w:val="00FA2C9F"/>
    <w:rsid w:val="00FA2D4E"/>
    <w:rsid w:val="00FA2F20"/>
    <w:rsid w:val="00FA32F8"/>
    <w:rsid w:val="00FA33AA"/>
    <w:rsid w:val="00FA3404"/>
    <w:rsid w:val="00FA3423"/>
    <w:rsid w:val="00FA3429"/>
    <w:rsid w:val="00FA354D"/>
    <w:rsid w:val="00FA36F1"/>
    <w:rsid w:val="00FA384D"/>
    <w:rsid w:val="00FA39E9"/>
    <w:rsid w:val="00FA3F9D"/>
    <w:rsid w:val="00FA40CC"/>
    <w:rsid w:val="00FA461F"/>
    <w:rsid w:val="00FA467A"/>
    <w:rsid w:val="00FA4780"/>
    <w:rsid w:val="00FA496D"/>
    <w:rsid w:val="00FA4AD2"/>
    <w:rsid w:val="00FA4D9C"/>
    <w:rsid w:val="00FA4EC1"/>
    <w:rsid w:val="00FA4F83"/>
    <w:rsid w:val="00FA4FDA"/>
    <w:rsid w:val="00FA50E6"/>
    <w:rsid w:val="00FA51D8"/>
    <w:rsid w:val="00FA55A0"/>
    <w:rsid w:val="00FA55B9"/>
    <w:rsid w:val="00FA56AD"/>
    <w:rsid w:val="00FA5716"/>
    <w:rsid w:val="00FA5987"/>
    <w:rsid w:val="00FA5B0F"/>
    <w:rsid w:val="00FA5B79"/>
    <w:rsid w:val="00FA5C3C"/>
    <w:rsid w:val="00FA5CA6"/>
    <w:rsid w:val="00FA5DB7"/>
    <w:rsid w:val="00FA5F6D"/>
    <w:rsid w:val="00FA612A"/>
    <w:rsid w:val="00FA62B3"/>
    <w:rsid w:val="00FA6425"/>
    <w:rsid w:val="00FA642E"/>
    <w:rsid w:val="00FA664C"/>
    <w:rsid w:val="00FA6992"/>
    <w:rsid w:val="00FA69A5"/>
    <w:rsid w:val="00FA69D5"/>
    <w:rsid w:val="00FA6A25"/>
    <w:rsid w:val="00FA6A62"/>
    <w:rsid w:val="00FA703E"/>
    <w:rsid w:val="00FA7364"/>
    <w:rsid w:val="00FA73FD"/>
    <w:rsid w:val="00FA7729"/>
    <w:rsid w:val="00FA7854"/>
    <w:rsid w:val="00FA7BD2"/>
    <w:rsid w:val="00FA7CA2"/>
    <w:rsid w:val="00FA7DEF"/>
    <w:rsid w:val="00FB00D1"/>
    <w:rsid w:val="00FB0304"/>
    <w:rsid w:val="00FB0564"/>
    <w:rsid w:val="00FB0601"/>
    <w:rsid w:val="00FB07B8"/>
    <w:rsid w:val="00FB0ACE"/>
    <w:rsid w:val="00FB0AF3"/>
    <w:rsid w:val="00FB0C90"/>
    <w:rsid w:val="00FB0F43"/>
    <w:rsid w:val="00FB1080"/>
    <w:rsid w:val="00FB175D"/>
    <w:rsid w:val="00FB1A1A"/>
    <w:rsid w:val="00FB1A4C"/>
    <w:rsid w:val="00FB1AE0"/>
    <w:rsid w:val="00FB204B"/>
    <w:rsid w:val="00FB2056"/>
    <w:rsid w:val="00FB21BD"/>
    <w:rsid w:val="00FB2202"/>
    <w:rsid w:val="00FB236D"/>
    <w:rsid w:val="00FB2421"/>
    <w:rsid w:val="00FB2766"/>
    <w:rsid w:val="00FB282A"/>
    <w:rsid w:val="00FB286C"/>
    <w:rsid w:val="00FB28A6"/>
    <w:rsid w:val="00FB2A29"/>
    <w:rsid w:val="00FB2E8D"/>
    <w:rsid w:val="00FB2FEE"/>
    <w:rsid w:val="00FB301B"/>
    <w:rsid w:val="00FB31FF"/>
    <w:rsid w:val="00FB326D"/>
    <w:rsid w:val="00FB3274"/>
    <w:rsid w:val="00FB32CF"/>
    <w:rsid w:val="00FB3441"/>
    <w:rsid w:val="00FB35F2"/>
    <w:rsid w:val="00FB3B5F"/>
    <w:rsid w:val="00FB3D4A"/>
    <w:rsid w:val="00FB40BD"/>
    <w:rsid w:val="00FB4143"/>
    <w:rsid w:val="00FB4324"/>
    <w:rsid w:val="00FB47EC"/>
    <w:rsid w:val="00FB4811"/>
    <w:rsid w:val="00FB4B6B"/>
    <w:rsid w:val="00FB4B70"/>
    <w:rsid w:val="00FB4BF0"/>
    <w:rsid w:val="00FB4D53"/>
    <w:rsid w:val="00FB4FC0"/>
    <w:rsid w:val="00FB4FE7"/>
    <w:rsid w:val="00FB50E3"/>
    <w:rsid w:val="00FB5147"/>
    <w:rsid w:val="00FB51AB"/>
    <w:rsid w:val="00FB51CA"/>
    <w:rsid w:val="00FB525C"/>
    <w:rsid w:val="00FB525F"/>
    <w:rsid w:val="00FB52F5"/>
    <w:rsid w:val="00FB54EE"/>
    <w:rsid w:val="00FB553D"/>
    <w:rsid w:val="00FB5552"/>
    <w:rsid w:val="00FB5599"/>
    <w:rsid w:val="00FB562F"/>
    <w:rsid w:val="00FB5755"/>
    <w:rsid w:val="00FB5B46"/>
    <w:rsid w:val="00FB5B84"/>
    <w:rsid w:val="00FB5C8C"/>
    <w:rsid w:val="00FB5EDE"/>
    <w:rsid w:val="00FB5FC8"/>
    <w:rsid w:val="00FB60BF"/>
    <w:rsid w:val="00FB6125"/>
    <w:rsid w:val="00FB61AF"/>
    <w:rsid w:val="00FB643F"/>
    <w:rsid w:val="00FB6610"/>
    <w:rsid w:val="00FB6617"/>
    <w:rsid w:val="00FB67C4"/>
    <w:rsid w:val="00FB69A9"/>
    <w:rsid w:val="00FB6B5C"/>
    <w:rsid w:val="00FB6BA3"/>
    <w:rsid w:val="00FB6FBF"/>
    <w:rsid w:val="00FB70C5"/>
    <w:rsid w:val="00FB7264"/>
    <w:rsid w:val="00FB728C"/>
    <w:rsid w:val="00FB7309"/>
    <w:rsid w:val="00FB748D"/>
    <w:rsid w:val="00FB74AD"/>
    <w:rsid w:val="00FB767F"/>
    <w:rsid w:val="00FB7700"/>
    <w:rsid w:val="00FB79CB"/>
    <w:rsid w:val="00FB7AA7"/>
    <w:rsid w:val="00FB7F41"/>
    <w:rsid w:val="00FC0247"/>
    <w:rsid w:val="00FC0341"/>
    <w:rsid w:val="00FC0962"/>
    <w:rsid w:val="00FC0D4B"/>
    <w:rsid w:val="00FC0EA1"/>
    <w:rsid w:val="00FC0EFC"/>
    <w:rsid w:val="00FC1077"/>
    <w:rsid w:val="00FC116B"/>
    <w:rsid w:val="00FC11C4"/>
    <w:rsid w:val="00FC122F"/>
    <w:rsid w:val="00FC1321"/>
    <w:rsid w:val="00FC144A"/>
    <w:rsid w:val="00FC1494"/>
    <w:rsid w:val="00FC1C8E"/>
    <w:rsid w:val="00FC203D"/>
    <w:rsid w:val="00FC2399"/>
    <w:rsid w:val="00FC266F"/>
    <w:rsid w:val="00FC28CB"/>
    <w:rsid w:val="00FC296B"/>
    <w:rsid w:val="00FC2C20"/>
    <w:rsid w:val="00FC2FCF"/>
    <w:rsid w:val="00FC3148"/>
    <w:rsid w:val="00FC323B"/>
    <w:rsid w:val="00FC32D1"/>
    <w:rsid w:val="00FC344B"/>
    <w:rsid w:val="00FC3646"/>
    <w:rsid w:val="00FC3715"/>
    <w:rsid w:val="00FC38E8"/>
    <w:rsid w:val="00FC3906"/>
    <w:rsid w:val="00FC39CD"/>
    <w:rsid w:val="00FC3A8A"/>
    <w:rsid w:val="00FC3C84"/>
    <w:rsid w:val="00FC3CC2"/>
    <w:rsid w:val="00FC3D40"/>
    <w:rsid w:val="00FC3EB0"/>
    <w:rsid w:val="00FC3EB4"/>
    <w:rsid w:val="00FC3F92"/>
    <w:rsid w:val="00FC40A6"/>
    <w:rsid w:val="00FC42EE"/>
    <w:rsid w:val="00FC4410"/>
    <w:rsid w:val="00FC4543"/>
    <w:rsid w:val="00FC4605"/>
    <w:rsid w:val="00FC4701"/>
    <w:rsid w:val="00FC487B"/>
    <w:rsid w:val="00FC48EA"/>
    <w:rsid w:val="00FC4EA8"/>
    <w:rsid w:val="00FC4FD5"/>
    <w:rsid w:val="00FC5328"/>
    <w:rsid w:val="00FC5483"/>
    <w:rsid w:val="00FC5588"/>
    <w:rsid w:val="00FC5627"/>
    <w:rsid w:val="00FC573C"/>
    <w:rsid w:val="00FC586D"/>
    <w:rsid w:val="00FC5CBE"/>
    <w:rsid w:val="00FC5D2E"/>
    <w:rsid w:val="00FC62AE"/>
    <w:rsid w:val="00FC632A"/>
    <w:rsid w:val="00FC654A"/>
    <w:rsid w:val="00FC6B95"/>
    <w:rsid w:val="00FC6D90"/>
    <w:rsid w:val="00FC6DEA"/>
    <w:rsid w:val="00FC6FFC"/>
    <w:rsid w:val="00FC707A"/>
    <w:rsid w:val="00FC717C"/>
    <w:rsid w:val="00FC7345"/>
    <w:rsid w:val="00FC759D"/>
    <w:rsid w:val="00FC75BF"/>
    <w:rsid w:val="00FC75E3"/>
    <w:rsid w:val="00FC7643"/>
    <w:rsid w:val="00FC7684"/>
    <w:rsid w:val="00FC76C8"/>
    <w:rsid w:val="00FC76E4"/>
    <w:rsid w:val="00FC7942"/>
    <w:rsid w:val="00FC79E6"/>
    <w:rsid w:val="00FC7ABB"/>
    <w:rsid w:val="00FC7D24"/>
    <w:rsid w:val="00FC7DBF"/>
    <w:rsid w:val="00FC7FA1"/>
    <w:rsid w:val="00FC7FA5"/>
    <w:rsid w:val="00FD0122"/>
    <w:rsid w:val="00FD02F6"/>
    <w:rsid w:val="00FD03D4"/>
    <w:rsid w:val="00FD0D91"/>
    <w:rsid w:val="00FD0DEF"/>
    <w:rsid w:val="00FD0F08"/>
    <w:rsid w:val="00FD0F87"/>
    <w:rsid w:val="00FD0FBF"/>
    <w:rsid w:val="00FD0FF4"/>
    <w:rsid w:val="00FD11AA"/>
    <w:rsid w:val="00FD1216"/>
    <w:rsid w:val="00FD12F0"/>
    <w:rsid w:val="00FD1773"/>
    <w:rsid w:val="00FD18EA"/>
    <w:rsid w:val="00FD1C2C"/>
    <w:rsid w:val="00FD1CC5"/>
    <w:rsid w:val="00FD1E20"/>
    <w:rsid w:val="00FD1E36"/>
    <w:rsid w:val="00FD1E44"/>
    <w:rsid w:val="00FD1F1F"/>
    <w:rsid w:val="00FD1FE2"/>
    <w:rsid w:val="00FD20B1"/>
    <w:rsid w:val="00FD214A"/>
    <w:rsid w:val="00FD22B6"/>
    <w:rsid w:val="00FD236D"/>
    <w:rsid w:val="00FD257B"/>
    <w:rsid w:val="00FD2786"/>
    <w:rsid w:val="00FD2910"/>
    <w:rsid w:val="00FD292F"/>
    <w:rsid w:val="00FD2963"/>
    <w:rsid w:val="00FD313C"/>
    <w:rsid w:val="00FD32EE"/>
    <w:rsid w:val="00FD35A8"/>
    <w:rsid w:val="00FD3611"/>
    <w:rsid w:val="00FD3635"/>
    <w:rsid w:val="00FD368E"/>
    <w:rsid w:val="00FD3707"/>
    <w:rsid w:val="00FD395A"/>
    <w:rsid w:val="00FD399E"/>
    <w:rsid w:val="00FD3A2B"/>
    <w:rsid w:val="00FD3D69"/>
    <w:rsid w:val="00FD3E94"/>
    <w:rsid w:val="00FD3F64"/>
    <w:rsid w:val="00FD467B"/>
    <w:rsid w:val="00FD47B0"/>
    <w:rsid w:val="00FD4B65"/>
    <w:rsid w:val="00FD4BF4"/>
    <w:rsid w:val="00FD4E13"/>
    <w:rsid w:val="00FD52F8"/>
    <w:rsid w:val="00FD5305"/>
    <w:rsid w:val="00FD53B3"/>
    <w:rsid w:val="00FD545F"/>
    <w:rsid w:val="00FD550F"/>
    <w:rsid w:val="00FD557E"/>
    <w:rsid w:val="00FD5624"/>
    <w:rsid w:val="00FD5791"/>
    <w:rsid w:val="00FD57CE"/>
    <w:rsid w:val="00FD5DC0"/>
    <w:rsid w:val="00FD5FCA"/>
    <w:rsid w:val="00FD6038"/>
    <w:rsid w:val="00FD632D"/>
    <w:rsid w:val="00FD638D"/>
    <w:rsid w:val="00FD63E4"/>
    <w:rsid w:val="00FD6511"/>
    <w:rsid w:val="00FD6583"/>
    <w:rsid w:val="00FD65F7"/>
    <w:rsid w:val="00FD6651"/>
    <w:rsid w:val="00FD6709"/>
    <w:rsid w:val="00FD6809"/>
    <w:rsid w:val="00FD6834"/>
    <w:rsid w:val="00FD695E"/>
    <w:rsid w:val="00FD6A6F"/>
    <w:rsid w:val="00FD6A76"/>
    <w:rsid w:val="00FD6A98"/>
    <w:rsid w:val="00FD6C92"/>
    <w:rsid w:val="00FD6DFA"/>
    <w:rsid w:val="00FD6F4F"/>
    <w:rsid w:val="00FD6FE3"/>
    <w:rsid w:val="00FD710C"/>
    <w:rsid w:val="00FD719C"/>
    <w:rsid w:val="00FD75F8"/>
    <w:rsid w:val="00FD7621"/>
    <w:rsid w:val="00FD7701"/>
    <w:rsid w:val="00FD7764"/>
    <w:rsid w:val="00FD7B8C"/>
    <w:rsid w:val="00FD7D2A"/>
    <w:rsid w:val="00FD7D90"/>
    <w:rsid w:val="00FD7DBD"/>
    <w:rsid w:val="00FE0534"/>
    <w:rsid w:val="00FE07EE"/>
    <w:rsid w:val="00FE0EA8"/>
    <w:rsid w:val="00FE0F10"/>
    <w:rsid w:val="00FE12F7"/>
    <w:rsid w:val="00FE13DA"/>
    <w:rsid w:val="00FE16A8"/>
    <w:rsid w:val="00FE17E7"/>
    <w:rsid w:val="00FE1873"/>
    <w:rsid w:val="00FE1E7B"/>
    <w:rsid w:val="00FE2076"/>
    <w:rsid w:val="00FE2395"/>
    <w:rsid w:val="00FE27DE"/>
    <w:rsid w:val="00FE2848"/>
    <w:rsid w:val="00FE28D3"/>
    <w:rsid w:val="00FE2A56"/>
    <w:rsid w:val="00FE2B75"/>
    <w:rsid w:val="00FE3136"/>
    <w:rsid w:val="00FE3468"/>
    <w:rsid w:val="00FE3599"/>
    <w:rsid w:val="00FE35E1"/>
    <w:rsid w:val="00FE37D1"/>
    <w:rsid w:val="00FE3E8C"/>
    <w:rsid w:val="00FE412F"/>
    <w:rsid w:val="00FE4220"/>
    <w:rsid w:val="00FE43FF"/>
    <w:rsid w:val="00FE44E1"/>
    <w:rsid w:val="00FE46F8"/>
    <w:rsid w:val="00FE47E4"/>
    <w:rsid w:val="00FE4BA8"/>
    <w:rsid w:val="00FE4C47"/>
    <w:rsid w:val="00FE54BB"/>
    <w:rsid w:val="00FE54C7"/>
    <w:rsid w:val="00FE5508"/>
    <w:rsid w:val="00FE57B1"/>
    <w:rsid w:val="00FE584D"/>
    <w:rsid w:val="00FE59CB"/>
    <w:rsid w:val="00FE5AE9"/>
    <w:rsid w:val="00FE5AFE"/>
    <w:rsid w:val="00FE5B82"/>
    <w:rsid w:val="00FE5CE6"/>
    <w:rsid w:val="00FE605C"/>
    <w:rsid w:val="00FE6308"/>
    <w:rsid w:val="00FE643B"/>
    <w:rsid w:val="00FE6450"/>
    <w:rsid w:val="00FE673C"/>
    <w:rsid w:val="00FE6834"/>
    <w:rsid w:val="00FE6875"/>
    <w:rsid w:val="00FE68E5"/>
    <w:rsid w:val="00FE69DD"/>
    <w:rsid w:val="00FE6A6E"/>
    <w:rsid w:val="00FE6A8D"/>
    <w:rsid w:val="00FE6B43"/>
    <w:rsid w:val="00FE6B9C"/>
    <w:rsid w:val="00FE6C28"/>
    <w:rsid w:val="00FE6E41"/>
    <w:rsid w:val="00FE733A"/>
    <w:rsid w:val="00FE73B5"/>
    <w:rsid w:val="00FE746B"/>
    <w:rsid w:val="00FE74B2"/>
    <w:rsid w:val="00FE772B"/>
    <w:rsid w:val="00FE7917"/>
    <w:rsid w:val="00FE796D"/>
    <w:rsid w:val="00FE7C7B"/>
    <w:rsid w:val="00FE7F51"/>
    <w:rsid w:val="00FF0007"/>
    <w:rsid w:val="00FF029D"/>
    <w:rsid w:val="00FF0410"/>
    <w:rsid w:val="00FF04E5"/>
    <w:rsid w:val="00FF09AC"/>
    <w:rsid w:val="00FF0A50"/>
    <w:rsid w:val="00FF0AA0"/>
    <w:rsid w:val="00FF0B7E"/>
    <w:rsid w:val="00FF0C37"/>
    <w:rsid w:val="00FF0CA1"/>
    <w:rsid w:val="00FF0CB4"/>
    <w:rsid w:val="00FF0DA6"/>
    <w:rsid w:val="00FF0E44"/>
    <w:rsid w:val="00FF1057"/>
    <w:rsid w:val="00FF10A3"/>
    <w:rsid w:val="00FF10C7"/>
    <w:rsid w:val="00FF1234"/>
    <w:rsid w:val="00FF14B4"/>
    <w:rsid w:val="00FF151C"/>
    <w:rsid w:val="00FF16BD"/>
    <w:rsid w:val="00FF184D"/>
    <w:rsid w:val="00FF1AE4"/>
    <w:rsid w:val="00FF250B"/>
    <w:rsid w:val="00FF2547"/>
    <w:rsid w:val="00FF29A3"/>
    <w:rsid w:val="00FF2FFD"/>
    <w:rsid w:val="00FF32E5"/>
    <w:rsid w:val="00FF33F8"/>
    <w:rsid w:val="00FF36EC"/>
    <w:rsid w:val="00FF3A0F"/>
    <w:rsid w:val="00FF3D70"/>
    <w:rsid w:val="00FF4078"/>
    <w:rsid w:val="00FF407E"/>
    <w:rsid w:val="00FF4129"/>
    <w:rsid w:val="00FF4394"/>
    <w:rsid w:val="00FF44AA"/>
    <w:rsid w:val="00FF45EE"/>
    <w:rsid w:val="00FF476E"/>
    <w:rsid w:val="00FF482C"/>
    <w:rsid w:val="00FF4996"/>
    <w:rsid w:val="00FF518E"/>
    <w:rsid w:val="00FF532B"/>
    <w:rsid w:val="00FF55B7"/>
    <w:rsid w:val="00FF5626"/>
    <w:rsid w:val="00FF56CA"/>
    <w:rsid w:val="00FF577E"/>
    <w:rsid w:val="00FF5858"/>
    <w:rsid w:val="00FF5954"/>
    <w:rsid w:val="00FF59B4"/>
    <w:rsid w:val="00FF5AC4"/>
    <w:rsid w:val="00FF5B76"/>
    <w:rsid w:val="00FF5BA1"/>
    <w:rsid w:val="00FF5C13"/>
    <w:rsid w:val="00FF5D91"/>
    <w:rsid w:val="00FF5F2E"/>
    <w:rsid w:val="00FF5FE3"/>
    <w:rsid w:val="00FF604F"/>
    <w:rsid w:val="00FF62F5"/>
    <w:rsid w:val="00FF6452"/>
    <w:rsid w:val="00FF64F3"/>
    <w:rsid w:val="00FF672E"/>
    <w:rsid w:val="00FF6846"/>
    <w:rsid w:val="00FF69DA"/>
    <w:rsid w:val="00FF6B25"/>
    <w:rsid w:val="00FF6B83"/>
    <w:rsid w:val="00FF6C6A"/>
    <w:rsid w:val="00FF6D04"/>
    <w:rsid w:val="00FF6DB9"/>
    <w:rsid w:val="00FF6E23"/>
    <w:rsid w:val="00FF6F43"/>
    <w:rsid w:val="00FF713A"/>
    <w:rsid w:val="00FF7257"/>
    <w:rsid w:val="00FF7428"/>
    <w:rsid w:val="00FF743C"/>
    <w:rsid w:val="00FF7783"/>
    <w:rsid w:val="00FF79B2"/>
    <w:rsid w:val="00FF79B3"/>
    <w:rsid w:val="00FF7BC9"/>
    <w:rsid w:val="00FF7BD2"/>
    <w:rsid w:val="00FF7E1E"/>
    <w:rsid w:val="00FFA629"/>
    <w:rsid w:val="0104AC9E"/>
    <w:rsid w:val="010ADC83"/>
    <w:rsid w:val="0123BEBF"/>
    <w:rsid w:val="013FFEAD"/>
    <w:rsid w:val="015E907D"/>
    <w:rsid w:val="015F08BA"/>
    <w:rsid w:val="01719EA3"/>
    <w:rsid w:val="0173AC13"/>
    <w:rsid w:val="01919ED5"/>
    <w:rsid w:val="01A25F24"/>
    <w:rsid w:val="01D53E6E"/>
    <w:rsid w:val="01EBB76B"/>
    <w:rsid w:val="0229E993"/>
    <w:rsid w:val="025660F5"/>
    <w:rsid w:val="025BAC01"/>
    <w:rsid w:val="027E8057"/>
    <w:rsid w:val="028DFFD7"/>
    <w:rsid w:val="02900E62"/>
    <w:rsid w:val="029B411E"/>
    <w:rsid w:val="029C8E63"/>
    <w:rsid w:val="029F932F"/>
    <w:rsid w:val="02A49714"/>
    <w:rsid w:val="02ABC9E6"/>
    <w:rsid w:val="02BA015D"/>
    <w:rsid w:val="02BA093F"/>
    <w:rsid w:val="02D8AE7B"/>
    <w:rsid w:val="02E085F4"/>
    <w:rsid w:val="02F1DD85"/>
    <w:rsid w:val="02F4C2D0"/>
    <w:rsid w:val="032D93DF"/>
    <w:rsid w:val="0336B358"/>
    <w:rsid w:val="033DBFAE"/>
    <w:rsid w:val="034E0726"/>
    <w:rsid w:val="034EF72A"/>
    <w:rsid w:val="035284C7"/>
    <w:rsid w:val="035CF55D"/>
    <w:rsid w:val="0364BD0A"/>
    <w:rsid w:val="036BCC1A"/>
    <w:rsid w:val="03891CF7"/>
    <w:rsid w:val="0399953A"/>
    <w:rsid w:val="03B60A8A"/>
    <w:rsid w:val="03E073DC"/>
    <w:rsid w:val="0410EEBF"/>
    <w:rsid w:val="0414B096"/>
    <w:rsid w:val="041A2C60"/>
    <w:rsid w:val="041D7CA5"/>
    <w:rsid w:val="04222009"/>
    <w:rsid w:val="044CF592"/>
    <w:rsid w:val="044EDD71"/>
    <w:rsid w:val="04522FC7"/>
    <w:rsid w:val="0463D985"/>
    <w:rsid w:val="047D6002"/>
    <w:rsid w:val="048DFC8D"/>
    <w:rsid w:val="04B0204B"/>
    <w:rsid w:val="04B5E509"/>
    <w:rsid w:val="04C367D9"/>
    <w:rsid w:val="04CBE373"/>
    <w:rsid w:val="04CD69C2"/>
    <w:rsid w:val="04E66549"/>
    <w:rsid w:val="04FB85CA"/>
    <w:rsid w:val="05316DA3"/>
    <w:rsid w:val="05420AC3"/>
    <w:rsid w:val="054B562B"/>
    <w:rsid w:val="057094F5"/>
    <w:rsid w:val="05992B46"/>
    <w:rsid w:val="05B92DF9"/>
    <w:rsid w:val="05C45797"/>
    <w:rsid w:val="05EDCB2D"/>
    <w:rsid w:val="05FF734D"/>
    <w:rsid w:val="06058037"/>
    <w:rsid w:val="060BD890"/>
    <w:rsid w:val="061B6FBB"/>
    <w:rsid w:val="061E360D"/>
    <w:rsid w:val="06231C29"/>
    <w:rsid w:val="06279E17"/>
    <w:rsid w:val="0646CBF4"/>
    <w:rsid w:val="065B4522"/>
    <w:rsid w:val="066C1381"/>
    <w:rsid w:val="0673B335"/>
    <w:rsid w:val="069EAF6D"/>
    <w:rsid w:val="06C9EE59"/>
    <w:rsid w:val="06CF80B6"/>
    <w:rsid w:val="06D59710"/>
    <w:rsid w:val="06D5A8B3"/>
    <w:rsid w:val="06E6E80E"/>
    <w:rsid w:val="070B3CC7"/>
    <w:rsid w:val="0736C544"/>
    <w:rsid w:val="0737DD64"/>
    <w:rsid w:val="07388F21"/>
    <w:rsid w:val="074658C1"/>
    <w:rsid w:val="0747C42A"/>
    <w:rsid w:val="074E981E"/>
    <w:rsid w:val="075CCF09"/>
    <w:rsid w:val="0777C0F6"/>
    <w:rsid w:val="078A547A"/>
    <w:rsid w:val="07E290ED"/>
    <w:rsid w:val="082DA86E"/>
    <w:rsid w:val="086FFAA4"/>
    <w:rsid w:val="0880167E"/>
    <w:rsid w:val="08ADAB3E"/>
    <w:rsid w:val="08D64E81"/>
    <w:rsid w:val="09221EB8"/>
    <w:rsid w:val="093C118A"/>
    <w:rsid w:val="093E85B5"/>
    <w:rsid w:val="097879E1"/>
    <w:rsid w:val="09789F47"/>
    <w:rsid w:val="0985FC14"/>
    <w:rsid w:val="09AB5E96"/>
    <w:rsid w:val="09C28FDD"/>
    <w:rsid w:val="09EC0251"/>
    <w:rsid w:val="0A1EBD5B"/>
    <w:rsid w:val="0A4194DA"/>
    <w:rsid w:val="0A5B1DF4"/>
    <w:rsid w:val="0A69E8F9"/>
    <w:rsid w:val="0A6CC578"/>
    <w:rsid w:val="0A7D0D14"/>
    <w:rsid w:val="0A896105"/>
    <w:rsid w:val="0A8EB2AC"/>
    <w:rsid w:val="0A963287"/>
    <w:rsid w:val="0ACFB45E"/>
    <w:rsid w:val="0AD85DC4"/>
    <w:rsid w:val="0AD90679"/>
    <w:rsid w:val="0AE0293D"/>
    <w:rsid w:val="0AEF4F49"/>
    <w:rsid w:val="0AF6A069"/>
    <w:rsid w:val="0AF7A4E6"/>
    <w:rsid w:val="0B19FF3A"/>
    <w:rsid w:val="0B5E3D71"/>
    <w:rsid w:val="0B76FF1E"/>
    <w:rsid w:val="0B7AB69D"/>
    <w:rsid w:val="0B92F93C"/>
    <w:rsid w:val="0BA3BB56"/>
    <w:rsid w:val="0BEC20C7"/>
    <w:rsid w:val="0BF1194C"/>
    <w:rsid w:val="0BFF96FD"/>
    <w:rsid w:val="0C02A48F"/>
    <w:rsid w:val="0C12B369"/>
    <w:rsid w:val="0C19DEB8"/>
    <w:rsid w:val="0C2C36AB"/>
    <w:rsid w:val="0C46950E"/>
    <w:rsid w:val="0C4CB250"/>
    <w:rsid w:val="0C749FE7"/>
    <w:rsid w:val="0C816E29"/>
    <w:rsid w:val="0C9E7328"/>
    <w:rsid w:val="0CD5A698"/>
    <w:rsid w:val="0D054B88"/>
    <w:rsid w:val="0D1F7D93"/>
    <w:rsid w:val="0D2E341E"/>
    <w:rsid w:val="0D49F81D"/>
    <w:rsid w:val="0D5291C8"/>
    <w:rsid w:val="0D5F7064"/>
    <w:rsid w:val="0D8EEA97"/>
    <w:rsid w:val="0D972875"/>
    <w:rsid w:val="0D9B331B"/>
    <w:rsid w:val="0DB20BB7"/>
    <w:rsid w:val="0DB446CE"/>
    <w:rsid w:val="0DBC521F"/>
    <w:rsid w:val="0DBD6B15"/>
    <w:rsid w:val="0DE71E0C"/>
    <w:rsid w:val="0DF399D1"/>
    <w:rsid w:val="0E0E6CED"/>
    <w:rsid w:val="0E130B49"/>
    <w:rsid w:val="0E21873E"/>
    <w:rsid w:val="0E2F0AE4"/>
    <w:rsid w:val="0E35DB37"/>
    <w:rsid w:val="0E399A40"/>
    <w:rsid w:val="0E54FD06"/>
    <w:rsid w:val="0E6E2894"/>
    <w:rsid w:val="0E9BE70A"/>
    <w:rsid w:val="0EC07A4F"/>
    <w:rsid w:val="0EF0EF75"/>
    <w:rsid w:val="0F0DFF59"/>
    <w:rsid w:val="0F1D7FA1"/>
    <w:rsid w:val="0F42C003"/>
    <w:rsid w:val="0F5261E2"/>
    <w:rsid w:val="0F65353D"/>
    <w:rsid w:val="0F6B293E"/>
    <w:rsid w:val="0F944D15"/>
    <w:rsid w:val="0FB0B120"/>
    <w:rsid w:val="0FB171DF"/>
    <w:rsid w:val="0FBFB190"/>
    <w:rsid w:val="0FC3E35E"/>
    <w:rsid w:val="0FD5A71B"/>
    <w:rsid w:val="0FE75F1E"/>
    <w:rsid w:val="0FE85B43"/>
    <w:rsid w:val="1014F679"/>
    <w:rsid w:val="10748EA1"/>
    <w:rsid w:val="1074BD4C"/>
    <w:rsid w:val="109046CE"/>
    <w:rsid w:val="10B63333"/>
    <w:rsid w:val="10D6DA8F"/>
    <w:rsid w:val="10DD700B"/>
    <w:rsid w:val="10E8A221"/>
    <w:rsid w:val="11138338"/>
    <w:rsid w:val="113A77E9"/>
    <w:rsid w:val="115D0ABB"/>
    <w:rsid w:val="11631E2B"/>
    <w:rsid w:val="116F00A3"/>
    <w:rsid w:val="118006F4"/>
    <w:rsid w:val="1181F457"/>
    <w:rsid w:val="11A9B398"/>
    <w:rsid w:val="11B07FD0"/>
    <w:rsid w:val="11B86D58"/>
    <w:rsid w:val="11CA801F"/>
    <w:rsid w:val="11DBA568"/>
    <w:rsid w:val="11E1A637"/>
    <w:rsid w:val="12142196"/>
    <w:rsid w:val="122E311F"/>
    <w:rsid w:val="124761BB"/>
    <w:rsid w:val="1262F1E8"/>
    <w:rsid w:val="1291E415"/>
    <w:rsid w:val="12B2390C"/>
    <w:rsid w:val="12CD66E9"/>
    <w:rsid w:val="12E1238C"/>
    <w:rsid w:val="12E902A7"/>
    <w:rsid w:val="12EACFCF"/>
    <w:rsid w:val="12FA6148"/>
    <w:rsid w:val="1303AB47"/>
    <w:rsid w:val="130E7C50"/>
    <w:rsid w:val="13203F0C"/>
    <w:rsid w:val="1330B8D7"/>
    <w:rsid w:val="136CF968"/>
    <w:rsid w:val="1377318E"/>
    <w:rsid w:val="137D3040"/>
    <w:rsid w:val="137E42A3"/>
    <w:rsid w:val="13A04671"/>
    <w:rsid w:val="13B1C463"/>
    <w:rsid w:val="13E1C79B"/>
    <w:rsid w:val="13F7B5C5"/>
    <w:rsid w:val="13FA7F64"/>
    <w:rsid w:val="14001E12"/>
    <w:rsid w:val="1408ED83"/>
    <w:rsid w:val="1435F416"/>
    <w:rsid w:val="14439C68"/>
    <w:rsid w:val="145584EF"/>
    <w:rsid w:val="145DA389"/>
    <w:rsid w:val="147D8F39"/>
    <w:rsid w:val="14851194"/>
    <w:rsid w:val="14B426FC"/>
    <w:rsid w:val="14B77126"/>
    <w:rsid w:val="14B97AA0"/>
    <w:rsid w:val="14BA4612"/>
    <w:rsid w:val="14C88721"/>
    <w:rsid w:val="14F1F4EA"/>
    <w:rsid w:val="1517B2A2"/>
    <w:rsid w:val="153AF8CD"/>
    <w:rsid w:val="154B872F"/>
    <w:rsid w:val="154FB530"/>
    <w:rsid w:val="155505B8"/>
    <w:rsid w:val="1565FA54"/>
    <w:rsid w:val="1587EFAE"/>
    <w:rsid w:val="15C2FD16"/>
    <w:rsid w:val="15C4C7C9"/>
    <w:rsid w:val="161A046A"/>
    <w:rsid w:val="16207CE2"/>
    <w:rsid w:val="162B9BC5"/>
    <w:rsid w:val="16828DC0"/>
    <w:rsid w:val="16AA8C36"/>
    <w:rsid w:val="16B998EC"/>
    <w:rsid w:val="16D74D6B"/>
    <w:rsid w:val="16EA8DE8"/>
    <w:rsid w:val="16FC6A61"/>
    <w:rsid w:val="17061785"/>
    <w:rsid w:val="1709EDD3"/>
    <w:rsid w:val="170DC281"/>
    <w:rsid w:val="17117162"/>
    <w:rsid w:val="172336EA"/>
    <w:rsid w:val="173A7360"/>
    <w:rsid w:val="1747B183"/>
    <w:rsid w:val="1750533C"/>
    <w:rsid w:val="1769B74C"/>
    <w:rsid w:val="178CA5B1"/>
    <w:rsid w:val="179F93A9"/>
    <w:rsid w:val="17AA8DA9"/>
    <w:rsid w:val="17DBE23C"/>
    <w:rsid w:val="183C4BB3"/>
    <w:rsid w:val="1848628F"/>
    <w:rsid w:val="185EC3D8"/>
    <w:rsid w:val="186F6CF8"/>
    <w:rsid w:val="18862464"/>
    <w:rsid w:val="18A10191"/>
    <w:rsid w:val="18AF8D14"/>
    <w:rsid w:val="18CC851F"/>
    <w:rsid w:val="18E66B4D"/>
    <w:rsid w:val="1926B757"/>
    <w:rsid w:val="1927609D"/>
    <w:rsid w:val="192FAECC"/>
    <w:rsid w:val="196D9938"/>
    <w:rsid w:val="196FB0BA"/>
    <w:rsid w:val="1988D912"/>
    <w:rsid w:val="1996183F"/>
    <w:rsid w:val="19E5FBA4"/>
    <w:rsid w:val="1A004563"/>
    <w:rsid w:val="1A05BCC4"/>
    <w:rsid w:val="1A1E5837"/>
    <w:rsid w:val="1A3F2551"/>
    <w:rsid w:val="1A61B62C"/>
    <w:rsid w:val="1A6EE2E8"/>
    <w:rsid w:val="1A8C1A38"/>
    <w:rsid w:val="1AA3BE1A"/>
    <w:rsid w:val="1AB02AB9"/>
    <w:rsid w:val="1AB7129B"/>
    <w:rsid w:val="1AF3FF02"/>
    <w:rsid w:val="1B0C1604"/>
    <w:rsid w:val="1B247909"/>
    <w:rsid w:val="1B43B410"/>
    <w:rsid w:val="1B5B959F"/>
    <w:rsid w:val="1B6DDA83"/>
    <w:rsid w:val="1B754B99"/>
    <w:rsid w:val="1B7D60CA"/>
    <w:rsid w:val="1B823D58"/>
    <w:rsid w:val="1B8307AE"/>
    <w:rsid w:val="1BC59F8C"/>
    <w:rsid w:val="1BE4B01E"/>
    <w:rsid w:val="1BEE2787"/>
    <w:rsid w:val="1C0DC35C"/>
    <w:rsid w:val="1C300712"/>
    <w:rsid w:val="1C376E70"/>
    <w:rsid w:val="1C46F77F"/>
    <w:rsid w:val="1C5D4A32"/>
    <w:rsid w:val="1C60BBEA"/>
    <w:rsid w:val="1C699B42"/>
    <w:rsid w:val="1C840700"/>
    <w:rsid w:val="1CB6C4B4"/>
    <w:rsid w:val="1CC830C2"/>
    <w:rsid w:val="1CED8AC0"/>
    <w:rsid w:val="1CEE8B3F"/>
    <w:rsid w:val="1D0846D4"/>
    <w:rsid w:val="1D5E44F2"/>
    <w:rsid w:val="1D84DC4F"/>
    <w:rsid w:val="1DA1667E"/>
    <w:rsid w:val="1DA82ECE"/>
    <w:rsid w:val="1DC6716D"/>
    <w:rsid w:val="1DE949DF"/>
    <w:rsid w:val="1DF1AF60"/>
    <w:rsid w:val="1E0C35BB"/>
    <w:rsid w:val="1E2E469D"/>
    <w:rsid w:val="1E476B68"/>
    <w:rsid w:val="1E7C30FA"/>
    <w:rsid w:val="1EA2A398"/>
    <w:rsid w:val="1ED557F5"/>
    <w:rsid w:val="1EF59A13"/>
    <w:rsid w:val="1F0FDC81"/>
    <w:rsid w:val="1F3C6A58"/>
    <w:rsid w:val="1F3C8D23"/>
    <w:rsid w:val="1F40A65F"/>
    <w:rsid w:val="1F5A45BA"/>
    <w:rsid w:val="1F63EFF2"/>
    <w:rsid w:val="1F749088"/>
    <w:rsid w:val="1F7C3B81"/>
    <w:rsid w:val="1F8192C0"/>
    <w:rsid w:val="1F84A4A9"/>
    <w:rsid w:val="1FD6C639"/>
    <w:rsid w:val="1FE79E5C"/>
    <w:rsid w:val="1FFC7EA2"/>
    <w:rsid w:val="2016E579"/>
    <w:rsid w:val="2017898E"/>
    <w:rsid w:val="2027F1BA"/>
    <w:rsid w:val="202CCB03"/>
    <w:rsid w:val="202F7542"/>
    <w:rsid w:val="20467CD0"/>
    <w:rsid w:val="205D5B8E"/>
    <w:rsid w:val="20606FB8"/>
    <w:rsid w:val="206A84AE"/>
    <w:rsid w:val="209CD395"/>
    <w:rsid w:val="209F6106"/>
    <w:rsid w:val="20A2D761"/>
    <w:rsid w:val="20AEC64D"/>
    <w:rsid w:val="20B342C6"/>
    <w:rsid w:val="20D20EE7"/>
    <w:rsid w:val="20D2BCC6"/>
    <w:rsid w:val="20E08C84"/>
    <w:rsid w:val="20F1AD46"/>
    <w:rsid w:val="21052FDE"/>
    <w:rsid w:val="212FCBDE"/>
    <w:rsid w:val="213AFFDB"/>
    <w:rsid w:val="2152D401"/>
    <w:rsid w:val="218B92E1"/>
    <w:rsid w:val="219767D3"/>
    <w:rsid w:val="2197CE2D"/>
    <w:rsid w:val="21A76364"/>
    <w:rsid w:val="21DAEFF1"/>
    <w:rsid w:val="2213F925"/>
    <w:rsid w:val="222B77A6"/>
    <w:rsid w:val="22315C35"/>
    <w:rsid w:val="224B26A9"/>
    <w:rsid w:val="2257FCA2"/>
    <w:rsid w:val="227ECA33"/>
    <w:rsid w:val="2290700D"/>
    <w:rsid w:val="2294871A"/>
    <w:rsid w:val="22CE9601"/>
    <w:rsid w:val="22D248EF"/>
    <w:rsid w:val="22D6FD6C"/>
    <w:rsid w:val="2318770F"/>
    <w:rsid w:val="231881AE"/>
    <w:rsid w:val="231CDF6C"/>
    <w:rsid w:val="235ADBE4"/>
    <w:rsid w:val="238882EE"/>
    <w:rsid w:val="23B6805C"/>
    <w:rsid w:val="23C0E4B7"/>
    <w:rsid w:val="23C36A59"/>
    <w:rsid w:val="23F91E32"/>
    <w:rsid w:val="2431B3C5"/>
    <w:rsid w:val="246403AE"/>
    <w:rsid w:val="246DD909"/>
    <w:rsid w:val="2485931A"/>
    <w:rsid w:val="24891F19"/>
    <w:rsid w:val="248A19F7"/>
    <w:rsid w:val="248EA9DF"/>
    <w:rsid w:val="2496A718"/>
    <w:rsid w:val="24A14C12"/>
    <w:rsid w:val="24A51CD0"/>
    <w:rsid w:val="24ACAD04"/>
    <w:rsid w:val="24BA83A7"/>
    <w:rsid w:val="24BC897C"/>
    <w:rsid w:val="24C64841"/>
    <w:rsid w:val="24EC132B"/>
    <w:rsid w:val="24EE9874"/>
    <w:rsid w:val="2509EE5E"/>
    <w:rsid w:val="250DE62C"/>
    <w:rsid w:val="25217EB6"/>
    <w:rsid w:val="25470230"/>
    <w:rsid w:val="254B29F1"/>
    <w:rsid w:val="2569A39F"/>
    <w:rsid w:val="256B56CD"/>
    <w:rsid w:val="257FBCBA"/>
    <w:rsid w:val="258F8733"/>
    <w:rsid w:val="2590B5B1"/>
    <w:rsid w:val="2599C877"/>
    <w:rsid w:val="25C43CBC"/>
    <w:rsid w:val="25CDC436"/>
    <w:rsid w:val="25F117BB"/>
    <w:rsid w:val="25F9294D"/>
    <w:rsid w:val="25FE3089"/>
    <w:rsid w:val="260C0534"/>
    <w:rsid w:val="26186250"/>
    <w:rsid w:val="26355D79"/>
    <w:rsid w:val="263C30D6"/>
    <w:rsid w:val="26436DAF"/>
    <w:rsid w:val="264E6DD8"/>
    <w:rsid w:val="2667FDF9"/>
    <w:rsid w:val="2676A6C7"/>
    <w:rsid w:val="267B1ABF"/>
    <w:rsid w:val="267BF074"/>
    <w:rsid w:val="26B43DE0"/>
    <w:rsid w:val="26C1D17D"/>
    <w:rsid w:val="26CC7D8C"/>
    <w:rsid w:val="26D6BE41"/>
    <w:rsid w:val="26E3F867"/>
    <w:rsid w:val="26F8F6E8"/>
    <w:rsid w:val="271A2289"/>
    <w:rsid w:val="27348434"/>
    <w:rsid w:val="274104CD"/>
    <w:rsid w:val="2762B79E"/>
    <w:rsid w:val="27715F62"/>
    <w:rsid w:val="27781B58"/>
    <w:rsid w:val="2785F133"/>
    <w:rsid w:val="27989A7F"/>
    <w:rsid w:val="27AE7B9C"/>
    <w:rsid w:val="27BCA907"/>
    <w:rsid w:val="27D0F2D2"/>
    <w:rsid w:val="27D2B8C8"/>
    <w:rsid w:val="27F1CF73"/>
    <w:rsid w:val="2838B967"/>
    <w:rsid w:val="28752750"/>
    <w:rsid w:val="2889E7EF"/>
    <w:rsid w:val="28B12CAC"/>
    <w:rsid w:val="28BA4263"/>
    <w:rsid w:val="291F8D6D"/>
    <w:rsid w:val="29237845"/>
    <w:rsid w:val="292EDFE5"/>
    <w:rsid w:val="2975E364"/>
    <w:rsid w:val="297E97AB"/>
    <w:rsid w:val="298B4FE1"/>
    <w:rsid w:val="29C6F2A6"/>
    <w:rsid w:val="29D67806"/>
    <w:rsid w:val="2A0EA384"/>
    <w:rsid w:val="2A10F779"/>
    <w:rsid w:val="2A1AB78B"/>
    <w:rsid w:val="2A4FB062"/>
    <w:rsid w:val="2A7A13B8"/>
    <w:rsid w:val="2A9EC4AB"/>
    <w:rsid w:val="2AC630A7"/>
    <w:rsid w:val="2ADE8FFA"/>
    <w:rsid w:val="2AF34A2A"/>
    <w:rsid w:val="2B423AE3"/>
    <w:rsid w:val="2B52D202"/>
    <w:rsid w:val="2B532750"/>
    <w:rsid w:val="2B68B187"/>
    <w:rsid w:val="2B6E70B2"/>
    <w:rsid w:val="2BBC65B2"/>
    <w:rsid w:val="2BE5CC63"/>
    <w:rsid w:val="2BEA5794"/>
    <w:rsid w:val="2C2E944C"/>
    <w:rsid w:val="2C424543"/>
    <w:rsid w:val="2C464E71"/>
    <w:rsid w:val="2C4D478A"/>
    <w:rsid w:val="2C790281"/>
    <w:rsid w:val="2C7F8019"/>
    <w:rsid w:val="2C8186D5"/>
    <w:rsid w:val="2CB939DA"/>
    <w:rsid w:val="2CCD6C02"/>
    <w:rsid w:val="2CEA7D31"/>
    <w:rsid w:val="2CFDE8A6"/>
    <w:rsid w:val="2D0BB8F9"/>
    <w:rsid w:val="2D0BC73F"/>
    <w:rsid w:val="2D344980"/>
    <w:rsid w:val="2D3BFAB6"/>
    <w:rsid w:val="2D3F5A78"/>
    <w:rsid w:val="2D47697B"/>
    <w:rsid w:val="2D503A38"/>
    <w:rsid w:val="2D51144A"/>
    <w:rsid w:val="2D5F14D0"/>
    <w:rsid w:val="2D69CF61"/>
    <w:rsid w:val="2D75F61D"/>
    <w:rsid w:val="2D920D7F"/>
    <w:rsid w:val="2D94B794"/>
    <w:rsid w:val="2DA49638"/>
    <w:rsid w:val="2DAE0D9F"/>
    <w:rsid w:val="2DB59DC3"/>
    <w:rsid w:val="2DB614ED"/>
    <w:rsid w:val="2DC20F52"/>
    <w:rsid w:val="2DE2AF72"/>
    <w:rsid w:val="2DF8CC76"/>
    <w:rsid w:val="2E4B8D39"/>
    <w:rsid w:val="2E5FC8F6"/>
    <w:rsid w:val="2E7117B0"/>
    <w:rsid w:val="2E7E0B12"/>
    <w:rsid w:val="2E88A0D9"/>
    <w:rsid w:val="2EA2B495"/>
    <w:rsid w:val="2EB9C7EB"/>
    <w:rsid w:val="2EBF0981"/>
    <w:rsid w:val="2EE9EA6E"/>
    <w:rsid w:val="2EF55C5C"/>
    <w:rsid w:val="2EFB08ED"/>
    <w:rsid w:val="2F013FD5"/>
    <w:rsid w:val="2F1BD342"/>
    <w:rsid w:val="2F1EF44B"/>
    <w:rsid w:val="2F28CC65"/>
    <w:rsid w:val="2F2B4A31"/>
    <w:rsid w:val="2F2F6E58"/>
    <w:rsid w:val="2F521ECE"/>
    <w:rsid w:val="2F5388FE"/>
    <w:rsid w:val="2F8D0C76"/>
    <w:rsid w:val="2F98735D"/>
    <w:rsid w:val="2FA01C21"/>
    <w:rsid w:val="2FA2359B"/>
    <w:rsid w:val="2FBA068E"/>
    <w:rsid w:val="2FC7E882"/>
    <w:rsid w:val="2FFE9C7B"/>
    <w:rsid w:val="300AD8BB"/>
    <w:rsid w:val="3017B424"/>
    <w:rsid w:val="30452F9A"/>
    <w:rsid w:val="30526BCD"/>
    <w:rsid w:val="30639E69"/>
    <w:rsid w:val="30688F82"/>
    <w:rsid w:val="30712577"/>
    <w:rsid w:val="308FCAC4"/>
    <w:rsid w:val="30AFFB97"/>
    <w:rsid w:val="30BB1A95"/>
    <w:rsid w:val="30CFF1B1"/>
    <w:rsid w:val="30F53F11"/>
    <w:rsid w:val="30F66D80"/>
    <w:rsid w:val="31019AE1"/>
    <w:rsid w:val="310ED48D"/>
    <w:rsid w:val="3117F799"/>
    <w:rsid w:val="313A0EDB"/>
    <w:rsid w:val="316663BD"/>
    <w:rsid w:val="3168C989"/>
    <w:rsid w:val="316AC17A"/>
    <w:rsid w:val="316DCA15"/>
    <w:rsid w:val="316DFBCE"/>
    <w:rsid w:val="31737C4D"/>
    <w:rsid w:val="31B9BBA6"/>
    <w:rsid w:val="31BEE475"/>
    <w:rsid w:val="31C8EF27"/>
    <w:rsid w:val="31DADFE7"/>
    <w:rsid w:val="31DBB93B"/>
    <w:rsid w:val="31DC897B"/>
    <w:rsid w:val="3203A61C"/>
    <w:rsid w:val="32068F24"/>
    <w:rsid w:val="32366FBC"/>
    <w:rsid w:val="32458B7C"/>
    <w:rsid w:val="325103B4"/>
    <w:rsid w:val="3263DE05"/>
    <w:rsid w:val="32668945"/>
    <w:rsid w:val="32BDB529"/>
    <w:rsid w:val="32D433D8"/>
    <w:rsid w:val="32D52221"/>
    <w:rsid w:val="32D52D87"/>
    <w:rsid w:val="32EEBEBA"/>
    <w:rsid w:val="330B552D"/>
    <w:rsid w:val="33216DF4"/>
    <w:rsid w:val="33266CE1"/>
    <w:rsid w:val="332906B9"/>
    <w:rsid w:val="3338C2E6"/>
    <w:rsid w:val="33610A8B"/>
    <w:rsid w:val="337E79D9"/>
    <w:rsid w:val="338DD02B"/>
    <w:rsid w:val="339166F2"/>
    <w:rsid w:val="339A5B08"/>
    <w:rsid w:val="339BA3A0"/>
    <w:rsid w:val="339DA30E"/>
    <w:rsid w:val="33ACB33A"/>
    <w:rsid w:val="33CA51F9"/>
    <w:rsid w:val="342973E2"/>
    <w:rsid w:val="34554EDE"/>
    <w:rsid w:val="3467484C"/>
    <w:rsid w:val="346DD12F"/>
    <w:rsid w:val="3495C765"/>
    <w:rsid w:val="34A4CD25"/>
    <w:rsid w:val="34AF716E"/>
    <w:rsid w:val="34AFFE9A"/>
    <w:rsid w:val="34C1CCE0"/>
    <w:rsid w:val="34E09A6D"/>
    <w:rsid w:val="34E91836"/>
    <w:rsid w:val="3520A949"/>
    <w:rsid w:val="354A0993"/>
    <w:rsid w:val="35900C00"/>
    <w:rsid w:val="35AE81F9"/>
    <w:rsid w:val="35B602A6"/>
    <w:rsid w:val="35C7746D"/>
    <w:rsid w:val="35D2E090"/>
    <w:rsid w:val="35F46744"/>
    <w:rsid w:val="36054E49"/>
    <w:rsid w:val="3639BC11"/>
    <w:rsid w:val="3646085E"/>
    <w:rsid w:val="3648D913"/>
    <w:rsid w:val="3654A887"/>
    <w:rsid w:val="3695653B"/>
    <w:rsid w:val="36A6B65F"/>
    <w:rsid w:val="36B12043"/>
    <w:rsid w:val="36B3A80A"/>
    <w:rsid w:val="36CB83DF"/>
    <w:rsid w:val="36DCB2F9"/>
    <w:rsid w:val="371BA817"/>
    <w:rsid w:val="37318EF0"/>
    <w:rsid w:val="37519046"/>
    <w:rsid w:val="3754BFF7"/>
    <w:rsid w:val="3761E27E"/>
    <w:rsid w:val="377A65D8"/>
    <w:rsid w:val="378F184C"/>
    <w:rsid w:val="3799BC2F"/>
    <w:rsid w:val="37BD46CE"/>
    <w:rsid w:val="37CF9048"/>
    <w:rsid w:val="37E75969"/>
    <w:rsid w:val="37FC6E2A"/>
    <w:rsid w:val="3815FDF8"/>
    <w:rsid w:val="3835A9A1"/>
    <w:rsid w:val="385F2894"/>
    <w:rsid w:val="38608306"/>
    <w:rsid w:val="3872BBFE"/>
    <w:rsid w:val="387C8757"/>
    <w:rsid w:val="3883D05E"/>
    <w:rsid w:val="38990748"/>
    <w:rsid w:val="38B0A041"/>
    <w:rsid w:val="38B9DE0D"/>
    <w:rsid w:val="38CA38A9"/>
    <w:rsid w:val="38E638D2"/>
    <w:rsid w:val="38F4CDB5"/>
    <w:rsid w:val="39186B6A"/>
    <w:rsid w:val="39429ADD"/>
    <w:rsid w:val="39569188"/>
    <w:rsid w:val="3978BCAD"/>
    <w:rsid w:val="3996EC58"/>
    <w:rsid w:val="39B353A5"/>
    <w:rsid w:val="39B3B24F"/>
    <w:rsid w:val="39B9F510"/>
    <w:rsid w:val="3A262290"/>
    <w:rsid w:val="3A3F06F4"/>
    <w:rsid w:val="3A41C5EA"/>
    <w:rsid w:val="3A4B6797"/>
    <w:rsid w:val="3A4E4A83"/>
    <w:rsid w:val="3A53419B"/>
    <w:rsid w:val="3A537EA6"/>
    <w:rsid w:val="3A56A6F3"/>
    <w:rsid w:val="3A5994CC"/>
    <w:rsid w:val="3A7381AF"/>
    <w:rsid w:val="3A85BE69"/>
    <w:rsid w:val="3A9F7600"/>
    <w:rsid w:val="3AB2C5EF"/>
    <w:rsid w:val="3ABD1038"/>
    <w:rsid w:val="3AD74A67"/>
    <w:rsid w:val="3AD82F65"/>
    <w:rsid w:val="3AF4BF0B"/>
    <w:rsid w:val="3AFE093A"/>
    <w:rsid w:val="3B0FADBD"/>
    <w:rsid w:val="3B3E510E"/>
    <w:rsid w:val="3B4E9E98"/>
    <w:rsid w:val="3B53BF39"/>
    <w:rsid w:val="3B5BDFAB"/>
    <w:rsid w:val="3B625D11"/>
    <w:rsid w:val="3B62D14C"/>
    <w:rsid w:val="3B6B46E8"/>
    <w:rsid w:val="3B6DE1D8"/>
    <w:rsid w:val="3B75FD5D"/>
    <w:rsid w:val="3B8AF67F"/>
    <w:rsid w:val="3B93060F"/>
    <w:rsid w:val="3B9DDAFF"/>
    <w:rsid w:val="3BA0BA47"/>
    <w:rsid w:val="3BAE303C"/>
    <w:rsid w:val="3BB8A97E"/>
    <w:rsid w:val="3BD85712"/>
    <w:rsid w:val="3C1B5C0C"/>
    <w:rsid w:val="3C20DE95"/>
    <w:rsid w:val="3C42CB19"/>
    <w:rsid w:val="3C46310C"/>
    <w:rsid w:val="3C825AA6"/>
    <w:rsid w:val="3C85F260"/>
    <w:rsid w:val="3CBD2623"/>
    <w:rsid w:val="3CCE67D2"/>
    <w:rsid w:val="3CD36DFE"/>
    <w:rsid w:val="3CE39FB1"/>
    <w:rsid w:val="3CE4C5E7"/>
    <w:rsid w:val="3CE7E107"/>
    <w:rsid w:val="3CF2C432"/>
    <w:rsid w:val="3D0771C2"/>
    <w:rsid w:val="3D1CE7CA"/>
    <w:rsid w:val="3D1D9CA5"/>
    <w:rsid w:val="3D59CC86"/>
    <w:rsid w:val="3D5C0CE6"/>
    <w:rsid w:val="3D9EC4DB"/>
    <w:rsid w:val="3DC32DC0"/>
    <w:rsid w:val="3DDE941C"/>
    <w:rsid w:val="3DF36EFE"/>
    <w:rsid w:val="3E0D1DED"/>
    <w:rsid w:val="3E142D07"/>
    <w:rsid w:val="3E219463"/>
    <w:rsid w:val="3E378A81"/>
    <w:rsid w:val="3E4D9C42"/>
    <w:rsid w:val="3E55EC3C"/>
    <w:rsid w:val="3E5BECE1"/>
    <w:rsid w:val="3E8B2713"/>
    <w:rsid w:val="3EAD0A50"/>
    <w:rsid w:val="3EB22084"/>
    <w:rsid w:val="3EB5A30C"/>
    <w:rsid w:val="3EBDE138"/>
    <w:rsid w:val="3EC057DD"/>
    <w:rsid w:val="3ED81B4B"/>
    <w:rsid w:val="3F0D04B0"/>
    <w:rsid w:val="3F2F23BF"/>
    <w:rsid w:val="3F5D6A60"/>
    <w:rsid w:val="3F7E4011"/>
    <w:rsid w:val="3F88E078"/>
    <w:rsid w:val="3F98859D"/>
    <w:rsid w:val="3FB3565B"/>
    <w:rsid w:val="3FB382CE"/>
    <w:rsid w:val="3FC64497"/>
    <w:rsid w:val="3FCAC5B9"/>
    <w:rsid w:val="3FF669D9"/>
    <w:rsid w:val="40028AAD"/>
    <w:rsid w:val="40069021"/>
    <w:rsid w:val="401EAB63"/>
    <w:rsid w:val="40266F8C"/>
    <w:rsid w:val="40427B5D"/>
    <w:rsid w:val="40732C6D"/>
    <w:rsid w:val="40A5A1B5"/>
    <w:rsid w:val="40BDBA6E"/>
    <w:rsid w:val="40C15DDB"/>
    <w:rsid w:val="40C713AC"/>
    <w:rsid w:val="40E1A1EF"/>
    <w:rsid w:val="40E9B0A9"/>
    <w:rsid w:val="40EE415D"/>
    <w:rsid w:val="40F7C2AD"/>
    <w:rsid w:val="40FD928B"/>
    <w:rsid w:val="41539DCF"/>
    <w:rsid w:val="415CCF48"/>
    <w:rsid w:val="415DCFAA"/>
    <w:rsid w:val="4164C08F"/>
    <w:rsid w:val="4166C23B"/>
    <w:rsid w:val="416C805E"/>
    <w:rsid w:val="41B1123C"/>
    <w:rsid w:val="41B11F3F"/>
    <w:rsid w:val="41CEAEFE"/>
    <w:rsid w:val="41E3D5D0"/>
    <w:rsid w:val="4211EB33"/>
    <w:rsid w:val="42183349"/>
    <w:rsid w:val="421DA038"/>
    <w:rsid w:val="423B7756"/>
    <w:rsid w:val="425551B0"/>
    <w:rsid w:val="42582FE0"/>
    <w:rsid w:val="425A1C74"/>
    <w:rsid w:val="425AA962"/>
    <w:rsid w:val="425E650D"/>
    <w:rsid w:val="427AE9AB"/>
    <w:rsid w:val="42B288B5"/>
    <w:rsid w:val="42BC43AC"/>
    <w:rsid w:val="42C2CE56"/>
    <w:rsid w:val="430CB377"/>
    <w:rsid w:val="431ABD8A"/>
    <w:rsid w:val="433E72AB"/>
    <w:rsid w:val="435957F1"/>
    <w:rsid w:val="437CB5CE"/>
    <w:rsid w:val="437E06EE"/>
    <w:rsid w:val="43C04939"/>
    <w:rsid w:val="440641C7"/>
    <w:rsid w:val="440A6DAB"/>
    <w:rsid w:val="44210C24"/>
    <w:rsid w:val="442C56E8"/>
    <w:rsid w:val="442DA4AB"/>
    <w:rsid w:val="4445355C"/>
    <w:rsid w:val="445F0D1D"/>
    <w:rsid w:val="44655BC2"/>
    <w:rsid w:val="4485B583"/>
    <w:rsid w:val="44924CE5"/>
    <w:rsid w:val="44CBAB2A"/>
    <w:rsid w:val="44E1E278"/>
    <w:rsid w:val="44ED86A5"/>
    <w:rsid w:val="44F92DD1"/>
    <w:rsid w:val="45324FB8"/>
    <w:rsid w:val="4534F43C"/>
    <w:rsid w:val="453E9689"/>
    <w:rsid w:val="454FEA0E"/>
    <w:rsid w:val="456B75B0"/>
    <w:rsid w:val="458A046D"/>
    <w:rsid w:val="458CAF6F"/>
    <w:rsid w:val="458E61B9"/>
    <w:rsid w:val="45A34115"/>
    <w:rsid w:val="45B27F88"/>
    <w:rsid w:val="45C2DB37"/>
    <w:rsid w:val="45CE625F"/>
    <w:rsid w:val="45D3EC6C"/>
    <w:rsid w:val="45E346A8"/>
    <w:rsid w:val="46099C17"/>
    <w:rsid w:val="4613D4EB"/>
    <w:rsid w:val="462C42C5"/>
    <w:rsid w:val="46392AB8"/>
    <w:rsid w:val="4690E4F5"/>
    <w:rsid w:val="46A1DDC5"/>
    <w:rsid w:val="46A82486"/>
    <w:rsid w:val="46C68EC6"/>
    <w:rsid w:val="46CB6788"/>
    <w:rsid w:val="46E36987"/>
    <w:rsid w:val="47142111"/>
    <w:rsid w:val="472CBEF2"/>
    <w:rsid w:val="47384D43"/>
    <w:rsid w:val="474DD1CA"/>
    <w:rsid w:val="4755F7C4"/>
    <w:rsid w:val="477A308C"/>
    <w:rsid w:val="4785F5D1"/>
    <w:rsid w:val="478D0654"/>
    <w:rsid w:val="47C39DB3"/>
    <w:rsid w:val="47D10CF7"/>
    <w:rsid w:val="47E4996F"/>
    <w:rsid w:val="48072A36"/>
    <w:rsid w:val="480E3EB8"/>
    <w:rsid w:val="4829B17F"/>
    <w:rsid w:val="4840C815"/>
    <w:rsid w:val="4866765A"/>
    <w:rsid w:val="4867623E"/>
    <w:rsid w:val="487FE1BE"/>
    <w:rsid w:val="48A8B7B1"/>
    <w:rsid w:val="48BB13A3"/>
    <w:rsid w:val="48C62D35"/>
    <w:rsid w:val="48F49182"/>
    <w:rsid w:val="49061B7C"/>
    <w:rsid w:val="4911CEDB"/>
    <w:rsid w:val="493C7456"/>
    <w:rsid w:val="4955D175"/>
    <w:rsid w:val="49733F7F"/>
    <w:rsid w:val="49AA52CE"/>
    <w:rsid w:val="49B5C6AC"/>
    <w:rsid w:val="49F2BB66"/>
    <w:rsid w:val="49F5CF6A"/>
    <w:rsid w:val="4A42B4C2"/>
    <w:rsid w:val="4A4A405F"/>
    <w:rsid w:val="4A62DE0E"/>
    <w:rsid w:val="4A7B6D27"/>
    <w:rsid w:val="4A8DC324"/>
    <w:rsid w:val="4A97D772"/>
    <w:rsid w:val="4AA41291"/>
    <w:rsid w:val="4AC656F7"/>
    <w:rsid w:val="4AE77FF1"/>
    <w:rsid w:val="4AFE09D3"/>
    <w:rsid w:val="4B0BB8A0"/>
    <w:rsid w:val="4B38091F"/>
    <w:rsid w:val="4B39E835"/>
    <w:rsid w:val="4B4BBFDC"/>
    <w:rsid w:val="4B55E3FB"/>
    <w:rsid w:val="4B5FA894"/>
    <w:rsid w:val="4B7AAD3F"/>
    <w:rsid w:val="4B88F766"/>
    <w:rsid w:val="4B8FFBBA"/>
    <w:rsid w:val="4B961BED"/>
    <w:rsid w:val="4B9F9090"/>
    <w:rsid w:val="4BA08D0A"/>
    <w:rsid w:val="4BABAAFC"/>
    <w:rsid w:val="4BB069DB"/>
    <w:rsid w:val="4BEC1077"/>
    <w:rsid w:val="4BED147F"/>
    <w:rsid w:val="4C3835B2"/>
    <w:rsid w:val="4C569722"/>
    <w:rsid w:val="4C60ABEE"/>
    <w:rsid w:val="4C6CE377"/>
    <w:rsid w:val="4C8361BD"/>
    <w:rsid w:val="4C843850"/>
    <w:rsid w:val="4C9A3D62"/>
    <w:rsid w:val="4CB1FC11"/>
    <w:rsid w:val="4CBED48E"/>
    <w:rsid w:val="4CD2A389"/>
    <w:rsid w:val="4D62FEF9"/>
    <w:rsid w:val="4D6C340C"/>
    <w:rsid w:val="4D706679"/>
    <w:rsid w:val="4D873CDB"/>
    <w:rsid w:val="4D8C98C7"/>
    <w:rsid w:val="4D9843FC"/>
    <w:rsid w:val="4DA2485F"/>
    <w:rsid w:val="4DA27B32"/>
    <w:rsid w:val="4DA7124C"/>
    <w:rsid w:val="4DC26CDD"/>
    <w:rsid w:val="4DC42AC2"/>
    <w:rsid w:val="4DE452D2"/>
    <w:rsid w:val="4DE7DD02"/>
    <w:rsid w:val="4DEBAC8F"/>
    <w:rsid w:val="4E049961"/>
    <w:rsid w:val="4E5907EA"/>
    <w:rsid w:val="4E5CC891"/>
    <w:rsid w:val="4E5D2338"/>
    <w:rsid w:val="4E71DDE2"/>
    <w:rsid w:val="4E98FA16"/>
    <w:rsid w:val="4E9F8AD3"/>
    <w:rsid w:val="4EA8D91A"/>
    <w:rsid w:val="4EBBAFCA"/>
    <w:rsid w:val="4EE0908A"/>
    <w:rsid w:val="4EE67BAA"/>
    <w:rsid w:val="4EF9A4C9"/>
    <w:rsid w:val="4EFA60F3"/>
    <w:rsid w:val="4F08D360"/>
    <w:rsid w:val="4F278B5D"/>
    <w:rsid w:val="4F28784F"/>
    <w:rsid w:val="4F3C8849"/>
    <w:rsid w:val="4F4F5761"/>
    <w:rsid w:val="4F694DF7"/>
    <w:rsid w:val="4F7667DD"/>
    <w:rsid w:val="4F904C88"/>
    <w:rsid w:val="4FAB8742"/>
    <w:rsid w:val="4FB2A917"/>
    <w:rsid w:val="4FE2D977"/>
    <w:rsid w:val="4FE4A77C"/>
    <w:rsid w:val="4FFC4710"/>
    <w:rsid w:val="4FFE5692"/>
    <w:rsid w:val="500B6B39"/>
    <w:rsid w:val="5040A454"/>
    <w:rsid w:val="506DEB62"/>
    <w:rsid w:val="5079BD07"/>
    <w:rsid w:val="508F4AC1"/>
    <w:rsid w:val="50AACDB9"/>
    <w:rsid w:val="50BFE233"/>
    <w:rsid w:val="50D36640"/>
    <w:rsid w:val="50E8762A"/>
    <w:rsid w:val="50F51362"/>
    <w:rsid w:val="51255BA1"/>
    <w:rsid w:val="5174E000"/>
    <w:rsid w:val="517BBA5A"/>
    <w:rsid w:val="519318FE"/>
    <w:rsid w:val="5196A7D6"/>
    <w:rsid w:val="51B08FFB"/>
    <w:rsid w:val="51BD8E8B"/>
    <w:rsid w:val="51D681A3"/>
    <w:rsid w:val="51E29039"/>
    <w:rsid w:val="51F95B84"/>
    <w:rsid w:val="51FFD892"/>
    <w:rsid w:val="522E649B"/>
    <w:rsid w:val="522F1ACC"/>
    <w:rsid w:val="527AC0C1"/>
    <w:rsid w:val="527F223E"/>
    <w:rsid w:val="52B3BE24"/>
    <w:rsid w:val="52BEE6A1"/>
    <w:rsid w:val="52C96EB4"/>
    <w:rsid w:val="52CAB468"/>
    <w:rsid w:val="52D2D738"/>
    <w:rsid w:val="52DABF6F"/>
    <w:rsid w:val="52F0ABFD"/>
    <w:rsid w:val="530BEC30"/>
    <w:rsid w:val="53115AF9"/>
    <w:rsid w:val="53138C20"/>
    <w:rsid w:val="5329E6D8"/>
    <w:rsid w:val="532E2084"/>
    <w:rsid w:val="53355B42"/>
    <w:rsid w:val="53383BEB"/>
    <w:rsid w:val="53397B36"/>
    <w:rsid w:val="534FD428"/>
    <w:rsid w:val="536D5AA9"/>
    <w:rsid w:val="53726489"/>
    <w:rsid w:val="53779EAB"/>
    <w:rsid w:val="5378B887"/>
    <w:rsid w:val="537A2F1D"/>
    <w:rsid w:val="5389EC91"/>
    <w:rsid w:val="53AB5916"/>
    <w:rsid w:val="53B6E16D"/>
    <w:rsid w:val="53B7E2E6"/>
    <w:rsid w:val="53DAF8B3"/>
    <w:rsid w:val="53FBB5A9"/>
    <w:rsid w:val="53FF29B2"/>
    <w:rsid w:val="541B1B91"/>
    <w:rsid w:val="544072EA"/>
    <w:rsid w:val="544BC148"/>
    <w:rsid w:val="5452FC59"/>
    <w:rsid w:val="549D0B55"/>
    <w:rsid w:val="54A74A31"/>
    <w:rsid w:val="54D30E24"/>
    <w:rsid w:val="54E6BD4B"/>
    <w:rsid w:val="54E97C83"/>
    <w:rsid w:val="54F3418E"/>
    <w:rsid w:val="5509ECA6"/>
    <w:rsid w:val="551605AF"/>
    <w:rsid w:val="554E05C0"/>
    <w:rsid w:val="554EA84D"/>
    <w:rsid w:val="55500B40"/>
    <w:rsid w:val="5550A30D"/>
    <w:rsid w:val="558CDCB7"/>
    <w:rsid w:val="558F03FA"/>
    <w:rsid w:val="559874DF"/>
    <w:rsid w:val="55C443B6"/>
    <w:rsid w:val="55D6A045"/>
    <w:rsid w:val="55DB8E7E"/>
    <w:rsid w:val="55DCC846"/>
    <w:rsid w:val="55F15EBB"/>
    <w:rsid w:val="560B21E1"/>
    <w:rsid w:val="560B2603"/>
    <w:rsid w:val="561FB447"/>
    <w:rsid w:val="562503FD"/>
    <w:rsid w:val="562E803E"/>
    <w:rsid w:val="563B82B7"/>
    <w:rsid w:val="5642118E"/>
    <w:rsid w:val="5669188C"/>
    <w:rsid w:val="56714397"/>
    <w:rsid w:val="56BE8DB6"/>
    <w:rsid w:val="56E2E25F"/>
    <w:rsid w:val="5713CA8C"/>
    <w:rsid w:val="57492DBD"/>
    <w:rsid w:val="5749D6DD"/>
    <w:rsid w:val="57703168"/>
    <w:rsid w:val="57756812"/>
    <w:rsid w:val="5795D9BA"/>
    <w:rsid w:val="579BC8D2"/>
    <w:rsid w:val="57A73559"/>
    <w:rsid w:val="57A955FF"/>
    <w:rsid w:val="57B77EA2"/>
    <w:rsid w:val="57DB4525"/>
    <w:rsid w:val="580E0AF1"/>
    <w:rsid w:val="58238EA2"/>
    <w:rsid w:val="582B32D9"/>
    <w:rsid w:val="5833352F"/>
    <w:rsid w:val="583348BE"/>
    <w:rsid w:val="58458D67"/>
    <w:rsid w:val="585DB987"/>
    <w:rsid w:val="58BEEEDE"/>
    <w:rsid w:val="58C5142D"/>
    <w:rsid w:val="58D74BE2"/>
    <w:rsid w:val="58FA5112"/>
    <w:rsid w:val="590B999A"/>
    <w:rsid w:val="591497C9"/>
    <w:rsid w:val="591F55DF"/>
    <w:rsid w:val="5922D502"/>
    <w:rsid w:val="59267FD5"/>
    <w:rsid w:val="59270445"/>
    <w:rsid w:val="593310FF"/>
    <w:rsid w:val="594AFF2C"/>
    <w:rsid w:val="5978B5AC"/>
    <w:rsid w:val="5979A2BB"/>
    <w:rsid w:val="597D76F6"/>
    <w:rsid w:val="5985D8AF"/>
    <w:rsid w:val="5A00A285"/>
    <w:rsid w:val="5A011792"/>
    <w:rsid w:val="5A0F5F5A"/>
    <w:rsid w:val="5A22CEF5"/>
    <w:rsid w:val="5A64239C"/>
    <w:rsid w:val="5A64D291"/>
    <w:rsid w:val="5A697120"/>
    <w:rsid w:val="5A7C27DA"/>
    <w:rsid w:val="5A9E2338"/>
    <w:rsid w:val="5ABEC779"/>
    <w:rsid w:val="5AD7F851"/>
    <w:rsid w:val="5ADB4DE4"/>
    <w:rsid w:val="5AE4D471"/>
    <w:rsid w:val="5AFE11A4"/>
    <w:rsid w:val="5B1427EC"/>
    <w:rsid w:val="5B7888A1"/>
    <w:rsid w:val="5B804A08"/>
    <w:rsid w:val="5B8D3CF4"/>
    <w:rsid w:val="5BA7F8CD"/>
    <w:rsid w:val="5BBDC441"/>
    <w:rsid w:val="5BC43CE2"/>
    <w:rsid w:val="5BD3E2DC"/>
    <w:rsid w:val="5C4B93EF"/>
    <w:rsid w:val="5C52E5E4"/>
    <w:rsid w:val="5C5CE8BE"/>
    <w:rsid w:val="5C76CD15"/>
    <w:rsid w:val="5C88FB70"/>
    <w:rsid w:val="5C99C566"/>
    <w:rsid w:val="5CB681B7"/>
    <w:rsid w:val="5CBF778C"/>
    <w:rsid w:val="5CCD240B"/>
    <w:rsid w:val="5CD17021"/>
    <w:rsid w:val="5CD484BA"/>
    <w:rsid w:val="5CDB2AEE"/>
    <w:rsid w:val="5D2F0837"/>
    <w:rsid w:val="5D61D536"/>
    <w:rsid w:val="5D67F9C1"/>
    <w:rsid w:val="5D86D2D9"/>
    <w:rsid w:val="5D922924"/>
    <w:rsid w:val="5D92E8C9"/>
    <w:rsid w:val="5D953D1D"/>
    <w:rsid w:val="5D9F538F"/>
    <w:rsid w:val="5DA6C446"/>
    <w:rsid w:val="5E11651F"/>
    <w:rsid w:val="5E317FFC"/>
    <w:rsid w:val="5E955BEE"/>
    <w:rsid w:val="5E967EDA"/>
    <w:rsid w:val="5E98F70D"/>
    <w:rsid w:val="5EA8FB9E"/>
    <w:rsid w:val="5EB0CEBD"/>
    <w:rsid w:val="5EB24676"/>
    <w:rsid w:val="5ED569DD"/>
    <w:rsid w:val="5EDBF9B4"/>
    <w:rsid w:val="5F0A87E0"/>
    <w:rsid w:val="5F2BF416"/>
    <w:rsid w:val="5F969B73"/>
    <w:rsid w:val="5F99C797"/>
    <w:rsid w:val="5FB6B6C5"/>
    <w:rsid w:val="5FC58E3E"/>
    <w:rsid w:val="5FC71C70"/>
    <w:rsid w:val="5FD6B070"/>
    <w:rsid w:val="5FED9383"/>
    <w:rsid w:val="600783EA"/>
    <w:rsid w:val="600CBAF1"/>
    <w:rsid w:val="600FBC85"/>
    <w:rsid w:val="6015BC5B"/>
    <w:rsid w:val="605AD66B"/>
    <w:rsid w:val="608EE7D3"/>
    <w:rsid w:val="60AC0E74"/>
    <w:rsid w:val="60AF7F5A"/>
    <w:rsid w:val="60C80031"/>
    <w:rsid w:val="60F0D803"/>
    <w:rsid w:val="6100664C"/>
    <w:rsid w:val="611B7B59"/>
    <w:rsid w:val="612E5C4B"/>
    <w:rsid w:val="613C3D7D"/>
    <w:rsid w:val="613CD20A"/>
    <w:rsid w:val="6142F8E7"/>
    <w:rsid w:val="6176DD12"/>
    <w:rsid w:val="618FA350"/>
    <w:rsid w:val="61992B64"/>
    <w:rsid w:val="619DE3CA"/>
    <w:rsid w:val="619E1C11"/>
    <w:rsid w:val="61CA4C9C"/>
    <w:rsid w:val="61F03A39"/>
    <w:rsid w:val="61F38621"/>
    <w:rsid w:val="620056ED"/>
    <w:rsid w:val="620C9EA7"/>
    <w:rsid w:val="6243C671"/>
    <w:rsid w:val="6259E8AD"/>
    <w:rsid w:val="627FEBCC"/>
    <w:rsid w:val="6282B48B"/>
    <w:rsid w:val="629A63FE"/>
    <w:rsid w:val="62C4A36D"/>
    <w:rsid w:val="62F83213"/>
    <w:rsid w:val="630CB743"/>
    <w:rsid w:val="6324ED80"/>
    <w:rsid w:val="63327EB6"/>
    <w:rsid w:val="6336DF63"/>
    <w:rsid w:val="6372EFF8"/>
    <w:rsid w:val="637F8B15"/>
    <w:rsid w:val="6388F15F"/>
    <w:rsid w:val="63892947"/>
    <w:rsid w:val="639C54EF"/>
    <w:rsid w:val="63A92EBB"/>
    <w:rsid w:val="63A9941C"/>
    <w:rsid w:val="63F95B94"/>
    <w:rsid w:val="6402D04F"/>
    <w:rsid w:val="6406396E"/>
    <w:rsid w:val="640FF8BA"/>
    <w:rsid w:val="6425B3A1"/>
    <w:rsid w:val="642FB4FB"/>
    <w:rsid w:val="6449A83A"/>
    <w:rsid w:val="644E05A6"/>
    <w:rsid w:val="648E972A"/>
    <w:rsid w:val="649776AF"/>
    <w:rsid w:val="649CC912"/>
    <w:rsid w:val="649D45C9"/>
    <w:rsid w:val="64A5FC98"/>
    <w:rsid w:val="64AF4D37"/>
    <w:rsid w:val="64E14B04"/>
    <w:rsid w:val="64F35C5A"/>
    <w:rsid w:val="65069273"/>
    <w:rsid w:val="653C79AD"/>
    <w:rsid w:val="65517130"/>
    <w:rsid w:val="655C2493"/>
    <w:rsid w:val="65A8EFB3"/>
    <w:rsid w:val="65C08469"/>
    <w:rsid w:val="65D4FF3E"/>
    <w:rsid w:val="65DB0DC3"/>
    <w:rsid w:val="65E34E60"/>
    <w:rsid w:val="661F2D48"/>
    <w:rsid w:val="66259423"/>
    <w:rsid w:val="6629B463"/>
    <w:rsid w:val="6663711A"/>
    <w:rsid w:val="6668769C"/>
    <w:rsid w:val="668260C1"/>
    <w:rsid w:val="669BFE62"/>
    <w:rsid w:val="66AFEABC"/>
    <w:rsid w:val="66B06029"/>
    <w:rsid w:val="66B66556"/>
    <w:rsid w:val="66C31BAB"/>
    <w:rsid w:val="66C816B9"/>
    <w:rsid w:val="66CD6D55"/>
    <w:rsid w:val="66FB32F2"/>
    <w:rsid w:val="670ECE1C"/>
    <w:rsid w:val="6711DEF0"/>
    <w:rsid w:val="6716E8B0"/>
    <w:rsid w:val="671CEDFC"/>
    <w:rsid w:val="67734276"/>
    <w:rsid w:val="67795F6A"/>
    <w:rsid w:val="67928B45"/>
    <w:rsid w:val="67984EF8"/>
    <w:rsid w:val="679CD533"/>
    <w:rsid w:val="67A6287E"/>
    <w:rsid w:val="67A748C8"/>
    <w:rsid w:val="67AD4E40"/>
    <w:rsid w:val="67B43688"/>
    <w:rsid w:val="67F60DF3"/>
    <w:rsid w:val="67FFCCF7"/>
    <w:rsid w:val="681E1D79"/>
    <w:rsid w:val="683613FB"/>
    <w:rsid w:val="6846EA10"/>
    <w:rsid w:val="68538CE7"/>
    <w:rsid w:val="68D963EB"/>
    <w:rsid w:val="68FA5107"/>
    <w:rsid w:val="68FB0953"/>
    <w:rsid w:val="690D878B"/>
    <w:rsid w:val="69149D5C"/>
    <w:rsid w:val="6919DD8C"/>
    <w:rsid w:val="69280909"/>
    <w:rsid w:val="692B5267"/>
    <w:rsid w:val="693B7EAA"/>
    <w:rsid w:val="695D898D"/>
    <w:rsid w:val="698867BB"/>
    <w:rsid w:val="69C59FC0"/>
    <w:rsid w:val="6A005667"/>
    <w:rsid w:val="6A0DE7F3"/>
    <w:rsid w:val="6A56D055"/>
    <w:rsid w:val="6A57F6CB"/>
    <w:rsid w:val="6A5D730A"/>
    <w:rsid w:val="6A6E99D5"/>
    <w:rsid w:val="6AB4A8C8"/>
    <w:rsid w:val="6AD554E6"/>
    <w:rsid w:val="6AD5DA44"/>
    <w:rsid w:val="6AF11811"/>
    <w:rsid w:val="6AFAC74A"/>
    <w:rsid w:val="6B28BF88"/>
    <w:rsid w:val="6B379D9F"/>
    <w:rsid w:val="6B3E0107"/>
    <w:rsid w:val="6B60C90C"/>
    <w:rsid w:val="6B6D95C5"/>
    <w:rsid w:val="6B73A4A3"/>
    <w:rsid w:val="6B7A0759"/>
    <w:rsid w:val="6BD554E3"/>
    <w:rsid w:val="6BD63EFC"/>
    <w:rsid w:val="6BEBB47E"/>
    <w:rsid w:val="6BEF2D2C"/>
    <w:rsid w:val="6BF5BF23"/>
    <w:rsid w:val="6BF743F1"/>
    <w:rsid w:val="6C000537"/>
    <w:rsid w:val="6C27CA25"/>
    <w:rsid w:val="6C618318"/>
    <w:rsid w:val="6C6499CD"/>
    <w:rsid w:val="6C761788"/>
    <w:rsid w:val="6C79532C"/>
    <w:rsid w:val="6C7D23E7"/>
    <w:rsid w:val="6C9B0D1A"/>
    <w:rsid w:val="6CA899E3"/>
    <w:rsid w:val="6CAB86B5"/>
    <w:rsid w:val="6CC26989"/>
    <w:rsid w:val="6CDA248B"/>
    <w:rsid w:val="6CDAABC6"/>
    <w:rsid w:val="6CE747CB"/>
    <w:rsid w:val="6CEFBA1C"/>
    <w:rsid w:val="6CF80B43"/>
    <w:rsid w:val="6CFF5BAC"/>
    <w:rsid w:val="6D02B63A"/>
    <w:rsid w:val="6D0FDD45"/>
    <w:rsid w:val="6D4942F9"/>
    <w:rsid w:val="6D51FA44"/>
    <w:rsid w:val="6D57A01B"/>
    <w:rsid w:val="6D6A2F26"/>
    <w:rsid w:val="6D71174A"/>
    <w:rsid w:val="6D71B2A8"/>
    <w:rsid w:val="6D801822"/>
    <w:rsid w:val="6D9A6B05"/>
    <w:rsid w:val="6DA5037D"/>
    <w:rsid w:val="6DC6400B"/>
    <w:rsid w:val="6DE7DB89"/>
    <w:rsid w:val="6DE9460A"/>
    <w:rsid w:val="6DF15BB1"/>
    <w:rsid w:val="6DF82C55"/>
    <w:rsid w:val="6E2DCF4E"/>
    <w:rsid w:val="6E481BC2"/>
    <w:rsid w:val="6E4BD10C"/>
    <w:rsid w:val="6E650CCE"/>
    <w:rsid w:val="6E8E5253"/>
    <w:rsid w:val="6EA755BF"/>
    <w:rsid w:val="6EA89AE4"/>
    <w:rsid w:val="6EAD5A94"/>
    <w:rsid w:val="6EB06808"/>
    <w:rsid w:val="6EE46498"/>
    <w:rsid w:val="6EECFDA9"/>
    <w:rsid w:val="6F02BAB1"/>
    <w:rsid w:val="6F34587B"/>
    <w:rsid w:val="6F385B22"/>
    <w:rsid w:val="6F3B0218"/>
    <w:rsid w:val="6F3B52B7"/>
    <w:rsid w:val="6F45E2BE"/>
    <w:rsid w:val="6F5232CE"/>
    <w:rsid w:val="6F6A4A05"/>
    <w:rsid w:val="6F6BBADE"/>
    <w:rsid w:val="6F7CDF7D"/>
    <w:rsid w:val="6F94A193"/>
    <w:rsid w:val="6F9C061F"/>
    <w:rsid w:val="6F9E3843"/>
    <w:rsid w:val="6FA34754"/>
    <w:rsid w:val="6FAF8C39"/>
    <w:rsid w:val="6FB22B9D"/>
    <w:rsid w:val="6FBB1729"/>
    <w:rsid w:val="6FD0F314"/>
    <w:rsid w:val="6FDD430A"/>
    <w:rsid w:val="6FF2A378"/>
    <w:rsid w:val="701C20F9"/>
    <w:rsid w:val="70447C10"/>
    <w:rsid w:val="706CE4B6"/>
    <w:rsid w:val="709FE492"/>
    <w:rsid w:val="70AA25FA"/>
    <w:rsid w:val="70AD880C"/>
    <w:rsid w:val="70CA5145"/>
    <w:rsid w:val="70E0030E"/>
    <w:rsid w:val="70EC1FC2"/>
    <w:rsid w:val="70FDBC05"/>
    <w:rsid w:val="71081CE5"/>
    <w:rsid w:val="711355B1"/>
    <w:rsid w:val="7121A03A"/>
    <w:rsid w:val="71330849"/>
    <w:rsid w:val="71600023"/>
    <w:rsid w:val="7174609C"/>
    <w:rsid w:val="718A3F45"/>
    <w:rsid w:val="718B6B04"/>
    <w:rsid w:val="7195E89A"/>
    <w:rsid w:val="71D8F132"/>
    <w:rsid w:val="71E37CF2"/>
    <w:rsid w:val="720843B8"/>
    <w:rsid w:val="72354917"/>
    <w:rsid w:val="7244094E"/>
    <w:rsid w:val="727C7BE0"/>
    <w:rsid w:val="72B11144"/>
    <w:rsid w:val="72B12E9E"/>
    <w:rsid w:val="72B32629"/>
    <w:rsid w:val="72C0A457"/>
    <w:rsid w:val="72C4DE5A"/>
    <w:rsid w:val="72C5E29A"/>
    <w:rsid w:val="730DA7AA"/>
    <w:rsid w:val="733E78C2"/>
    <w:rsid w:val="7342D1A4"/>
    <w:rsid w:val="734FA05D"/>
    <w:rsid w:val="73689EC8"/>
    <w:rsid w:val="7378D3AC"/>
    <w:rsid w:val="73976DFB"/>
    <w:rsid w:val="739F8611"/>
    <w:rsid w:val="73B2B58C"/>
    <w:rsid w:val="73DABAF2"/>
    <w:rsid w:val="73DFC4A2"/>
    <w:rsid w:val="73E18F4B"/>
    <w:rsid w:val="7402AB9A"/>
    <w:rsid w:val="740CC222"/>
    <w:rsid w:val="7418517E"/>
    <w:rsid w:val="741B8773"/>
    <w:rsid w:val="7420986B"/>
    <w:rsid w:val="74279F56"/>
    <w:rsid w:val="7454A7F7"/>
    <w:rsid w:val="74890448"/>
    <w:rsid w:val="7491D732"/>
    <w:rsid w:val="74AABAA8"/>
    <w:rsid w:val="75046BA8"/>
    <w:rsid w:val="7510B400"/>
    <w:rsid w:val="75114C10"/>
    <w:rsid w:val="7517B49E"/>
    <w:rsid w:val="751DDD9D"/>
    <w:rsid w:val="75280DAD"/>
    <w:rsid w:val="752E3FD6"/>
    <w:rsid w:val="753D34F7"/>
    <w:rsid w:val="753ECE74"/>
    <w:rsid w:val="753F118E"/>
    <w:rsid w:val="75518F2E"/>
    <w:rsid w:val="757BC28D"/>
    <w:rsid w:val="75966B63"/>
    <w:rsid w:val="75AFCC06"/>
    <w:rsid w:val="75B3DA49"/>
    <w:rsid w:val="75B66A0A"/>
    <w:rsid w:val="75DAE72D"/>
    <w:rsid w:val="75DEA3EE"/>
    <w:rsid w:val="761CBAA9"/>
    <w:rsid w:val="7626079C"/>
    <w:rsid w:val="762C5A2C"/>
    <w:rsid w:val="764063B0"/>
    <w:rsid w:val="766E91C4"/>
    <w:rsid w:val="76837248"/>
    <w:rsid w:val="7694F4EB"/>
    <w:rsid w:val="76A98C47"/>
    <w:rsid w:val="76AD6DCA"/>
    <w:rsid w:val="76DB25C2"/>
    <w:rsid w:val="76EA3E21"/>
    <w:rsid w:val="76ED97C7"/>
    <w:rsid w:val="770D70E9"/>
    <w:rsid w:val="773B1ECD"/>
    <w:rsid w:val="774F2E79"/>
    <w:rsid w:val="77759383"/>
    <w:rsid w:val="77A08A09"/>
    <w:rsid w:val="77B24F06"/>
    <w:rsid w:val="77DB7ED5"/>
    <w:rsid w:val="77E01EBA"/>
    <w:rsid w:val="780CE5B4"/>
    <w:rsid w:val="784199F5"/>
    <w:rsid w:val="786E0A1A"/>
    <w:rsid w:val="786E6077"/>
    <w:rsid w:val="7882B8FF"/>
    <w:rsid w:val="78C06073"/>
    <w:rsid w:val="78E8DB6F"/>
    <w:rsid w:val="790F63AC"/>
    <w:rsid w:val="7914C134"/>
    <w:rsid w:val="7919BFE1"/>
    <w:rsid w:val="79358E89"/>
    <w:rsid w:val="79377053"/>
    <w:rsid w:val="798FAACB"/>
    <w:rsid w:val="79ADBE41"/>
    <w:rsid w:val="79B56826"/>
    <w:rsid w:val="79C73886"/>
    <w:rsid w:val="79C7A545"/>
    <w:rsid w:val="79C96043"/>
    <w:rsid w:val="79CA99F4"/>
    <w:rsid w:val="79CE2AF2"/>
    <w:rsid w:val="79F515FD"/>
    <w:rsid w:val="7A002F7D"/>
    <w:rsid w:val="7A053CFB"/>
    <w:rsid w:val="7A09C917"/>
    <w:rsid w:val="7A18625A"/>
    <w:rsid w:val="7A3581F2"/>
    <w:rsid w:val="7A44F5D5"/>
    <w:rsid w:val="7A525B6C"/>
    <w:rsid w:val="7A5A0F67"/>
    <w:rsid w:val="7A69516E"/>
    <w:rsid w:val="7A9554AA"/>
    <w:rsid w:val="7A991863"/>
    <w:rsid w:val="7AA4BE16"/>
    <w:rsid w:val="7AB1E9C2"/>
    <w:rsid w:val="7AB8FCF6"/>
    <w:rsid w:val="7ABD3F28"/>
    <w:rsid w:val="7AE8F524"/>
    <w:rsid w:val="7B27D6BE"/>
    <w:rsid w:val="7B2A9F42"/>
    <w:rsid w:val="7B4A16A6"/>
    <w:rsid w:val="7B6C278B"/>
    <w:rsid w:val="7B79926D"/>
    <w:rsid w:val="7B847367"/>
    <w:rsid w:val="7BA40930"/>
    <w:rsid w:val="7BA6516E"/>
    <w:rsid w:val="7BB4FF08"/>
    <w:rsid w:val="7BB995E2"/>
    <w:rsid w:val="7BD76ED2"/>
    <w:rsid w:val="7BFB3599"/>
    <w:rsid w:val="7C02B417"/>
    <w:rsid w:val="7C18DC40"/>
    <w:rsid w:val="7C1A5DF7"/>
    <w:rsid w:val="7C3255BF"/>
    <w:rsid w:val="7C54CB90"/>
    <w:rsid w:val="7C5E51AD"/>
    <w:rsid w:val="7CA045C3"/>
    <w:rsid w:val="7CAE1B9D"/>
    <w:rsid w:val="7CC6F291"/>
    <w:rsid w:val="7CD3DC99"/>
    <w:rsid w:val="7CE32F4C"/>
    <w:rsid w:val="7CE5F661"/>
    <w:rsid w:val="7CF10D3C"/>
    <w:rsid w:val="7D1E0113"/>
    <w:rsid w:val="7D2177E9"/>
    <w:rsid w:val="7D218041"/>
    <w:rsid w:val="7D3DBA0E"/>
    <w:rsid w:val="7D61904C"/>
    <w:rsid w:val="7D6ADB56"/>
    <w:rsid w:val="7D70ECE0"/>
    <w:rsid w:val="7D747F36"/>
    <w:rsid w:val="7D7D63B6"/>
    <w:rsid w:val="7D8D4535"/>
    <w:rsid w:val="7D97CB60"/>
    <w:rsid w:val="7D9DF107"/>
    <w:rsid w:val="7DADC42C"/>
    <w:rsid w:val="7DB02E54"/>
    <w:rsid w:val="7DB1D032"/>
    <w:rsid w:val="7DB1DC5E"/>
    <w:rsid w:val="7DB9661E"/>
    <w:rsid w:val="7DEC3447"/>
    <w:rsid w:val="7E144619"/>
    <w:rsid w:val="7E191BF1"/>
    <w:rsid w:val="7E383583"/>
    <w:rsid w:val="7E4C096F"/>
    <w:rsid w:val="7E622ADF"/>
    <w:rsid w:val="7E671D30"/>
    <w:rsid w:val="7E74D58A"/>
    <w:rsid w:val="7E785295"/>
    <w:rsid w:val="7E85C867"/>
    <w:rsid w:val="7E8C6A7D"/>
    <w:rsid w:val="7E9C7728"/>
    <w:rsid w:val="7EB740AD"/>
    <w:rsid w:val="7EC6913B"/>
    <w:rsid w:val="7EC7F8E0"/>
    <w:rsid w:val="7EC8C6FD"/>
    <w:rsid w:val="7EDEAE32"/>
    <w:rsid w:val="7F24C0DE"/>
    <w:rsid w:val="7F49A2C9"/>
    <w:rsid w:val="7F59F7FA"/>
    <w:rsid w:val="7F72B38B"/>
    <w:rsid w:val="7F7A1FA6"/>
    <w:rsid w:val="7F7B7BCA"/>
    <w:rsid w:val="7F852834"/>
    <w:rsid w:val="7F8944A5"/>
    <w:rsid w:val="7F994F48"/>
    <w:rsid w:val="7FD299AD"/>
    <w:rsid w:val="7FDA28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332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251FD"/>
    <w:pPr>
      <w:spacing w:before="120" w:after="120" w:line="312" w:lineRule="auto"/>
    </w:pPr>
    <w:rPr>
      <w:color w:val="424242" w:themeColor="text1"/>
      <w:sz w:val="20"/>
    </w:rPr>
  </w:style>
  <w:style w:type="paragraph" w:styleId="Heading1">
    <w:name w:val="heading 1"/>
    <w:basedOn w:val="Normal"/>
    <w:next w:val="BodyText"/>
    <w:link w:val="Heading1Char"/>
    <w:uiPriority w:val="9"/>
    <w:qFormat/>
    <w:rsid w:val="00261D2D"/>
    <w:pPr>
      <w:keepNext/>
      <w:keepLines/>
      <w:numPr>
        <w:numId w:val="10"/>
      </w:numPr>
      <w:spacing w:after="360" w:line="264" w:lineRule="auto"/>
      <w:outlineLvl w:val="0"/>
    </w:pPr>
    <w:rPr>
      <w:rFonts w:asciiTheme="majorHAnsi" w:eastAsiaTheme="majorEastAsia" w:hAnsiTheme="majorHAnsi" w:cstheme="majorBidi"/>
      <w:b/>
      <w:color w:val="6B3077" w:themeColor="accent1"/>
      <w:sz w:val="48"/>
      <w:szCs w:val="32"/>
    </w:rPr>
  </w:style>
  <w:style w:type="paragraph" w:styleId="Heading2">
    <w:name w:val="heading 2"/>
    <w:basedOn w:val="Normal"/>
    <w:next w:val="BodyText"/>
    <w:link w:val="Heading2Char"/>
    <w:uiPriority w:val="9"/>
    <w:qFormat/>
    <w:rsid w:val="00D251FD"/>
    <w:pPr>
      <w:keepNext/>
      <w:keepLines/>
      <w:numPr>
        <w:ilvl w:val="1"/>
        <w:numId w:val="10"/>
      </w:numPr>
      <w:spacing w:before="360" w:after="360" w:line="264" w:lineRule="auto"/>
      <w:outlineLvl w:val="1"/>
    </w:pPr>
    <w:rPr>
      <w:rFonts w:asciiTheme="majorHAnsi" w:eastAsiaTheme="majorEastAsia" w:hAnsiTheme="majorHAnsi" w:cstheme="majorBidi"/>
      <w:b/>
      <w:color w:val="A3519B" w:themeColor="accent2"/>
      <w:sz w:val="28"/>
      <w:szCs w:val="26"/>
    </w:rPr>
  </w:style>
  <w:style w:type="paragraph" w:styleId="Heading3">
    <w:name w:val="heading 3"/>
    <w:basedOn w:val="Normal"/>
    <w:next w:val="BodyText"/>
    <w:link w:val="Heading3Char"/>
    <w:uiPriority w:val="9"/>
    <w:qFormat/>
    <w:rsid w:val="00D251FD"/>
    <w:pPr>
      <w:keepNext/>
      <w:keepLines/>
      <w:numPr>
        <w:ilvl w:val="2"/>
        <w:numId w:val="10"/>
      </w:numPr>
      <w:spacing w:before="240" w:after="240" w:line="264" w:lineRule="auto"/>
      <w:outlineLvl w:val="2"/>
    </w:pPr>
    <w:rPr>
      <w:rFonts w:asciiTheme="majorHAnsi" w:eastAsiaTheme="majorEastAsia" w:hAnsiTheme="majorHAnsi" w:cstheme="majorBidi"/>
      <w:b/>
      <w:color w:val="A3519B" w:themeColor="accent2"/>
      <w:sz w:val="22"/>
      <w:szCs w:val="28"/>
    </w:rPr>
  </w:style>
  <w:style w:type="paragraph" w:styleId="Heading4">
    <w:name w:val="heading 4"/>
    <w:basedOn w:val="Normal"/>
    <w:next w:val="BodyText"/>
    <w:link w:val="Heading4Char"/>
    <w:uiPriority w:val="9"/>
    <w:qFormat/>
    <w:rsid w:val="00D251FD"/>
    <w:pPr>
      <w:keepNext/>
      <w:keepLines/>
      <w:spacing w:before="240" w:after="240" w:line="264" w:lineRule="auto"/>
      <w:outlineLvl w:val="3"/>
    </w:pPr>
    <w:rPr>
      <w:rFonts w:asciiTheme="majorHAnsi" w:eastAsiaTheme="majorEastAsia" w:hAnsiTheme="majorHAnsi" w:cstheme="majorBidi"/>
      <w:iCs/>
      <w:color w:val="6B3077" w:themeColor="accent1"/>
      <w:sz w:val="22"/>
    </w:rPr>
  </w:style>
  <w:style w:type="paragraph" w:styleId="Heading5">
    <w:name w:val="heading 5"/>
    <w:basedOn w:val="Heading4"/>
    <w:next w:val="BodyText"/>
    <w:link w:val="Heading5Char"/>
    <w:uiPriority w:val="9"/>
    <w:qFormat/>
    <w:rsid w:val="00D251FD"/>
    <w:pPr>
      <w:spacing w:after="0"/>
      <w:outlineLvl w:val="4"/>
    </w:pPr>
    <w:rPr>
      <w:color w:val="auto"/>
      <w:sz w:val="20"/>
      <w:szCs w:val="20"/>
    </w:rPr>
  </w:style>
  <w:style w:type="paragraph" w:styleId="Heading6">
    <w:name w:val="heading 6"/>
    <w:basedOn w:val="Heading4"/>
    <w:next w:val="BodyText"/>
    <w:link w:val="Heading6Char"/>
    <w:uiPriority w:val="9"/>
    <w:qFormat/>
    <w:rsid w:val="00D251FD"/>
    <w:pPr>
      <w:spacing w:after="0"/>
      <w:outlineLvl w:val="5"/>
    </w:pPr>
    <w:rPr>
      <w:i/>
      <w:iCs w:val="0"/>
      <w:color w:val="424242" w:themeColor="text1"/>
      <w:sz w:val="20"/>
      <w:szCs w:val="20"/>
    </w:rPr>
  </w:style>
  <w:style w:type="paragraph" w:styleId="Heading7">
    <w:name w:val="heading 7"/>
    <w:basedOn w:val="Normal"/>
    <w:next w:val="BodyText"/>
    <w:link w:val="Heading7Char"/>
    <w:uiPriority w:val="9"/>
    <w:semiHidden/>
    <w:unhideWhenUsed/>
    <w:rsid w:val="00D251FD"/>
    <w:pPr>
      <w:keepNext/>
      <w:keepLines/>
      <w:spacing w:before="40" w:after="0"/>
      <w:outlineLvl w:val="6"/>
    </w:pPr>
    <w:rPr>
      <w:rFonts w:asciiTheme="majorHAnsi" w:eastAsiaTheme="majorEastAsia" w:hAnsiTheme="majorHAnsi" w:cstheme="majorBidi"/>
      <w:i/>
      <w:iCs/>
      <w:color w:val="34183B" w:themeColor="accent1" w:themeShade="7F"/>
    </w:rPr>
  </w:style>
  <w:style w:type="paragraph" w:styleId="Heading8">
    <w:name w:val="heading 8"/>
    <w:basedOn w:val="Normal"/>
    <w:next w:val="BodyText"/>
    <w:link w:val="Heading8Char"/>
    <w:uiPriority w:val="9"/>
    <w:semiHidden/>
    <w:unhideWhenUsed/>
    <w:qFormat/>
    <w:rsid w:val="00D251FD"/>
    <w:pPr>
      <w:keepNext/>
      <w:keepLines/>
      <w:spacing w:before="40" w:after="0"/>
      <w:outlineLvl w:val="7"/>
    </w:pPr>
    <w:rPr>
      <w:rFonts w:asciiTheme="majorHAnsi" w:eastAsiaTheme="majorEastAsia" w:hAnsiTheme="majorHAnsi" w:cstheme="majorBidi"/>
      <w:color w:val="5E5E5E" w:themeColor="text1" w:themeTint="D8"/>
      <w:sz w:val="21"/>
      <w:szCs w:val="21"/>
    </w:rPr>
  </w:style>
  <w:style w:type="paragraph" w:styleId="Heading9">
    <w:name w:val="heading 9"/>
    <w:basedOn w:val="Normal"/>
    <w:next w:val="BodyText"/>
    <w:link w:val="Heading9Char"/>
    <w:uiPriority w:val="9"/>
    <w:semiHidden/>
    <w:unhideWhenUsed/>
    <w:qFormat/>
    <w:rsid w:val="00D251FD"/>
    <w:pPr>
      <w:keepNext/>
      <w:keepLines/>
      <w:spacing w:before="40" w:after="0"/>
      <w:outlineLvl w:val="8"/>
    </w:pPr>
    <w:rPr>
      <w:rFonts w:asciiTheme="majorHAnsi" w:eastAsiaTheme="majorEastAsia" w:hAnsiTheme="majorHAnsi" w:cstheme="majorBidi"/>
      <w:i/>
      <w:iCs/>
      <w:color w:val="5E5E5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51FD"/>
    <w:rPr>
      <w:color w:val="6B3077" w:themeColor="hyperlink"/>
      <w:u w:val="single"/>
    </w:rPr>
  </w:style>
  <w:style w:type="character" w:styleId="UnresolvedMention">
    <w:name w:val="Unresolved Mention"/>
    <w:basedOn w:val="DefaultParagraphFont"/>
    <w:uiPriority w:val="99"/>
    <w:semiHidden/>
    <w:unhideWhenUsed/>
    <w:rsid w:val="00D251FD"/>
    <w:rPr>
      <w:color w:val="605E5C"/>
      <w:shd w:val="clear" w:color="auto" w:fill="E1DFDD"/>
    </w:rPr>
  </w:style>
  <w:style w:type="paragraph" w:styleId="BodyText">
    <w:name w:val="Body Text"/>
    <w:basedOn w:val="Normal"/>
    <w:link w:val="BodyTextChar"/>
    <w:qFormat/>
    <w:rsid w:val="00D251FD"/>
  </w:style>
  <w:style w:type="character" w:customStyle="1" w:styleId="BodyTextChar">
    <w:name w:val="Body Text Char"/>
    <w:basedOn w:val="DefaultParagraphFont"/>
    <w:link w:val="BodyText"/>
    <w:rsid w:val="00D251FD"/>
    <w:rPr>
      <w:color w:val="424242" w:themeColor="text1"/>
      <w:sz w:val="20"/>
    </w:rPr>
  </w:style>
  <w:style w:type="table" w:styleId="TableGrid">
    <w:name w:val="Table Grid"/>
    <w:aliases w:val="AEMO"/>
    <w:basedOn w:val="TableNormal"/>
    <w:uiPriority w:val="39"/>
    <w:rsid w:val="00D25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rsid w:val="00D251FD"/>
    <w:pPr>
      <w:spacing w:after="0" w:line="240" w:lineRule="auto"/>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D251FD"/>
    <w:rPr>
      <w:rFonts w:asciiTheme="majorHAnsi" w:eastAsiaTheme="majorEastAsia" w:hAnsiTheme="majorHAnsi" w:cstheme="majorBidi"/>
      <w:b/>
      <w:spacing w:val="-10"/>
      <w:kern w:val="28"/>
      <w:sz w:val="56"/>
      <w:szCs w:val="56"/>
    </w:rPr>
  </w:style>
  <w:style w:type="paragraph" w:customStyle="1" w:styleId="Cover-Title">
    <w:name w:val="Cover - Title"/>
    <w:basedOn w:val="Title"/>
    <w:uiPriority w:val="99"/>
    <w:rsid w:val="00D251FD"/>
    <w:pPr>
      <w:spacing w:after="40"/>
    </w:pPr>
    <w:rPr>
      <w:color w:val="FFFFFF" w:themeColor="background1"/>
    </w:rPr>
  </w:style>
  <w:style w:type="paragraph" w:styleId="Date">
    <w:name w:val="Date"/>
    <w:basedOn w:val="Normal"/>
    <w:next w:val="Normal"/>
    <w:link w:val="DateChar"/>
    <w:uiPriority w:val="99"/>
    <w:unhideWhenUsed/>
    <w:rsid w:val="00D251FD"/>
  </w:style>
  <w:style w:type="character" w:customStyle="1" w:styleId="DateChar">
    <w:name w:val="Date Char"/>
    <w:basedOn w:val="DefaultParagraphFont"/>
    <w:link w:val="Date"/>
    <w:uiPriority w:val="99"/>
    <w:rsid w:val="00D251FD"/>
    <w:rPr>
      <w:color w:val="424242" w:themeColor="text1"/>
      <w:sz w:val="20"/>
    </w:rPr>
  </w:style>
  <w:style w:type="paragraph" w:customStyle="1" w:styleId="Cover-Month">
    <w:name w:val="Cover - Month"/>
    <w:uiPriority w:val="99"/>
    <w:rsid w:val="00D251FD"/>
    <w:pPr>
      <w:spacing w:after="120" w:line="312" w:lineRule="auto"/>
    </w:pPr>
    <w:rPr>
      <w:rFonts w:asciiTheme="majorHAnsi" w:hAnsiTheme="majorHAnsi"/>
      <w:b/>
      <w:color w:val="9E4E95"/>
      <w:sz w:val="36"/>
    </w:rPr>
  </w:style>
  <w:style w:type="paragraph" w:styleId="Subtitle">
    <w:name w:val="Subtitle"/>
    <w:link w:val="SubtitleChar"/>
    <w:uiPriority w:val="11"/>
    <w:rsid w:val="00D251FD"/>
    <w:pPr>
      <w:numPr>
        <w:ilvl w:val="1"/>
      </w:numPr>
      <w:spacing w:before="120" w:after="120" w:line="312" w:lineRule="auto"/>
    </w:pPr>
    <w:rPr>
      <w:rFonts w:asciiTheme="majorHAnsi" w:eastAsiaTheme="minorEastAsia" w:hAnsiTheme="majorHAnsi"/>
      <w:color w:val="FFFFFF" w:themeColor="background1"/>
      <w:sz w:val="32"/>
    </w:rPr>
  </w:style>
  <w:style w:type="character" w:customStyle="1" w:styleId="SubtitleChar">
    <w:name w:val="Subtitle Char"/>
    <w:basedOn w:val="DefaultParagraphFont"/>
    <w:link w:val="Subtitle"/>
    <w:uiPriority w:val="11"/>
    <w:rsid w:val="00D251FD"/>
    <w:rPr>
      <w:rFonts w:asciiTheme="majorHAnsi" w:eastAsiaTheme="minorEastAsia" w:hAnsiTheme="majorHAnsi"/>
      <w:color w:val="FFFFFF" w:themeColor="background1"/>
      <w:sz w:val="32"/>
    </w:rPr>
  </w:style>
  <w:style w:type="paragraph" w:customStyle="1" w:styleId="Cover-Scope">
    <w:name w:val="Cover - Scope"/>
    <w:uiPriority w:val="99"/>
    <w:rsid w:val="00D251FD"/>
    <w:pPr>
      <w:tabs>
        <w:tab w:val="left" w:pos="1980"/>
      </w:tabs>
      <w:spacing w:before="120" w:after="120" w:line="276" w:lineRule="auto"/>
    </w:pPr>
    <w:rPr>
      <w:rFonts w:asciiTheme="majorHAnsi" w:hAnsiTheme="majorHAnsi"/>
      <w:color w:val="FFFFFF" w:themeColor="background1"/>
      <w:sz w:val="20"/>
    </w:rPr>
  </w:style>
  <w:style w:type="paragraph" w:customStyle="1" w:styleId="Heading-P2">
    <w:name w:val="Heading - P2"/>
    <w:next w:val="BodyText"/>
    <w:uiPriority w:val="99"/>
    <w:rsid w:val="00D251FD"/>
    <w:pPr>
      <w:tabs>
        <w:tab w:val="left" w:pos="1980"/>
      </w:tabs>
      <w:spacing w:before="240" w:after="240" w:line="240" w:lineRule="auto"/>
    </w:pPr>
    <w:rPr>
      <w:rFonts w:asciiTheme="majorHAnsi" w:hAnsiTheme="majorHAnsi"/>
      <w:b/>
      <w:color w:val="6B3077" w:themeColor="accent1"/>
      <w:sz w:val="40"/>
      <w:szCs w:val="40"/>
    </w:rPr>
  </w:style>
  <w:style w:type="paragraph" w:customStyle="1" w:styleId="ImportantNotice-Subheading">
    <w:name w:val="Important Notice - Subheading"/>
    <w:basedOn w:val="BodyText"/>
    <w:uiPriority w:val="99"/>
    <w:rsid w:val="00D251FD"/>
    <w:pPr>
      <w:tabs>
        <w:tab w:val="left" w:pos="1980"/>
      </w:tabs>
      <w:spacing w:before="240" w:after="60" w:line="264" w:lineRule="auto"/>
    </w:pPr>
    <w:rPr>
      <w:rFonts w:asciiTheme="majorHAnsi" w:hAnsiTheme="majorHAnsi"/>
      <w:b/>
      <w:color w:val="A3519B" w:themeColor="accent2"/>
      <w:sz w:val="24"/>
    </w:rPr>
  </w:style>
  <w:style w:type="paragraph" w:customStyle="1" w:styleId="ImportantNoticeBody">
    <w:name w:val="Important Notice – Body"/>
    <w:basedOn w:val="Normal"/>
    <w:uiPriority w:val="99"/>
    <w:rsid w:val="00D251FD"/>
    <w:pPr>
      <w:tabs>
        <w:tab w:val="left" w:pos="1980"/>
      </w:tabs>
    </w:pPr>
    <w:rPr>
      <w:sz w:val="18"/>
    </w:rPr>
  </w:style>
  <w:style w:type="paragraph" w:customStyle="1" w:styleId="ImportantNotice-VersionControl">
    <w:name w:val="Important Notice - Version Control"/>
    <w:basedOn w:val="Normal"/>
    <w:uiPriority w:val="99"/>
    <w:rsid w:val="00D251FD"/>
    <w:pPr>
      <w:tabs>
        <w:tab w:val="left" w:pos="1980"/>
      </w:tabs>
      <w:spacing w:before="240" w:line="264" w:lineRule="auto"/>
    </w:pPr>
    <w:rPr>
      <w:rFonts w:asciiTheme="majorHAnsi" w:hAnsiTheme="majorHAnsi"/>
      <w:b/>
      <w:color w:val="6B3077" w:themeColor="accent1"/>
    </w:rPr>
  </w:style>
  <w:style w:type="paragraph" w:customStyle="1" w:styleId="TableText">
    <w:name w:val="Table Text"/>
    <w:uiPriority w:val="3"/>
    <w:qFormat/>
    <w:rsid w:val="00D251FD"/>
    <w:pPr>
      <w:tabs>
        <w:tab w:val="left" w:pos="1980"/>
      </w:tabs>
      <w:spacing w:before="60" w:after="60" w:line="240" w:lineRule="auto"/>
    </w:pPr>
    <w:rPr>
      <w:sz w:val="16"/>
    </w:rPr>
  </w:style>
  <w:style w:type="paragraph" w:customStyle="1" w:styleId="TableBullet">
    <w:name w:val="Table Bullet"/>
    <w:basedOn w:val="TableText"/>
    <w:uiPriority w:val="4"/>
    <w:qFormat/>
    <w:rsid w:val="00ED64AB"/>
    <w:pPr>
      <w:numPr>
        <w:numId w:val="2"/>
      </w:numPr>
    </w:pPr>
    <w:rPr>
      <w:szCs w:val="24"/>
      <w:lang w:eastAsia="en-AU"/>
    </w:rPr>
  </w:style>
  <w:style w:type="paragraph" w:customStyle="1" w:styleId="TableBullet2">
    <w:name w:val="Table Bullet 2"/>
    <w:basedOn w:val="TableText"/>
    <w:uiPriority w:val="4"/>
    <w:qFormat/>
    <w:rsid w:val="00D251FD"/>
    <w:pPr>
      <w:numPr>
        <w:ilvl w:val="1"/>
        <w:numId w:val="2"/>
      </w:numPr>
    </w:pPr>
  </w:style>
  <w:style w:type="paragraph" w:customStyle="1" w:styleId="TableHeading">
    <w:name w:val="Table Heading"/>
    <w:basedOn w:val="TableText"/>
    <w:uiPriority w:val="3"/>
    <w:qFormat/>
    <w:rsid w:val="00D251FD"/>
    <w:rPr>
      <w:b/>
    </w:rPr>
  </w:style>
  <w:style w:type="table" w:customStyle="1" w:styleId="AEMO-Table1">
    <w:name w:val="AEMO - Table 1"/>
    <w:basedOn w:val="TableNormal"/>
    <w:uiPriority w:val="99"/>
    <w:rsid w:val="00D251FD"/>
    <w:pPr>
      <w:spacing w:after="0" w:line="240" w:lineRule="auto"/>
    </w:pPr>
    <w:rPr>
      <w:sz w:val="24"/>
      <w:szCs w:val="24"/>
    </w:rPr>
    <w:tblPr>
      <w:tblStyleColBandSize w:val="1"/>
      <w:tblBorders>
        <w:bottom w:val="single" w:sz="4" w:space="0" w:color="D9D9D9" w:themeColor="text1" w:themeTint="33"/>
        <w:insideH w:val="single" w:sz="4" w:space="0" w:color="D9D9D9" w:themeColor="text1" w:themeTint="33"/>
      </w:tblBorders>
    </w:tblPr>
    <w:tblStylePr w:type="firstRow">
      <w:rPr>
        <w:b/>
        <w:i w:val="0"/>
        <w:color w:val="6B3077" w:themeColor="accent1"/>
      </w:rPr>
      <w:tblPr/>
      <w:trPr>
        <w:cantSplit/>
        <w:tblHeader/>
      </w:trPr>
      <w:tcPr>
        <w:tcBorders>
          <w:top w:val="single" w:sz="4" w:space="0" w:color="3C1053" w:themeColor="text2"/>
          <w:bottom w:val="single" w:sz="4" w:space="0" w:color="3C1053" w:themeColor="text2"/>
        </w:tcBorders>
      </w:tcPr>
    </w:tblStylePr>
    <w:tblStylePr w:type="firstCol">
      <w:rPr>
        <w:b/>
      </w:rPr>
      <w:tblPr/>
      <w:tcPr>
        <w:tcBorders>
          <w:insideH w:val="single" w:sz="4" w:space="0" w:color="B3B3B3" w:themeColor="text1" w:themeTint="66"/>
        </w:tcBorders>
        <w:shd w:val="clear" w:color="auto" w:fill="D9D9D9" w:themeFill="text1" w:themeFillTint="33"/>
      </w:tcPr>
    </w:tblStylePr>
    <w:tblStylePr w:type="band1Vert">
      <w:tblPr/>
      <w:tcPr>
        <w:shd w:val="clear" w:color="auto" w:fill="EEEEF0" w:themeFill="background2"/>
      </w:tcPr>
    </w:tblStylePr>
  </w:style>
  <w:style w:type="table" w:customStyle="1" w:styleId="AEMO-Table2">
    <w:name w:val="AEMO - Table 2"/>
    <w:basedOn w:val="TableNormal"/>
    <w:uiPriority w:val="99"/>
    <w:rsid w:val="00D251FD"/>
    <w:pPr>
      <w:spacing w:after="0" w:line="240" w:lineRule="auto"/>
    </w:pPr>
    <w:rPr>
      <w:sz w:val="24"/>
      <w:szCs w:val="24"/>
    </w:rPr>
    <w:tblPr>
      <w:tblStyleColBandSize w:val="1"/>
      <w:tblBorders>
        <w:top w:val="single" w:sz="4" w:space="0" w:color="3C1053" w:themeColor="text2"/>
        <w:bottom w:val="single" w:sz="4" w:space="0" w:color="3C1053" w:themeColor="text2"/>
        <w:insideH w:val="single" w:sz="4" w:space="0" w:color="3C1053" w:themeColor="text2"/>
      </w:tblBorders>
    </w:tblPr>
    <w:tblStylePr w:type="firstRow">
      <w:rPr>
        <w:b/>
        <w:i w:val="0"/>
        <w:color w:val="3C1053" w:themeColor="text2"/>
      </w:rPr>
      <w:tblPr/>
      <w:trPr>
        <w:cantSplit/>
        <w:tblHeader/>
      </w:trPr>
      <w:tcPr>
        <w:shd w:val="clear" w:color="auto" w:fill="E6CEEB" w:themeFill="accent1" w:themeFillTint="33"/>
      </w:tcPr>
    </w:tblStylePr>
    <w:tblStylePr w:type="firstCol">
      <w:rPr>
        <w:b/>
        <w:i w:val="0"/>
      </w:rPr>
      <w:tblPr/>
      <w:tcPr>
        <w:shd w:val="clear" w:color="auto" w:fill="D9D9D9" w:themeFill="text1" w:themeFillTint="33"/>
      </w:tcPr>
    </w:tblStylePr>
    <w:tblStylePr w:type="band1Vert">
      <w:tblPr/>
      <w:tcPr>
        <w:shd w:val="clear" w:color="auto" w:fill="EEEEF0" w:themeFill="background2"/>
      </w:tcPr>
    </w:tblStylePr>
  </w:style>
  <w:style w:type="table" w:customStyle="1" w:styleId="AEMO-Table3">
    <w:name w:val="AEMO - Table 3"/>
    <w:basedOn w:val="TableNormal"/>
    <w:uiPriority w:val="99"/>
    <w:rsid w:val="00D251FD"/>
    <w:pPr>
      <w:spacing w:after="0" w:line="240" w:lineRule="auto"/>
    </w:pPr>
    <w:rPr>
      <w:sz w:val="24"/>
      <w:szCs w:val="24"/>
    </w:rPr>
    <w:tblPr>
      <w:tblStyleColBandSize w:val="1"/>
      <w:tblBorders>
        <w:top w:val="single" w:sz="4" w:space="0" w:color="6B3077" w:themeColor="accent1"/>
        <w:left w:val="single" w:sz="4" w:space="0" w:color="6B3077" w:themeColor="accent1"/>
        <w:bottom w:val="single" w:sz="4" w:space="0" w:color="6B3077" w:themeColor="accent1"/>
        <w:right w:val="single" w:sz="4" w:space="0" w:color="6B3077" w:themeColor="accent1"/>
        <w:insideH w:val="single" w:sz="4" w:space="0" w:color="6B3077" w:themeColor="accent1"/>
        <w:insideV w:val="single" w:sz="4" w:space="0" w:color="6B3077" w:themeColor="accent1"/>
      </w:tblBorders>
    </w:tblPr>
    <w:tblStylePr w:type="firstRow">
      <w:rPr>
        <w:b/>
        <w:i w:val="0"/>
        <w:color w:val="FFFFFF" w:themeColor="background1"/>
      </w:rPr>
      <w:tblPr/>
      <w:trPr>
        <w:cantSplit/>
        <w:tblHeader/>
      </w:trPr>
      <w:tcPr>
        <w:tcBorders>
          <w:top w:val="single" w:sz="4" w:space="0" w:color="6B3077" w:themeColor="accent1"/>
          <w:left w:val="single" w:sz="4" w:space="0" w:color="6B3077" w:themeColor="accent1"/>
          <w:bottom w:val="single" w:sz="4" w:space="0" w:color="6B3077" w:themeColor="accent1"/>
          <w:right w:val="single" w:sz="4" w:space="0" w:color="6B3077" w:themeColor="accent1"/>
          <w:insideH w:val="single" w:sz="4" w:space="0" w:color="6B3077" w:themeColor="accent1"/>
          <w:insideV w:val="single" w:sz="4" w:space="0" w:color="6B3077" w:themeColor="accent1"/>
        </w:tcBorders>
        <w:shd w:val="clear" w:color="auto" w:fill="6B3077" w:themeFill="accent1"/>
      </w:tcPr>
    </w:tblStylePr>
    <w:tblStylePr w:type="firstCol">
      <w:rPr>
        <w:b/>
        <w:i w:val="0"/>
      </w:rPr>
      <w:tblPr/>
      <w:tcPr>
        <w:shd w:val="clear" w:color="auto" w:fill="D9D9D9" w:themeFill="text1" w:themeFillTint="33"/>
      </w:tcPr>
    </w:tblStylePr>
    <w:tblStylePr w:type="band1Vert">
      <w:tblPr/>
      <w:tcPr>
        <w:shd w:val="clear" w:color="auto" w:fill="EEEEF0" w:themeFill="background2"/>
      </w:tcPr>
    </w:tblStylePr>
  </w:style>
  <w:style w:type="table" w:customStyle="1" w:styleId="AEMO-Table4">
    <w:name w:val="AEMO - Table 4"/>
    <w:basedOn w:val="TableNormal"/>
    <w:uiPriority w:val="99"/>
    <w:rsid w:val="00D251FD"/>
    <w:pPr>
      <w:spacing w:after="0" w:line="240" w:lineRule="auto"/>
    </w:pPr>
    <w:rPr>
      <w:sz w:val="24"/>
      <w:szCs w:val="24"/>
    </w:rPr>
    <w:tblPr>
      <w:tblStyleColBandSize w:val="1"/>
      <w:tblBorders>
        <w:insideH w:val="single" w:sz="4" w:space="0" w:color="FFFFFF" w:themeColor="background1"/>
        <w:insideV w:val="single" w:sz="4" w:space="0" w:color="FFFFFF" w:themeColor="background1"/>
      </w:tblBorders>
    </w:tblPr>
    <w:tcPr>
      <w:shd w:val="clear" w:color="auto" w:fill="EEEEF0" w:themeFill="background2"/>
    </w:tcPr>
    <w:tblStylePr w:type="firstRow">
      <w:rPr>
        <w:b/>
        <w:i w:val="0"/>
        <w:color w:val="FFFFFF" w:themeColor="background1"/>
      </w:rPr>
      <w:tblPr/>
      <w:trPr>
        <w:cantSplit/>
        <w:tblHeader/>
      </w:trPr>
      <w:tcPr>
        <w:shd w:val="clear" w:color="auto" w:fill="6B3077" w:themeFill="accent1"/>
      </w:tcPr>
    </w:tblStylePr>
    <w:tblStylePr w:type="firstCol">
      <w:rPr>
        <w:b/>
        <w:i w:val="0"/>
        <w:color w:val="6B3077" w:themeColor="accent1"/>
      </w:rPr>
      <w:tblPr/>
      <w:tcPr>
        <w:shd w:val="clear" w:color="auto" w:fill="E6CEEB" w:themeFill="accent1" w:themeFillTint="33"/>
      </w:tcPr>
    </w:tblStylePr>
    <w:tblStylePr w:type="band2Vert">
      <w:tblPr/>
      <w:tcPr>
        <w:shd w:val="clear" w:color="auto" w:fill="D5D5DA" w:themeFill="background2" w:themeFillShade="E6"/>
      </w:tcPr>
    </w:tblStylePr>
  </w:style>
  <w:style w:type="paragraph" w:customStyle="1" w:styleId="Heading-Nonumber">
    <w:name w:val="Heading - No number"/>
    <w:basedOn w:val="Normal"/>
    <w:next w:val="BodyText"/>
    <w:uiPriority w:val="8"/>
    <w:qFormat/>
    <w:rsid w:val="00D251FD"/>
    <w:pPr>
      <w:tabs>
        <w:tab w:val="left" w:pos="1980"/>
      </w:tabs>
    </w:pPr>
    <w:rPr>
      <w:rFonts w:asciiTheme="majorHAnsi" w:hAnsiTheme="majorHAnsi"/>
      <w:b/>
      <w:color w:val="6B3077" w:themeColor="accent1"/>
      <w:sz w:val="52"/>
    </w:rPr>
  </w:style>
  <w:style w:type="paragraph" w:customStyle="1" w:styleId="BreakoutBoxHeading">
    <w:name w:val="Breakout Box Heading"/>
    <w:basedOn w:val="Normal"/>
    <w:next w:val="BodyText"/>
    <w:uiPriority w:val="99"/>
    <w:qFormat/>
    <w:rsid w:val="00D251FD"/>
    <w:pPr>
      <w:tabs>
        <w:tab w:val="left" w:pos="1980"/>
      </w:tabs>
      <w:spacing w:after="60"/>
    </w:pPr>
    <w:rPr>
      <w:rFonts w:asciiTheme="majorHAnsi" w:hAnsiTheme="majorHAnsi"/>
      <w:b/>
      <w:color w:val="6B3077" w:themeColor="accent1"/>
      <w:sz w:val="22"/>
    </w:rPr>
  </w:style>
  <w:style w:type="paragraph" w:styleId="Header">
    <w:name w:val="header"/>
    <w:basedOn w:val="Normal"/>
    <w:link w:val="HeaderChar"/>
    <w:uiPriority w:val="99"/>
    <w:unhideWhenUsed/>
    <w:rsid w:val="00D251F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251FD"/>
    <w:rPr>
      <w:color w:val="424242" w:themeColor="text1"/>
      <w:sz w:val="20"/>
    </w:rPr>
  </w:style>
  <w:style w:type="paragraph" w:styleId="Footer">
    <w:name w:val="footer"/>
    <w:basedOn w:val="Normal"/>
    <w:link w:val="FooterChar"/>
    <w:uiPriority w:val="99"/>
    <w:unhideWhenUsed/>
    <w:rsid w:val="00D251FD"/>
    <w:pPr>
      <w:tabs>
        <w:tab w:val="center" w:pos="4680"/>
        <w:tab w:val="right" w:pos="9360"/>
      </w:tabs>
      <w:spacing w:before="40" w:after="20" w:line="240" w:lineRule="auto"/>
    </w:pPr>
    <w:rPr>
      <w:rFonts w:asciiTheme="majorHAnsi" w:hAnsiTheme="majorHAnsi"/>
      <w:color w:val="6B3077" w:themeColor="accent1"/>
      <w:sz w:val="15"/>
    </w:rPr>
  </w:style>
  <w:style w:type="character" w:customStyle="1" w:styleId="FooterChar">
    <w:name w:val="Footer Char"/>
    <w:basedOn w:val="DefaultParagraphFont"/>
    <w:link w:val="Footer"/>
    <w:uiPriority w:val="99"/>
    <w:rsid w:val="00D251FD"/>
    <w:rPr>
      <w:rFonts w:asciiTheme="majorHAnsi" w:hAnsiTheme="majorHAnsi"/>
      <w:color w:val="6B3077" w:themeColor="accent1"/>
      <w:sz w:val="15"/>
    </w:rPr>
  </w:style>
  <w:style w:type="paragraph" w:styleId="NoSpacing">
    <w:name w:val="No Spacing"/>
    <w:uiPriority w:val="99"/>
    <w:qFormat/>
    <w:rsid w:val="00D251FD"/>
    <w:pPr>
      <w:spacing w:after="0" w:line="240" w:lineRule="auto"/>
    </w:pPr>
    <w:rPr>
      <w:color w:val="424242" w:themeColor="text1"/>
      <w:sz w:val="20"/>
    </w:rPr>
  </w:style>
  <w:style w:type="paragraph" w:styleId="FootnoteText">
    <w:name w:val="footnote text"/>
    <w:aliases w:val="(NECG) Footnote Text,ALTS FOOTNOTE,APR,APR Footnote,(NECG) Footnote Text1,(NECG) Footnote Text2,(NECG) Footnote Text3,(NECG) Footnote Text4,(NECG) Footnote Text5,(NECG) Footnote Text6,(NECG) Footnote Text7,(NECG) Footnote Text8,Char6,f"/>
    <w:basedOn w:val="Normal"/>
    <w:link w:val="FootnoteTextChar"/>
    <w:uiPriority w:val="99"/>
    <w:unhideWhenUsed/>
    <w:rsid w:val="00D251FD"/>
    <w:pPr>
      <w:spacing w:before="60" w:after="60" w:line="240" w:lineRule="auto"/>
      <w:ind w:left="142" w:hanging="142"/>
    </w:pPr>
    <w:rPr>
      <w:sz w:val="16"/>
      <w:szCs w:val="20"/>
    </w:rPr>
  </w:style>
  <w:style w:type="character" w:customStyle="1" w:styleId="FootnoteTextChar">
    <w:name w:val="Footnote Text Char"/>
    <w:aliases w:val="(NECG) Footnote Text Char,ALTS FOOTNOTE Char,APR Char,APR Footnote Char,(NECG) Footnote Text1 Char,(NECG) Footnote Text2 Char,(NECG) Footnote Text3 Char,(NECG) Footnote Text4 Char,(NECG) Footnote Text5 Char,(NECG) Footnote Text6 Char"/>
    <w:basedOn w:val="DefaultParagraphFont"/>
    <w:link w:val="FootnoteText"/>
    <w:uiPriority w:val="99"/>
    <w:rsid w:val="00D251FD"/>
    <w:rPr>
      <w:color w:val="424242" w:themeColor="text1"/>
      <w:sz w:val="16"/>
      <w:szCs w:val="20"/>
    </w:rPr>
  </w:style>
  <w:style w:type="character" w:styleId="FootnoteReference">
    <w:name w:val="footnote reference"/>
    <w:aliases w:val="(NECG) Footnote Reference,SFG_Footnote_Reference,(NECG) Footnote Reference1,(NECG) Footnote Reference2,o,Style 3,Style 12,fr,Appel note de bas de p,Style 124,(NECG) Footnote Reference3,(NECG) Footnote Reference4,(NECG) Footnote"/>
    <w:basedOn w:val="DefaultParagraphFont"/>
    <w:uiPriority w:val="99"/>
    <w:unhideWhenUsed/>
    <w:rsid w:val="00D251FD"/>
    <w:rPr>
      <w:rFonts w:ascii="Arial Nova" w:hAnsi="Arial Nova"/>
      <w:vertAlign w:val="superscript"/>
    </w:rPr>
  </w:style>
  <w:style w:type="character" w:customStyle="1" w:styleId="Heading1Char">
    <w:name w:val="Heading 1 Char"/>
    <w:basedOn w:val="DefaultParagraphFont"/>
    <w:link w:val="Heading1"/>
    <w:uiPriority w:val="9"/>
    <w:rsid w:val="00D251FD"/>
    <w:rPr>
      <w:rFonts w:asciiTheme="majorHAnsi" w:eastAsiaTheme="majorEastAsia" w:hAnsiTheme="majorHAnsi" w:cstheme="majorBidi"/>
      <w:b/>
      <w:color w:val="6B3077" w:themeColor="accent1"/>
      <w:sz w:val="48"/>
      <w:szCs w:val="32"/>
    </w:rPr>
  </w:style>
  <w:style w:type="character" w:customStyle="1" w:styleId="Heading2Char">
    <w:name w:val="Heading 2 Char"/>
    <w:basedOn w:val="DefaultParagraphFont"/>
    <w:link w:val="Heading2"/>
    <w:uiPriority w:val="9"/>
    <w:rsid w:val="00D251FD"/>
    <w:rPr>
      <w:rFonts w:asciiTheme="majorHAnsi" w:eastAsiaTheme="majorEastAsia" w:hAnsiTheme="majorHAnsi" w:cstheme="majorBidi"/>
      <w:b/>
      <w:color w:val="A3519B" w:themeColor="accent2"/>
      <w:sz w:val="28"/>
      <w:szCs w:val="26"/>
    </w:rPr>
  </w:style>
  <w:style w:type="character" w:customStyle="1" w:styleId="Heading3Char">
    <w:name w:val="Heading 3 Char"/>
    <w:basedOn w:val="DefaultParagraphFont"/>
    <w:link w:val="Heading3"/>
    <w:uiPriority w:val="9"/>
    <w:rsid w:val="00D251FD"/>
    <w:rPr>
      <w:rFonts w:asciiTheme="majorHAnsi" w:eastAsiaTheme="majorEastAsia" w:hAnsiTheme="majorHAnsi" w:cstheme="majorBidi"/>
      <w:b/>
      <w:color w:val="A3519B" w:themeColor="accent2"/>
      <w:szCs w:val="28"/>
    </w:rPr>
  </w:style>
  <w:style w:type="character" w:customStyle="1" w:styleId="Heading4Char">
    <w:name w:val="Heading 4 Char"/>
    <w:basedOn w:val="DefaultParagraphFont"/>
    <w:link w:val="Heading4"/>
    <w:uiPriority w:val="9"/>
    <w:rsid w:val="00D251FD"/>
    <w:rPr>
      <w:rFonts w:asciiTheme="majorHAnsi" w:eastAsiaTheme="majorEastAsia" w:hAnsiTheme="majorHAnsi" w:cstheme="majorBidi"/>
      <w:iCs/>
      <w:color w:val="6B3077" w:themeColor="accent1"/>
    </w:rPr>
  </w:style>
  <w:style w:type="character" w:customStyle="1" w:styleId="Heading5Char">
    <w:name w:val="Heading 5 Char"/>
    <w:basedOn w:val="DefaultParagraphFont"/>
    <w:link w:val="Heading5"/>
    <w:uiPriority w:val="9"/>
    <w:rsid w:val="00D251FD"/>
    <w:rPr>
      <w:rFonts w:asciiTheme="majorHAnsi" w:eastAsiaTheme="majorEastAsia" w:hAnsiTheme="majorHAnsi" w:cstheme="majorBidi"/>
      <w:iCs/>
      <w:sz w:val="20"/>
      <w:szCs w:val="20"/>
    </w:rPr>
  </w:style>
  <w:style w:type="character" w:customStyle="1" w:styleId="Heading6Char">
    <w:name w:val="Heading 6 Char"/>
    <w:basedOn w:val="DefaultParagraphFont"/>
    <w:link w:val="Heading6"/>
    <w:uiPriority w:val="9"/>
    <w:rsid w:val="00D251FD"/>
    <w:rPr>
      <w:rFonts w:asciiTheme="majorHAnsi" w:eastAsiaTheme="majorEastAsia" w:hAnsiTheme="majorHAnsi" w:cstheme="majorBidi"/>
      <w:i/>
      <w:color w:val="424242" w:themeColor="text1"/>
      <w:sz w:val="20"/>
      <w:szCs w:val="20"/>
    </w:rPr>
  </w:style>
  <w:style w:type="character" w:customStyle="1" w:styleId="Heading7Char">
    <w:name w:val="Heading 7 Char"/>
    <w:basedOn w:val="DefaultParagraphFont"/>
    <w:link w:val="Heading7"/>
    <w:uiPriority w:val="9"/>
    <w:semiHidden/>
    <w:rsid w:val="00D251FD"/>
    <w:rPr>
      <w:rFonts w:asciiTheme="majorHAnsi" w:eastAsiaTheme="majorEastAsia" w:hAnsiTheme="majorHAnsi" w:cstheme="majorBidi"/>
      <w:i/>
      <w:iCs/>
      <w:color w:val="34183B" w:themeColor="accent1" w:themeShade="7F"/>
      <w:sz w:val="20"/>
    </w:rPr>
  </w:style>
  <w:style w:type="character" w:customStyle="1" w:styleId="Heading8Char">
    <w:name w:val="Heading 8 Char"/>
    <w:basedOn w:val="DefaultParagraphFont"/>
    <w:link w:val="Heading8"/>
    <w:uiPriority w:val="9"/>
    <w:semiHidden/>
    <w:rsid w:val="00D251FD"/>
    <w:rPr>
      <w:rFonts w:asciiTheme="majorHAnsi" w:eastAsiaTheme="majorEastAsia" w:hAnsiTheme="majorHAnsi" w:cstheme="majorBidi"/>
      <w:color w:val="5E5E5E" w:themeColor="text1" w:themeTint="D8"/>
      <w:sz w:val="21"/>
      <w:szCs w:val="21"/>
    </w:rPr>
  </w:style>
  <w:style w:type="character" w:customStyle="1" w:styleId="Heading9Char">
    <w:name w:val="Heading 9 Char"/>
    <w:basedOn w:val="DefaultParagraphFont"/>
    <w:link w:val="Heading9"/>
    <w:uiPriority w:val="9"/>
    <w:semiHidden/>
    <w:rsid w:val="00D251FD"/>
    <w:rPr>
      <w:rFonts w:asciiTheme="majorHAnsi" w:eastAsiaTheme="majorEastAsia" w:hAnsiTheme="majorHAnsi" w:cstheme="majorBidi"/>
      <w:i/>
      <w:iCs/>
      <w:color w:val="5E5E5E" w:themeColor="text1" w:themeTint="D8"/>
      <w:sz w:val="21"/>
      <w:szCs w:val="21"/>
    </w:rPr>
  </w:style>
  <w:style w:type="paragraph" w:customStyle="1" w:styleId="HeadlineStatement">
    <w:name w:val="Headline Statement"/>
    <w:basedOn w:val="BodyText"/>
    <w:uiPriority w:val="11"/>
    <w:qFormat/>
    <w:rsid w:val="00D251FD"/>
    <w:pPr>
      <w:spacing w:before="240"/>
    </w:pPr>
    <w:rPr>
      <w:rFonts w:asciiTheme="majorHAnsi" w:hAnsiTheme="majorHAnsi"/>
      <w:color w:val="6B3077" w:themeColor="accent1"/>
      <w:sz w:val="24"/>
    </w:rPr>
  </w:style>
  <w:style w:type="paragraph" w:customStyle="1" w:styleId="StatementBullet">
    <w:name w:val="Statement Bullet"/>
    <w:basedOn w:val="HeadlineStatement"/>
    <w:uiPriority w:val="19"/>
    <w:qFormat/>
    <w:rsid w:val="00261D2D"/>
    <w:pPr>
      <w:numPr>
        <w:numId w:val="3"/>
      </w:numPr>
      <w:spacing w:before="0" w:after="240"/>
      <w:ind w:left="284" w:hanging="284"/>
      <w:contextualSpacing/>
    </w:pPr>
  </w:style>
  <w:style w:type="numbering" w:customStyle="1" w:styleId="CurrentList1">
    <w:name w:val="Current List1"/>
    <w:uiPriority w:val="99"/>
    <w:rsid w:val="00D251FD"/>
    <w:pPr>
      <w:numPr>
        <w:numId w:val="4"/>
      </w:numPr>
    </w:pPr>
  </w:style>
  <w:style w:type="paragraph" w:styleId="ListBullet">
    <w:name w:val="List Bullet"/>
    <w:basedOn w:val="BodyText"/>
    <w:uiPriority w:val="1"/>
    <w:unhideWhenUsed/>
    <w:qFormat/>
    <w:rsid w:val="00261D2D"/>
    <w:pPr>
      <w:numPr>
        <w:numId w:val="5"/>
      </w:numPr>
      <w:spacing w:before="100" w:after="60"/>
    </w:pPr>
  </w:style>
  <w:style w:type="paragraph" w:styleId="ListBullet2">
    <w:name w:val="List Bullet 2"/>
    <w:basedOn w:val="Normal"/>
    <w:uiPriority w:val="1"/>
    <w:unhideWhenUsed/>
    <w:qFormat/>
    <w:rsid w:val="00261D2D"/>
    <w:pPr>
      <w:numPr>
        <w:ilvl w:val="1"/>
        <w:numId w:val="5"/>
      </w:numPr>
      <w:spacing w:before="100" w:after="60"/>
    </w:pPr>
  </w:style>
  <w:style w:type="paragraph" w:styleId="ListBullet3">
    <w:name w:val="List Bullet 3"/>
    <w:basedOn w:val="Normal"/>
    <w:uiPriority w:val="1"/>
    <w:unhideWhenUsed/>
    <w:qFormat/>
    <w:rsid w:val="00D251FD"/>
    <w:pPr>
      <w:numPr>
        <w:ilvl w:val="2"/>
        <w:numId w:val="5"/>
      </w:numPr>
      <w:spacing w:before="100" w:after="60"/>
    </w:pPr>
  </w:style>
  <w:style w:type="paragraph" w:styleId="Caption">
    <w:name w:val="caption"/>
    <w:basedOn w:val="Normal"/>
    <w:next w:val="BodyText"/>
    <w:uiPriority w:val="35"/>
    <w:unhideWhenUsed/>
    <w:qFormat/>
    <w:rsid w:val="00D251FD"/>
    <w:pPr>
      <w:keepNext/>
      <w:spacing w:before="300" w:line="240" w:lineRule="auto"/>
      <w:ind w:left="992" w:hanging="992"/>
    </w:pPr>
    <w:rPr>
      <w:rFonts w:asciiTheme="majorHAnsi" w:hAnsiTheme="majorHAnsi"/>
      <w:b/>
      <w:iCs/>
      <w:color w:val="6B3077" w:themeColor="accent1"/>
      <w:sz w:val="18"/>
      <w:szCs w:val="18"/>
    </w:rPr>
  </w:style>
  <w:style w:type="paragraph" w:customStyle="1" w:styleId="AppendixHeading">
    <w:name w:val="Appendix Heading"/>
    <w:basedOn w:val="Heading1"/>
    <w:next w:val="BodyText"/>
    <w:uiPriority w:val="99"/>
    <w:qFormat/>
    <w:rsid w:val="00261D2D"/>
    <w:pPr>
      <w:numPr>
        <w:numId w:val="8"/>
      </w:numPr>
    </w:pPr>
  </w:style>
  <w:style w:type="paragraph" w:customStyle="1" w:styleId="TableFigureFootnote">
    <w:name w:val="Table/ Figure Footnote"/>
    <w:basedOn w:val="BodyText"/>
    <w:link w:val="TableFigureFootnoteChar"/>
    <w:uiPriority w:val="4"/>
    <w:qFormat/>
    <w:rsid w:val="00D251FD"/>
    <w:pPr>
      <w:spacing w:before="60" w:line="240" w:lineRule="auto"/>
      <w:contextualSpacing/>
    </w:pPr>
    <w:rPr>
      <w:sz w:val="15"/>
    </w:rPr>
  </w:style>
  <w:style w:type="paragraph" w:customStyle="1" w:styleId="TableFigureFootnoteBullet">
    <w:name w:val="Table/ Figure Footnote Bullet"/>
    <w:basedOn w:val="TableFigureFootnote"/>
    <w:uiPriority w:val="4"/>
    <w:qFormat/>
    <w:rsid w:val="00261D2D"/>
    <w:pPr>
      <w:numPr>
        <w:numId w:val="7"/>
      </w:numPr>
      <w:ind w:left="170" w:hanging="170"/>
    </w:pPr>
  </w:style>
  <w:style w:type="paragraph" w:styleId="ListNumber">
    <w:name w:val="List Number"/>
    <w:uiPriority w:val="99"/>
    <w:qFormat/>
    <w:rsid w:val="00261D2D"/>
    <w:pPr>
      <w:numPr>
        <w:numId w:val="13"/>
      </w:numPr>
      <w:spacing w:before="100" w:after="60" w:line="312" w:lineRule="auto"/>
    </w:pPr>
    <w:rPr>
      <w:rFonts w:eastAsiaTheme="minorEastAsia" w:cs="Arial"/>
      <w:color w:val="424242" w:themeColor="text1"/>
      <w:sz w:val="20"/>
      <w:szCs w:val="20"/>
      <w:lang w:val="en-GB" w:eastAsia="ko-KR"/>
    </w:rPr>
  </w:style>
  <w:style w:type="paragraph" w:styleId="ListNumber2">
    <w:name w:val="List Number 2"/>
    <w:uiPriority w:val="99"/>
    <w:qFormat/>
    <w:rsid w:val="00D251FD"/>
    <w:pPr>
      <w:numPr>
        <w:ilvl w:val="1"/>
        <w:numId w:val="13"/>
      </w:numPr>
      <w:spacing w:before="100" w:after="60" w:line="312" w:lineRule="auto"/>
    </w:pPr>
    <w:rPr>
      <w:rFonts w:eastAsiaTheme="minorEastAsia" w:cs="Arial"/>
      <w:color w:val="424242" w:themeColor="text1"/>
      <w:sz w:val="20"/>
      <w:szCs w:val="20"/>
      <w:lang w:val="en-GB" w:eastAsia="ko-KR"/>
    </w:rPr>
  </w:style>
  <w:style w:type="paragraph" w:styleId="ListNumber3">
    <w:name w:val="List Number 3"/>
    <w:uiPriority w:val="99"/>
    <w:qFormat/>
    <w:rsid w:val="00D251FD"/>
    <w:pPr>
      <w:numPr>
        <w:ilvl w:val="2"/>
        <w:numId w:val="13"/>
      </w:numPr>
      <w:spacing w:before="100" w:after="60" w:line="312" w:lineRule="auto"/>
    </w:pPr>
    <w:rPr>
      <w:rFonts w:eastAsiaTheme="minorEastAsia" w:cs="Arial Unicode MS"/>
      <w:bCs/>
      <w:color w:val="424242" w:themeColor="text1"/>
      <w:sz w:val="20"/>
      <w:szCs w:val="20"/>
      <w:lang w:eastAsia="ko-KR"/>
    </w:rPr>
  </w:style>
  <w:style w:type="table" w:styleId="TableTheme">
    <w:name w:val="Table Theme"/>
    <w:basedOn w:val="TableNormal"/>
    <w:uiPriority w:val="99"/>
    <w:rsid w:val="00D251FD"/>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2">
    <w:name w:val="Appendix Heading 2"/>
    <w:basedOn w:val="Heading2"/>
    <w:next w:val="BodyText"/>
    <w:uiPriority w:val="99"/>
    <w:qFormat/>
    <w:rsid w:val="00261D2D"/>
    <w:pPr>
      <w:numPr>
        <w:numId w:val="8"/>
      </w:numPr>
    </w:pPr>
  </w:style>
  <w:style w:type="paragraph" w:customStyle="1" w:styleId="AppendixHeading3">
    <w:name w:val="Appendix Heading 3"/>
    <w:basedOn w:val="Heading3"/>
    <w:next w:val="BodyText"/>
    <w:uiPriority w:val="99"/>
    <w:qFormat/>
    <w:rsid w:val="00261D2D"/>
    <w:pPr>
      <w:numPr>
        <w:numId w:val="8"/>
      </w:numPr>
    </w:pPr>
    <w:rPr>
      <w:szCs w:val="22"/>
    </w:rPr>
  </w:style>
  <w:style w:type="paragraph" w:customStyle="1" w:styleId="Header-SectionHeading2">
    <w:name w:val="Header - Section Heading 2"/>
    <w:basedOn w:val="Header-SectionHeading1"/>
    <w:uiPriority w:val="10"/>
    <w:rsid w:val="00D251FD"/>
    <w:rPr>
      <w:noProof/>
      <w:color w:val="9B2241" w:themeColor="accent3"/>
    </w:rPr>
  </w:style>
  <w:style w:type="paragraph" w:styleId="ListContinue">
    <w:name w:val="List Continue"/>
    <w:basedOn w:val="Normal"/>
    <w:uiPriority w:val="99"/>
    <w:unhideWhenUsed/>
    <w:qFormat/>
    <w:rsid w:val="00D251FD"/>
    <w:pPr>
      <w:ind w:left="283"/>
      <w:contextualSpacing/>
    </w:pPr>
  </w:style>
  <w:style w:type="paragraph" w:styleId="ListContinue2">
    <w:name w:val="List Continue 2"/>
    <w:basedOn w:val="Normal"/>
    <w:uiPriority w:val="99"/>
    <w:unhideWhenUsed/>
    <w:qFormat/>
    <w:rsid w:val="00D251FD"/>
    <w:pPr>
      <w:ind w:left="566"/>
      <w:contextualSpacing/>
    </w:pPr>
  </w:style>
  <w:style w:type="paragraph" w:styleId="ListContinue3">
    <w:name w:val="List Continue 3"/>
    <w:basedOn w:val="Normal"/>
    <w:uiPriority w:val="99"/>
    <w:unhideWhenUsed/>
    <w:qFormat/>
    <w:rsid w:val="00D251FD"/>
    <w:pPr>
      <w:ind w:left="849"/>
      <w:contextualSpacing/>
    </w:pPr>
  </w:style>
  <w:style w:type="paragraph" w:customStyle="1" w:styleId="CaptionFigure">
    <w:name w:val="Caption Figure"/>
    <w:basedOn w:val="CaptionTable"/>
    <w:next w:val="BodyText"/>
    <w:uiPriority w:val="2"/>
    <w:qFormat/>
    <w:rsid w:val="00261D2D"/>
    <w:pPr>
      <w:numPr>
        <w:numId w:val="9"/>
      </w:numPr>
      <w:ind w:left="992" w:hanging="992"/>
    </w:pPr>
  </w:style>
  <w:style w:type="paragraph" w:styleId="Quote">
    <w:name w:val="Quote"/>
    <w:link w:val="QuoteChar"/>
    <w:uiPriority w:val="29"/>
    <w:qFormat/>
    <w:rsid w:val="00D251FD"/>
    <w:pPr>
      <w:spacing w:before="160" w:line="240" w:lineRule="auto"/>
    </w:pPr>
    <w:rPr>
      <w:rFonts w:ascii="Century Gothic" w:eastAsiaTheme="minorEastAsia" w:hAnsi="Century Gothic" w:cs="Arial Unicode MS"/>
      <w:i/>
      <w:iCs/>
      <w:color w:val="6B3077" w:themeColor="accent1"/>
      <w:sz w:val="18"/>
      <w:szCs w:val="18"/>
      <w:lang w:eastAsia="ko-KR"/>
    </w:rPr>
  </w:style>
  <w:style w:type="character" w:customStyle="1" w:styleId="QuoteChar">
    <w:name w:val="Quote Char"/>
    <w:basedOn w:val="DefaultParagraphFont"/>
    <w:link w:val="Quote"/>
    <w:uiPriority w:val="29"/>
    <w:rsid w:val="00D251FD"/>
    <w:rPr>
      <w:rFonts w:ascii="Century Gothic" w:eastAsiaTheme="minorEastAsia" w:hAnsi="Century Gothic" w:cs="Arial Unicode MS"/>
      <w:i/>
      <w:iCs/>
      <w:color w:val="6B3077" w:themeColor="accent1"/>
      <w:sz w:val="18"/>
      <w:szCs w:val="18"/>
      <w:lang w:eastAsia="ko-KR"/>
    </w:rPr>
  </w:style>
  <w:style w:type="paragraph" w:customStyle="1" w:styleId="Header-SectionHeading1">
    <w:name w:val="Header - Section Heading 1"/>
    <w:uiPriority w:val="10"/>
    <w:rsid w:val="00D251FD"/>
    <w:rPr>
      <w:i/>
      <w:color w:val="A3519B" w:themeColor="accent2"/>
      <w:sz w:val="20"/>
    </w:rPr>
  </w:style>
  <w:style w:type="paragraph" w:styleId="TOCHeading">
    <w:name w:val="TOC Heading"/>
    <w:basedOn w:val="Heading1"/>
    <w:next w:val="Normal"/>
    <w:uiPriority w:val="39"/>
    <w:unhideWhenUsed/>
    <w:qFormat/>
    <w:rsid w:val="00261D2D"/>
    <w:pPr>
      <w:numPr>
        <w:numId w:val="0"/>
      </w:numPr>
      <w:spacing w:before="0" w:after="200"/>
      <w:outlineLvl w:val="9"/>
    </w:pPr>
  </w:style>
  <w:style w:type="paragraph" w:styleId="TOC2">
    <w:name w:val="toc 2"/>
    <w:basedOn w:val="TOC1"/>
    <w:next w:val="BodyText"/>
    <w:autoRedefine/>
    <w:uiPriority w:val="39"/>
    <w:unhideWhenUsed/>
    <w:rsid w:val="00D251FD"/>
  </w:style>
  <w:style w:type="paragraph" w:styleId="TOC1">
    <w:name w:val="toc 1"/>
    <w:next w:val="BodyText"/>
    <w:autoRedefine/>
    <w:uiPriority w:val="39"/>
    <w:unhideWhenUsed/>
    <w:rsid w:val="00D251FD"/>
    <w:pPr>
      <w:tabs>
        <w:tab w:val="left" w:pos="680"/>
        <w:tab w:val="right" w:pos="9185"/>
      </w:tabs>
      <w:spacing w:before="160" w:after="100" w:line="264" w:lineRule="auto"/>
      <w:ind w:left="680" w:right="1134" w:hanging="680"/>
    </w:pPr>
    <w:rPr>
      <w:rFonts w:eastAsiaTheme="majorEastAsia" w:cs="Times New Roman"/>
      <w:bCs/>
      <w:noProof/>
      <w:color w:val="424242" w:themeColor="text1"/>
      <w:sz w:val="20"/>
      <w:szCs w:val="24"/>
      <w:lang w:val="en-US"/>
    </w:rPr>
  </w:style>
  <w:style w:type="paragraph" w:styleId="TOC3">
    <w:name w:val="toc 3"/>
    <w:basedOn w:val="TOC2"/>
    <w:next w:val="BodyText"/>
    <w:autoRedefine/>
    <w:uiPriority w:val="39"/>
    <w:unhideWhenUsed/>
    <w:rsid w:val="00D251FD"/>
  </w:style>
  <w:style w:type="paragraph" w:styleId="TOC4">
    <w:name w:val="toc 4"/>
    <w:next w:val="BodyText"/>
    <w:autoRedefine/>
    <w:uiPriority w:val="39"/>
    <w:rsid w:val="00362548"/>
    <w:pPr>
      <w:tabs>
        <w:tab w:val="left" w:pos="1134"/>
        <w:tab w:val="right" w:pos="9185"/>
      </w:tabs>
      <w:spacing w:after="120" w:line="240" w:lineRule="auto"/>
      <w:ind w:left="1134" w:right="1134" w:hanging="1134"/>
    </w:pPr>
    <w:rPr>
      <w:rFonts w:eastAsiaTheme="minorEastAsia" w:cs="Arial Unicode MS"/>
      <w:bCs/>
      <w:noProof/>
      <w:color w:val="424242" w:themeColor="text1"/>
      <w:sz w:val="20"/>
      <w:szCs w:val="20"/>
      <w:lang w:eastAsia="ko-KR"/>
    </w:rPr>
  </w:style>
  <w:style w:type="paragraph" w:customStyle="1" w:styleId="TOC-Heading2">
    <w:name w:val="TOC - Heading 2"/>
    <w:next w:val="BodyText"/>
    <w:uiPriority w:val="99"/>
    <w:rsid w:val="00D251FD"/>
    <w:pPr>
      <w:spacing w:before="600" w:after="200" w:line="312" w:lineRule="auto"/>
    </w:pPr>
    <w:rPr>
      <w:rFonts w:asciiTheme="majorHAnsi" w:hAnsiTheme="majorHAnsi"/>
      <w:b/>
      <w:color w:val="A3519B" w:themeColor="accent2"/>
      <w:sz w:val="36"/>
    </w:rPr>
  </w:style>
  <w:style w:type="paragraph" w:customStyle="1" w:styleId="Header-SectionHeading3">
    <w:name w:val="Header - Section Heading 3"/>
    <w:basedOn w:val="Header-SectionHeading1"/>
    <w:uiPriority w:val="10"/>
    <w:rsid w:val="00D251FD"/>
    <w:rPr>
      <w:color w:val="7D7FAB"/>
    </w:rPr>
  </w:style>
  <w:style w:type="paragraph" w:customStyle="1" w:styleId="Header-SectionHeading4">
    <w:name w:val="Header - Section Heading 4"/>
    <w:basedOn w:val="Header-SectionHeading1"/>
    <w:uiPriority w:val="10"/>
    <w:rsid w:val="00D251FD"/>
    <w:rPr>
      <w:color w:val="A2D9E9"/>
    </w:rPr>
  </w:style>
  <w:style w:type="paragraph" w:customStyle="1" w:styleId="Header-SectionHeading5">
    <w:name w:val="Header - Section Heading 5"/>
    <w:basedOn w:val="Header-SectionHeading1"/>
    <w:uiPriority w:val="10"/>
    <w:rsid w:val="00D251FD"/>
    <w:rPr>
      <w:color w:val="40C1AC"/>
    </w:rPr>
  </w:style>
  <w:style w:type="paragraph" w:customStyle="1" w:styleId="Header-SectionHeading6">
    <w:name w:val="Header - Section Heading 6"/>
    <w:basedOn w:val="Header-SectionHeading1"/>
    <w:uiPriority w:val="10"/>
    <w:rsid w:val="00D251FD"/>
    <w:rPr>
      <w:color w:val="A1D883"/>
    </w:rPr>
  </w:style>
  <w:style w:type="paragraph" w:styleId="ListParagraph">
    <w:name w:val="List Paragraph"/>
    <w:basedOn w:val="Normal"/>
    <w:uiPriority w:val="34"/>
    <w:qFormat/>
    <w:rsid w:val="00D251FD"/>
    <w:pPr>
      <w:ind w:left="720"/>
      <w:contextualSpacing/>
    </w:pPr>
  </w:style>
  <w:style w:type="paragraph" w:customStyle="1" w:styleId="ImportantNotice-Bullet">
    <w:name w:val="Important Notice - Bullet"/>
    <w:basedOn w:val="ImportantNoticeBody"/>
    <w:uiPriority w:val="11"/>
    <w:rsid w:val="00261D2D"/>
    <w:pPr>
      <w:numPr>
        <w:numId w:val="11"/>
      </w:numPr>
      <w:ind w:left="170" w:hanging="170"/>
    </w:pPr>
  </w:style>
  <w:style w:type="paragraph" w:customStyle="1" w:styleId="CaptionTable">
    <w:name w:val="Caption Table"/>
    <w:basedOn w:val="Caption"/>
    <w:next w:val="BodyText"/>
    <w:uiPriority w:val="2"/>
    <w:qFormat/>
    <w:rsid w:val="00261D2D"/>
    <w:pPr>
      <w:numPr>
        <w:numId w:val="6"/>
      </w:numPr>
      <w:ind w:left="992" w:hanging="992"/>
    </w:pPr>
  </w:style>
  <w:style w:type="numbering" w:customStyle="1" w:styleId="CaptionTableList">
    <w:name w:val="Caption Table List"/>
    <w:uiPriority w:val="99"/>
    <w:rsid w:val="00D251FD"/>
    <w:pPr>
      <w:numPr>
        <w:numId w:val="12"/>
      </w:numPr>
    </w:pPr>
  </w:style>
  <w:style w:type="character" w:styleId="FollowedHyperlink">
    <w:name w:val="FollowedHyperlink"/>
    <w:basedOn w:val="DefaultParagraphFont"/>
    <w:uiPriority w:val="99"/>
    <w:semiHidden/>
    <w:unhideWhenUsed/>
    <w:rsid w:val="00D251FD"/>
    <w:rPr>
      <w:color w:val="6B3077" w:themeColor="accent1"/>
      <w:u w:val="single"/>
    </w:rPr>
  </w:style>
  <w:style w:type="paragraph" w:styleId="TOC5">
    <w:name w:val="toc 5"/>
    <w:basedOn w:val="Normal"/>
    <w:next w:val="Normal"/>
    <w:autoRedefine/>
    <w:uiPriority w:val="39"/>
    <w:semiHidden/>
    <w:unhideWhenUsed/>
    <w:rsid w:val="00D251FD"/>
    <w:pPr>
      <w:spacing w:after="100"/>
      <w:ind w:left="800"/>
    </w:pPr>
  </w:style>
  <w:style w:type="paragraph" w:styleId="TOC6">
    <w:name w:val="toc 6"/>
    <w:basedOn w:val="Normal"/>
    <w:next w:val="Normal"/>
    <w:autoRedefine/>
    <w:uiPriority w:val="39"/>
    <w:semiHidden/>
    <w:unhideWhenUsed/>
    <w:rsid w:val="00D251FD"/>
    <w:pPr>
      <w:spacing w:after="100"/>
      <w:ind w:left="1000"/>
    </w:pPr>
  </w:style>
  <w:style w:type="paragraph" w:styleId="TOC7">
    <w:name w:val="toc 7"/>
    <w:basedOn w:val="Normal"/>
    <w:next w:val="Normal"/>
    <w:autoRedefine/>
    <w:uiPriority w:val="39"/>
    <w:semiHidden/>
    <w:unhideWhenUsed/>
    <w:rsid w:val="00D251FD"/>
    <w:pPr>
      <w:spacing w:after="100"/>
      <w:ind w:left="1200"/>
    </w:pPr>
  </w:style>
  <w:style w:type="paragraph" w:styleId="TOC8">
    <w:name w:val="toc 8"/>
    <w:basedOn w:val="Normal"/>
    <w:next w:val="Normal"/>
    <w:autoRedefine/>
    <w:uiPriority w:val="39"/>
    <w:semiHidden/>
    <w:unhideWhenUsed/>
    <w:rsid w:val="00D251FD"/>
    <w:pPr>
      <w:spacing w:after="100"/>
      <w:ind w:left="1400"/>
    </w:pPr>
  </w:style>
  <w:style w:type="paragraph" w:styleId="TOC9">
    <w:name w:val="toc 9"/>
    <w:basedOn w:val="Normal"/>
    <w:next w:val="Normal"/>
    <w:autoRedefine/>
    <w:uiPriority w:val="39"/>
    <w:semiHidden/>
    <w:unhideWhenUsed/>
    <w:rsid w:val="00D251FD"/>
    <w:pPr>
      <w:spacing w:after="100"/>
      <w:ind w:left="1600"/>
    </w:pPr>
  </w:style>
  <w:style w:type="character" w:styleId="CommentReference">
    <w:name w:val="annotation reference"/>
    <w:basedOn w:val="DefaultParagraphFont"/>
    <w:uiPriority w:val="99"/>
    <w:unhideWhenUsed/>
    <w:rsid w:val="00D251FD"/>
    <w:rPr>
      <w:sz w:val="16"/>
      <w:szCs w:val="16"/>
    </w:rPr>
  </w:style>
  <w:style w:type="paragraph" w:styleId="CommentText">
    <w:name w:val="annotation text"/>
    <w:basedOn w:val="Normal"/>
    <w:link w:val="CommentTextChar"/>
    <w:uiPriority w:val="99"/>
    <w:unhideWhenUsed/>
    <w:rsid w:val="00D251FD"/>
    <w:pPr>
      <w:spacing w:line="240" w:lineRule="auto"/>
    </w:pPr>
    <w:rPr>
      <w:szCs w:val="20"/>
    </w:rPr>
  </w:style>
  <w:style w:type="character" w:customStyle="1" w:styleId="CommentTextChar">
    <w:name w:val="Comment Text Char"/>
    <w:basedOn w:val="DefaultParagraphFont"/>
    <w:link w:val="CommentText"/>
    <w:uiPriority w:val="99"/>
    <w:rsid w:val="00D251FD"/>
    <w:rPr>
      <w:color w:val="424242" w:themeColor="text1"/>
      <w:sz w:val="20"/>
      <w:szCs w:val="20"/>
    </w:rPr>
  </w:style>
  <w:style w:type="paragraph" w:styleId="CommentSubject">
    <w:name w:val="annotation subject"/>
    <w:basedOn w:val="CommentText"/>
    <w:next w:val="CommentText"/>
    <w:link w:val="CommentSubjectChar"/>
    <w:uiPriority w:val="99"/>
    <w:semiHidden/>
    <w:unhideWhenUsed/>
    <w:rsid w:val="00D251FD"/>
    <w:rPr>
      <w:b/>
      <w:bCs/>
    </w:rPr>
  </w:style>
  <w:style w:type="character" w:customStyle="1" w:styleId="CommentSubjectChar">
    <w:name w:val="Comment Subject Char"/>
    <w:basedOn w:val="CommentTextChar"/>
    <w:link w:val="CommentSubject"/>
    <w:uiPriority w:val="99"/>
    <w:semiHidden/>
    <w:rsid w:val="00D251FD"/>
    <w:rPr>
      <w:b/>
      <w:bCs/>
      <w:color w:val="424242" w:themeColor="text1"/>
      <w:sz w:val="20"/>
      <w:szCs w:val="20"/>
    </w:rPr>
  </w:style>
  <w:style w:type="paragraph" w:styleId="Revision">
    <w:name w:val="Revision"/>
    <w:hidden/>
    <w:uiPriority w:val="99"/>
    <w:semiHidden/>
    <w:rsid w:val="0050488C"/>
    <w:pPr>
      <w:spacing w:after="0" w:line="240" w:lineRule="auto"/>
    </w:pPr>
    <w:rPr>
      <w:color w:val="424242" w:themeColor="text1"/>
      <w:sz w:val="20"/>
    </w:rPr>
  </w:style>
  <w:style w:type="table" w:styleId="PlainTable2">
    <w:name w:val="Plain Table 2"/>
    <w:basedOn w:val="TableNormal"/>
    <w:uiPriority w:val="42"/>
    <w:rsid w:val="00926E0E"/>
    <w:pPr>
      <w:spacing w:after="0" w:line="240" w:lineRule="auto"/>
    </w:pPr>
    <w:tblPr>
      <w:tblStyleRowBandSize w:val="1"/>
      <w:tblStyleColBandSize w:val="1"/>
      <w:tblBorders>
        <w:top w:val="single" w:sz="4" w:space="0" w:color="A0A0A0" w:themeColor="text1" w:themeTint="80"/>
        <w:bottom w:val="single" w:sz="4" w:space="0" w:color="A0A0A0" w:themeColor="text1" w:themeTint="80"/>
      </w:tblBorders>
    </w:tblPr>
    <w:tblStylePr w:type="firstRow">
      <w:rPr>
        <w:b/>
        <w:bCs/>
      </w:rPr>
      <w:tblPr/>
      <w:tcPr>
        <w:tcBorders>
          <w:bottom w:val="single" w:sz="4" w:space="0" w:color="A0A0A0" w:themeColor="text1" w:themeTint="80"/>
        </w:tcBorders>
      </w:tcPr>
    </w:tblStylePr>
    <w:tblStylePr w:type="lastRow">
      <w:rPr>
        <w:b/>
        <w:bCs/>
      </w:rPr>
      <w:tblPr/>
      <w:tcPr>
        <w:tcBorders>
          <w:top w:val="single" w:sz="4" w:space="0" w:color="A0A0A0" w:themeColor="text1" w:themeTint="80"/>
        </w:tcBorders>
      </w:tcPr>
    </w:tblStylePr>
    <w:tblStylePr w:type="firstCol">
      <w:rPr>
        <w:b/>
        <w:bCs/>
      </w:rPr>
    </w:tblStylePr>
    <w:tblStylePr w:type="lastCol">
      <w:rPr>
        <w:b/>
        <w:bCs/>
      </w:rPr>
    </w:tblStylePr>
    <w:tblStylePr w:type="band1Vert">
      <w:tblPr/>
      <w:tcPr>
        <w:tcBorders>
          <w:left w:val="single" w:sz="4" w:space="0" w:color="A0A0A0" w:themeColor="text1" w:themeTint="80"/>
          <w:right w:val="single" w:sz="4" w:space="0" w:color="A0A0A0" w:themeColor="text1" w:themeTint="80"/>
        </w:tcBorders>
      </w:tcPr>
    </w:tblStylePr>
    <w:tblStylePr w:type="band2Vert">
      <w:tblPr/>
      <w:tcPr>
        <w:tcBorders>
          <w:left w:val="single" w:sz="4" w:space="0" w:color="A0A0A0" w:themeColor="text1" w:themeTint="80"/>
          <w:right w:val="single" w:sz="4" w:space="0" w:color="A0A0A0" w:themeColor="text1" w:themeTint="80"/>
        </w:tcBorders>
      </w:tcPr>
    </w:tblStylePr>
    <w:tblStylePr w:type="band1Horz">
      <w:tblPr/>
      <w:tcPr>
        <w:tcBorders>
          <w:top w:val="single" w:sz="4" w:space="0" w:color="A0A0A0" w:themeColor="text1" w:themeTint="80"/>
          <w:bottom w:val="single" w:sz="4" w:space="0" w:color="A0A0A0" w:themeColor="text1" w:themeTint="80"/>
        </w:tcBorders>
      </w:tcPr>
    </w:tblStylePr>
  </w:style>
  <w:style w:type="paragraph" w:customStyle="1" w:styleId="paragraph">
    <w:name w:val="paragraph"/>
    <w:basedOn w:val="Normal"/>
    <w:rsid w:val="00926E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926E0E"/>
  </w:style>
  <w:style w:type="character" w:customStyle="1" w:styleId="eop">
    <w:name w:val="eop"/>
    <w:basedOn w:val="DefaultParagraphFont"/>
    <w:rsid w:val="00926E0E"/>
  </w:style>
  <w:style w:type="character" w:customStyle="1" w:styleId="scxp24927602">
    <w:name w:val="scxp24927602"/>
    <w:basedOn w:val="DefaultParagraphFont"/>
    <w:rsid w:val="00926E0E"/>
  </w:style>
  <w:style w:type="character" w:styleId="Mention">
    <w:name w:val="Mention"/>
    <w:basedOn w:val="DefaultParagraphFont"/>
    <w:uiPriority w:val="99"/>
    <w:unhideWhenUsed/>
    <w:rsid w:val="00926E0E"/>
    <w:rPr>
      <w:color w:val="2B579A"/>
      <w:shd w:val="clear" w:color="auto" w:fill="E1DFDD"/>
    </w:rPr>
  </w:style>
  <w:style w:type="character" w:customStyle="1" w:styleId="TableFigureFootnoteChar">
    <w:name w:val="Table/ Figure Footnote Char"/>
    <w:basedOn w:val="DefaultParagraphFont"/>
    <w:link w:val="TableFigureFootnote"/>
    <w:uiPriority w:val="4"/>
    <w:rsid w:val="00926E0E"/>
    <w:rPr>
      <w:color w:val="424242" w:themeColor="text1"/>
      <w:sz w:val="15"/>
    </w:rPr>
  </w:style>
  <w:style w:type="table" w:customStyle="1" w:styleId="AEMO-Table5">
    <w:name w:val="AEMO - Table 5"/>
    <w:basedOn w:val="TableNormal"/>
    <w:uiPriority w:val="99"/>
    <w:rsid w:val="00926E0E"/>
    <w:pPr>
      <w:spacing w:after="0" w:line="240" w:lineRule="auto"/>
    </w:pPr>
    <w:rPr>
      <w:sz w:val="24"/>
      <w:szCs w:val="24"/>
    </w:rPr>
    <w:tblPr>
      <w:tblBorders>
        <w:insideH w:val="single" w:sz="4" w:space="0" w:color="FFFFFF" w:themeColor="background1"/>
        <w:insideV w:val="single" w:sz="4" w:space="0" w:color="FFFFFF" w:themeColor="background1"/>
      </w:tblBorders>
    </w:tblPr>
    <w:tcPr>
      <w:shd w:val="clear" w:color="auto" w:fill="EEEEF0" w:themeFill="background2"/>
    </w:tcPr>
    <w:tblStylePr w:type="firstRow">
      <w:rPr>
        <w:b/>
        <w:i w:val="0"/>
        <w:color w:val="FFFFFF" w:themeColor="background1"/>
      </w:rPr>
      <w:tblPr/>
      <w:trPr>
        <w:cantSplit/>
        <w:tblHeader/>
      </w:trPr>
      <w:tcPr>
        <w:shd w:val="clear" w:color="auto" w:fill="6B3077" w:themeFill="accent1"/>
      </w:tcPr>
    </w:tblStylePr>
    <w:tblStylePr w:type="firstCol">
      <w:rPr>
        <w:b/>
        <w:i w:val="0"/>
        <w:color w:val="6B3077" w:themeColor="accent1"/>
      </w:rPr>
      <w:tblPr/>
      <w:tcPr>
        <w:shd w:val="clear" w:color="auto" w:fill="E6CEEB" w:themeFill="accent1" w:themeFillTint="33"/>
      </w:tcPr>
    </w:tblStylePr>
  </w:style>
  <w:style w:type="paragraph" w:styleId="NormalWeb">
    <w:name w:val="Normal (Web)"/>
    <w:basedOn w:val="Normal"/>
    <w:uiPriority w:val="99"/>
    <w:semiHidden/>
    <w:unhideWhenUsed/>
    <w:rsid w:val="00926E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26E0E"/>
    <w:rPr>
      <w:b/>
      <w:bCs/>
    </w:rPr>
  </w:style>
  <w:style w:type="character" w:customStyle="1" w:styleId="scxp128426024">
    <w:name w:val="scxp128426024"/>
    <w:basedOn w:val="DefaultParagraphFont"/>
    <w:rsid w:val="00B07324"/>
  </w:style>
  <w:style w:type="paragraph" w:customStyle="1" w:styleId="pf0">
    <w:name w:val="pf0"/>
    <w:basedOn w:val="Normal"/>
    <w:rsid w:val="00B073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B07324"/>
    <w:rPr>
      <w:rFonts w:ascii="Segoe UI" w:hAnsi="Segoe UI" w:cs="Segoe UI" w:hint="default"/>
      <w:color w:val="424242"/>
      <w:sz w:val="18"/>
      <w:szCs w:val="18"/>
    </w:rPr>
  </w:style>
  <w:style w:type="paragraph" w:customStyle="1" w:styleId="Header-SectionHeading">
    <w:name w:val="Header - Section Heading"/>
    <w:qFormat/>
    <w:rsid w:val="00764B75"/>
    <w:rPr>
      <w:i/>
      <w:color w:val="A3519B" w:themeColor="accent2"/>
      <w:sz w:val="20"/>
    </w:rPr>
  </w:style>
  <w:style w:type="paragraph" w:customStyle="1" w:styleId="Default">
    <w:name w:val="Default"/>
    <w:rsid w:val="005621C0"/>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5621C0"/>
  </w:style>
  <w:style w:type="character" w:customStyle="1" w:styleId="label">
    <w:name w:val="label"/>
    <w:basedOn w:val="DefaultParagraphFont"/>
    <w:rsid w:val="005621C0"/>
  </w:style>
  <w:style w:type="paragraph" w:customStyle="1" w:styleId="level3">
    <w:name w:val="level3"/>
    <w:basedOn w:val="Normal"/>
    <w:rsid w:val="005621C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4-Accent1">
    <w:name w:val="List Table 4 Accent 1"/>
    <w:basedOn w:val="TableNormal"/>
    <w:uiPriority w:val="49"/>
    <w:rsid w:val="00BD7449"/>
    <w:pPr>
      <w:spacing w:after="0" w:line="240" w:lineRule="auto"/>
    </w:pPr>
    <w:tblPr>
      <w:tblStyleRowBandSize w:val="1"/>
      <w:tblStyleColBandSize w:val="1"/>
      <w:tblBorders>
        <w:top w:val="single" w:sz="4" w:space="0" w:color="B46CC3" w:themeColor="accent1" w:themeTint="99"/>
        <w:left w:val="single" w:sz="4" w:space="0" w:color="B46CC3" w:themeColor="accent1" w:themeTint="99"/>
        <w:bottom w:val="single" w:sz="4" w:space="0" w:color="B46CC3" w:themeColor="accent1" w:themeTint="99"/>
        <w:right w:val="single" w:sz="4" w:space="0" w:color="B46CC3" w:themeColor="accent1" w:themeTint="99"/>
        <w:insideH w:val="single" w:sz="4" w:space="0" w:color="B46CC3" w:themeColor="accent1" w:themeTint="99"/>
      </w:tblBorders>
    </w:tblPr>
    <w:tblStylePr w:type="firstRow">
      <w:rPr>
        <w:b/>
        <w:bCs/>
        <w:color w:val="FFFFFF" w:themeColor="background1"/>
      </w:rPr>
      <w:tblPr/>
      <w:tcPr>
        <w:tcBorders>
          <w:top w:val="single" w:sz="4" w:space="0" w:color="6B3077" w:themeColor="accent1"/>
          <w:left w:val="single" w:sz="4" w:space="0" w:color="6B3077" w:themeColor="accent1"/>
          <w:bottom w:val="single" w:sz="4" w:space="0" w:color="6B3077" w:themeColor="accent1"/>
          <w:right w:val="single" w:sz="4" w:space="0" w:color="6B3077" w:themeColor="accent1"/>
          <w:insideH w:val="nil"/>
        </w:tcBorders>
        <w:shd w:val="clear" w:color="auto" w:fill="6B3077" w:themeFill="accent1"/>
      </w:tcPr>
    </w:tblStylePr>
    <w:tblStylePr w:type="lastRow">
      <w:rPr>
        <w:b/>
        <w:bCs/>
      </w:rPr>
      <w:tblPr/>
      <w:tcPr>
        <w:tcBorders>
          <w:top w:val="double" w:sz="4" w:space="0" w:color="B46CC3" w:themeColor="accent1" w:themeTint="99"/>
        </w:tcBorders>
      </w:tcPr>
    </w:tblStylePr>
    <w:tblStylePr w:type="firstCol">
      <w:rPr>
        <w:b/>
        <w:bCs/>
      </w:rPr>
    </w:tblStylePr>
    <w:tblStylePr w:type="lastCol">
      <w:rPr>
        <w:b/>
        <w:bCs/>
      </w:rPr>
    </w:tblStylePr>
    <w:tblStylePr w:type="band1Vert">
      <w:tblPr/>
      <w:tcPr>
        <w:shd w:val="clear" w:color="auto" w:fill="E6CEEB" w:themeFill="accent1" w:themeFillTint="33"/>
      </w:tcPr>
    </w:tblStylePr>
    <w:tblStylePr w:type="band1Horz">
      <w:tblPr/>
      <w:tcPr>
        <w:shd w:val="clear" w:color="auto" w:fill="E6CEEB" w:themeFill="accent1" w:themeFillTint="33"/>
      </w:tcPr>
    </w:tblStylePr>
  </w:style>
  <w:style w:type="table" w:styleId="GridTable4-Accent1">
    <w:name w:val="Grid Table 4 Accent 1"/>
    <w:basedOn w:val="TableNormal"/>
    <w:uiPriority w:val="49"/>
    <w:rsid w:val="00BD7449"/>
    <w:pPr>
      <w:spacing w:after="0" w:line="240" w:lineRule="auto"/>
    </w:pPr>
    <w:tblPr>
      <w:tblStyleRowBandSize w:val="1"/>
      <w:tblStyleColBandSize w:val="1"/>
      <w:tblBorders>
        <w:top w:val="single" w:sz="4" w:space="0" w:color="B46CC3" w:themeColor="accent1" w:themeTint="99"/>
        <w:left w:val="single" w:sz="4" w:space="0" w:color="B46CC3" w:themeColor="accent1" w:themeTint="99"/>
        <w:bottom w:val="single" w:sz="4" w:space="0" w:color="B46CC3" w:themeColor="accent1" w:themeTint="99"/>
        <w:right w:val="single" w:sz="4" w:space="0" w:color="B46CC3" w:themeColor="accent1" w:themeTint="99"/>
        <w:insideH w:val="single" w:sz="4" w:space="0" w:color="B46CC3" w:themeColor="accent1" w:themeTint="99"/>
        <w:insideV w:val="single" w:sz="4" w:space="0" w:color="B46CC3" w:themeColor="accent1" w:themeTint="99"/>
      </w:tblBorders>
    </w:tblPr>
    <w:tblStylePr w:type="firstRow">
      <w:rPr>
        <w:b/>
        <w:bCs/>
        <w:color w:val="FFFFFF" w:themeColor="background1"/>
      </w:rPr>
      <w:tblPr/>
      <w:tcPr>
        <w:tcBorders>
          <w:top w:val="single" w:sz="4" w:space="0" w:color="6B3077" w:themeColor="accent1"/>
          <w:left w:val="single" w:sz="4" w:space="0" w:color="6B3077" w:themeColor="accent1"/>
          <w:bottom w:val="single" w:sz="4" w:space="0" w:color="6B3077" w:themeColor="accent1"/>
          <w:right w:val="single" w:sz="4" w:space="0" w:color="6B3077" w:themeColor="accent1"/>
          <w:insideH w:val="nil"/>
          <w:insideV w:val="nil"/>
        </w:tcBorders>
        <w:shd w:val="clear" w:color="auto" w:fill="6B3077" w:themeFill="accent1"/>
      </w:tcPr>
    </w:tblStylePr>
    <w:tblStylePr w:type="lastRow">
      <w:rPr>
        <w:b/>
        <w:bCs/>
      </w:rPr>
      <w:tblPr/>
      <w:tcPr>
        <w:tcBorders>
          <w:top w:val="double" w:sz="4" w:space="0" w:color="6B3077" w:themeColor="accent1"/>
        </w:tcBorders>
      </w:tcPr>
    </w:tblStylePr>
    <w:tblStylePr w:type="firstCol">
      <w:rPr>
        <w:b/>
        <w:bCs/>
      </w:rPr>
    </w:tblStylePr>
    <w:tblStylePr w:type="lastCol">
      <w:rPr>
        <w:b/>
        <w:bCs/>
      </w:rPr>
    </w:tblStylePr>
    <w:tblStylePr w:type="band1Vert">
      <w:tblPr/>
      <w:tcPr>
        <w:shd w:val="clear" w:color="auto" w:fill="E6CEEB" w:themeFill="accent1" w:themeFillTint="33"/>
      </w:tcPr>
    </w:tblStylePr>
    <w:tblStylePr w:type="band1Horz">
      <w:tblPr/>
      <w:tcPr>
        <w:shd w:val="clear" w:color="auto" w:fill="E6CEEB" w:themeFill="accent1" w:themeFillTint="33"/>
      </w:tcPr>
    </w:tblStylePr>
  </w:style>
  <w:style w:type="paragraph" w:styleId="EndnoteText">
    <w:name w:val="endnote text"/>
    <w:basedOn w:val="Normal"/>
    <w:link w:val="EndnoteTextChar"/>
    <w:uiPriority w:val="99"/>
    <w:semiHidden/>
    <w:unhideWhenUsed/>
    <w:rsid w:val="004E1840"/>
    <w:pPr>
      <w:spacing w:before="0" w:after="0" w:line="240" w:lineRule="auto"/>
    </w:pPr>
    <w:rPr>
      <w:szCs w:val="20"/>
    </w:rPr>
  </w:style>
  <w:style w:type="character" w:customStyle="1" w:styleId="EndnoteTextChar">
    <w:name w:val="Endnote Text Char"/>
    <w:basedOn w:val="DefaultParagraphFont"/>
    <w:link w:val="EndnoteText"/>
    <w:uiPriority w:val="99"/>
    <w:semiHidden/>
    <w:rsid w:val="004E1840"/>
    <w:rPr>
      <w:color w:val="424242" w:themeColor="text1"/>
      <w:sz w:val="20"/>
      <w:szCs w:val="20"/>
    </w:rPr>
  </w:style>
  <w:style w:type="character" w:styleId="EndnoteReference">
    <w:name w:val="endnote reference"/>
    <w:basedOn w:val="DefaultParagraphFont"/>
    <w:uiPriority w:val="99"/>
    <w:semiHidden/>
    <w:unhideWhenUsed/>
    <w:rsid w:val="004E1840"/>
    <w:rPr>
      <w:vertAlign w:val="superscript"/>
    </w:rPr>
  </w:style>
  <w:style w:type="character" w:customStyle="1" w:styleId="scxw261939040">
    <w:name w:val="scxw261939040"/>
    <w:basedOn w:val="DefaultParagraphFont"/>
    <w:rsid w:val="00E77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89847">
      <w:bodyDiv w:val="1"/>
      <w:marLeft w:val="0"/>
      <w:marRight w:val="0"/>
      <w:marTop w:val="0"/>
      <w:marBottom w:val="0"/>
      <w:divBdr>
        <w:top w:val="none" w:sz="0" w:space="0" w:color="auto"/>
        <w:left w:val="none" w:sz="0" w:space="0" w:color="auto"/>
        <w:bottom w:val="none" w:sz="0" w:space="0" w:color="auto"/>
        <w:right w:val="none" w:sz="0" w:space="0" w:color="auto"/>
      </w:divBdr>
    </w:div>
    <w:div w:id="395978011">
      <w:bodyDiv w:val="1"/>
      <w:marLeft w:val="0"/>
      <w:marRight w:val="0"/>
      <w:marTop w:val="0"/>
      <w:marBottom w:val="0"/>
      <w:divBdr>
        <w:top w:val="none" w:sz="0" w:space="0" w:color="auto"/>
        <w:left w:val="none" w:sz="0" w:space="0" w:color="auto"/>
        <w:bottom w:val="none" w:sz="0" w:space="0" w:color="auto"/>
        <w:right w:val="none" w:sz="0" w:space="0" w:color="auto"/>
      </w:divBdr>
    </w:div>
    <w:div w:id="554853711">
      <w:bodyDiv w:val="1"/>
      <w:marLeft w:val="0"/>
      <w:marRight w:val="0"/>
      <w:marTop w:val="0"/>
      <w:marBottom w:val="0"/>
      <w:divBdr>
        <w:top w:val="none" w:sz="0" w:space="0" w:color="auto"/>
        <w:left w:val="none" w:sz="0" w:space="0" w:color="auto"/>
        <w:bottom w:val="none" w:sz="0" w:space="0" w:color="auto"/>
        <w:right w:val="none" w:sz="0" w:space="0" w:color="auto"/>
      </w:divBdr>
    </w:div>
    <w:div w:id="728304435">
      <w:bodyDiv w:val="1"/>
      <w:marLeft w:val="0"/>
      <w:marRight w:val="0"/>
      <w:marTop w:val="0"/>
      <w:marBottom w:val="0"/>
      <w:divBdr>
        <w:top w:val="none" w:sz="0" w:space="0" w:color="auto"/>
        <w:left w:val="none" w:sz="0" w:space="0" w:color="auto"/>
        <w:bottom w:val="none" w:sz="0" w:space="0" w:color="auto"/>
        <w:right w:val="none" w:sz="0" w:space="0" w:color="auto"/>
      </w:divBdr>
    </w:div>
    <w:div w:id="783425866">
      <w:bodyDiv w:val="1"/>
      <w:marLeft w:val="0"/>
      <w:marRight w:val="0"/>
      <w:marTop w:val="0"/>
      <w:marBottom w:val="0"/>
      <w:divBdr>
        <w:top w:val="none" w:sz="0" w:space="0" w:color="auto"/>
        <w:left w:val="none" w:sz="0" w:space="0" w:color="auto"/>
        <w:bottom w:val="none" w:sz="0" w:space="0" w:color="auto"/>
        <w:right w:val="none" w:sz="0" w:space="0" w:color="auto"/>
      </w:divBdr>
    </w:div>
    <w:div w:id="790393421">
      <w:bodyDiv w:val="1"/>
      <w:marLeft w:val="0"/>
      <w:marRight w:val="0"/>
      <w:marTop w:val="0"/>
      <w:marBottom w:val="0"/>
      <w:divBdr>
        <w:top w:val="none" w:sz="0" w:space="0" w:color="auto"/>
        <w:left w:val="none" w:sz="0" w:space="0" w:color="auto"/>
        <w:bottom w:val="none" w:sz="0" w:space="0" w:color="auto"/>
        <w:right w:val="none" w:sz="0" w:space="0" w:color="auto"/>
      </w:divBdr>
    </w:div>
    <w:div w:id="908534676">
      <w:bodyDiv w:val="1"/>
      <w:marLeft w:val="0"/>
      <w:marRight w:val="0"/>
      <w:marTop w:val="0"/>
      <w:marBottom w:val="0"/>
      <w:divBdr>
        <w:top w:val="none" w:sz="0" w:space="0" w:color="auto"/>
        <w:left w:val="none" w:sz="0" w:space="0" w:color="auto"/>
        <w:bottom w:val="none" w:sz="0" w:space="0" w:color="auto"/>
        <w:right w:val="none" w:sz="0" w:space="0" w:color="auto"/>
      </w:divBdr>
    </w:div>
    <w:div w:id="1042945779">
      <w:bodyDiv w:val="1"/>
      <w:marLeft w:val="0"/>
      <w:marRight w:val="0"/>
      <w:marTop w:val="0"/>
      <w:marBottom w:val="0"/>
      <w:divBdr>
        <w:top w:val="none" w:sz="0" w:space="0" w:color="auto"/>
        <w:left w:val="none" w:sz="0" w:space="0" w:color="auto"/>
        <w:bottom w:val="none" w:sz="0" w:space="0" w:color="auto"/>
        <w:right w:val="none" w:sz="0" w:space="0" w:color="auto"/>
      </w:divBdr>
    </w:div>
    <w:div w:id="1269578117">
      <w:bodyDiv w:val="1"/>
      <w:marLeft w:val="0"/>
      <w:marRight w:val="0"/>
      <w:marTop w:val="0"/>
      <w:marBottom w:val="0"/>
      <w:divBdr>
        <w:top w:val="none" w:sz="0" w:space="0" w:color="auto"/>
        <w:left w:val="none" w:sz="0" w:space="0" w:color="auto"/>
        <w:bottom w:val="none" w:sz="0" w:space="0" w:color="auto"/>
        <w:right w:val="none" w:sz="0" w:space="0" w:color="auto"/>
      </w:divBdr>
    </w:div>
    <w:div w:id="1803112144">
      <w:bodyDiv w:val="1"/>
      <w:marLeft w:val="0"/>
      <w:marRight w:val="0"/>
      <w:marTop w:val="0"/>
      <w:marBottom w:val="0"/>
      <w:divBdr>
        <w:top w:val="none" w:sz="0" w:space="0" w:color="auto"/>
        <w:left w:val="none" w:sz="0" w:space="0" w:color="auto"/>
        <w:bottom w:val="none" w:sz="0" w:space="0" w:color="auto"/>
        <w:right w:val="none" w:sz="0" w:space="0" w:color="auto"/>
      </w:divBdr>
    </w:div>
    <w:div w:id="2006669370">
      <w:bodyDiv w:val="1"/>
      <w:marLeft w:val="0"/>
      <w:marRight w:val="0"/>
      <w:marTop w:val="0"/>
      <w:marBottom w:val="0"/>
      <w:divBdr>
        <w:top w:val="none" w:sz="0" w:space="0" w:color="auto"/>
        <w:left w:val="none" w:sz="0" w:space="0" w:color="auto"/>
        <w:bottom w:val="none" w:sz="0" w:space="0" w:color="auto"/>
        <w:right w:val="none" w:sz="0" w:space="0" w:color="auto"/>
      </w:divBdr>
    </w:div>
    <w:div w:id="202948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emo.com.au/initiatives/major-programs/metropolitan-melbourne-voltage-management-regulatory-investment-test-for-transmission" TargetMode="External"/><Relationship Id="rId21"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hyperlink" Target="https://www.aemo.com.au/energy-systems/electricity/national-electricity-market-nem/nem-forecasting-and-planning/forecasting-and-planning-data/electricity-forecasting-data-portal" TargetMode="External"/><Relationship Id="rId63" Type="http://schemas.openxmlformats.org/officeDocument/2006/relationships/image" Target="media/image22.png"/><Relationship Id="rId68" Type="http://schemas.openxmlformats.org/officeDocument/2006/relationships/hyperlink" Target="https://www.vicgrid.com.au/__data/assets/pdf_file/0032/761396/2025-victorian-transmission-plan.pdf" TargetMode="External"/><Relationship Id="rId84" Type="http://schemas.openxmlformats.org/officeDocument/2006/relationships/image" Target="media/image32.png"/><Relationship Id="rId89" Type="http://schemas.openxmlformats.org/officeDocument/2006/relationships/image" Target="media/image35.png"/><Relationship Id="rId112" Type="http://schemas.openxmlformats.org/officeDocument/2006/relationships/footer" Target="footer18.xml"/><Relationship Id="rId16" Type="http://schemas.openxmlformats.org/officeDocument/2006/relationships/header" Target="header2.xml"/><Relationship Id="rId107" Type="http://schemas.openxmlformats.org/officeDocument/2006/relationships/header" Target="header20.xml"/><Relationship Id="rId11" Type="http://schemas.openxmlformats.org/officeDocument/2006/relationships/endnotes" Target="endnotes.xml"/><Relationship Id="rId32" Type="http://schemas.openxmlformats.org/officeDocument/2006/relationships/hyperlink" Target="https://www.aemo.com.au/energy-systems/electricity/national-electricity-market-nem/nem-forecasting-and-planning/forecasting-and-reliability/nem-electricity-statement-of-opportunities-esoo" TargetMode="External"/><Relationship Id="rId37" Type="http://schemas.openxmlformats.org/officeDocument/2006/relationships/hyperlink" Target="https://www.aemo.com.au/energy-systems/electricity/national-electricity-market-nem/nem-forecasting-and-planning/forecasting-and-planning-data/generation-information" TargetMode="External"/><Relationship Id="rId53" Type="http://schemas.openxmlformats.org/officeDocument/2006/relationships/image" Target="media/image17.png"/><Relationship Id="rId58" Type="http://schemas.openxmlformats.org/officeDocument/2006/relationships/footer" Target="footer6.xml"/><Relationship Id="rId74" Type="http://schemas.openxmlformats.org/officeDocument/2006/relationships/hyperlink" Target="https://www.vicgrid.com.au/__data/assets/pdf_file/0028/761392/2025-victorian-transmission-plan-gippsland-summary.pdf" TargetMode="External"/><Relationship Id="rId79" Type="http://schemas.openxmlformats.org/officeDocument/2006/relationships/image" Target="media/image29.png"/><Relationship Id="rId102" Type="http://schemas.openxmlformats.org/officeDocument/2006/relationships/header" Target="header18.xml"/><Relationship Id="rId5" Type="http://schemas.openxmlformats.org/officeDocument/2006/relationships/customXml" Target="../customXml/item5.xml"/><Relationship Id="rId90" Type="http://schemas.openxmlformats.org/officeDocument/2006/relationships/image" Target="media/image36.png"/><Relationship Id="rId95" Type="http://schemas.openxmlformats.org/officeDocument/2006/relationships/header" Target="header14.xml"/><Relationship Id="rId22" Type="http://schemas.openxmlformats.org/officeDocument/2006/relationships/header" Target="header4.xml"/><Relationship Id="rId27" Type="http://schemas.openxmlformats.org/officeDocument/2006/relationships/hyperlink" Target="https://www.aemo.com.au/initiatives/major-programs/victorian-system-strength-requirement-regulatory-investment-test-for-transmission" TargetMode="External"/><Relationship Id="rId43" Type="http://schemas.openxmlformats.org/officeDocument/2006/relationships/footer" Target="footer4.xml"/><Relationship Id="rId48" Type="http://schemas.openxmlformats.org/officeDocument/2006/relationships/image" Target="media/image13.png"/><Relationship Id="rId64" Type="http://schemas.openxmlformats.org/officeDocument/2006/relationships/hyperlink" Target="https://aemo.com.au/initiatives/major-programs/victorian-system-strength-requirement-regulatory-investment-test-for-transmission" TargetMode="External"/><Relationship Id="rId69" Type="http://schemas.openxmlformats.org/officeDocument/2006/relationships/image" Target="media/image26.png"/><Relationship Id="rId113" Type="http://schemas.openxmlformats.org/officeDocument/2006/relationships/header" Target="header24.xml"/><Relationship Id="rId80" Type="http://schemas.openxmlformats.org/officeDocument/2006/relationships/header" Target="header11.xml"/><Relationship Id="rId85" Type="http://schemas.openxmlformats.org/officeDocument/2006/relationships/image" Target="media/image33.png"/><Relationship Id="rId12" Type="http://schemas.openxmlformats.org/officeDocument/2006/relationships/header" Target="header1.xml"/><Relationship Id="rId17" Type="http://schemas.openxmlformats.org/officeDocument/2006/relationships/footer" Target="footer1.xml"/><Relationship Id="rId33" Type="http://schemas.openxmlformats.org/officeDocument/2006/relationships/hyperlink" Target="https://www.aemo.com.au/energy-systems/major-publications/integrated-system-plan-isp/2024-integrated-system-plan-isp" TargetMode="External"/><Relationship Id="rId38" Type="http://schemas.openxmlformats.org/officeDocument/2006/relationships/hyperlink" Target="https://www.energy.vic.gov.au/__data/assets/pdf_file/0019/761023/2025-Victorian-Transmission-Plan.pdf" TargetMode="External"/><Relationship Id="rId59" Type="http://schemas.openxmlformats.org/officeDocument/2006/relationships/image" Target="media/image19.png"/><Relationship Id="rId103" Type="http://schemas.openxmlformats.org/officeDocument/2006/relationships/footer" Target="footer15.xml"/><Relationship Id="rId108" Type="http://schemas.openxmlformats.org/officeDocument/2006/relationships/header" Target="header21.xml"/><Relationship Id="rId54" Type="http://schemas.openxmlformats.org/officeDocument/2006/relationships/image" Target="media/image18.png"/><Relationship Id="rId70" Type="http://schemas.openxmlformats.org/officeDocument/2006/relationships/hyperlink" Target="https://www.energy.vic.gov.au/__data/assets/pdf_file/0019/761023/2025-Victorian-Transmission-Plan.pdf" TargetMode="External"/><Relationship Id="rId75" Type="http://schemas.openxmlformats.org/officeDocument/2006/relationships/header" Target="header9.xml"/><Relationship Id="rId91" Type="http://schemas.openxmlformats.org/officeDocument/2006/relationships/header" Target="header13.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aemo.com.au/privacy-and-legal-notices/copyright-permissions" TargetMode="External"/><Relationship Id="rId23" Type="http://schemas.openxmlformats.org/officeDocument/2006/relationships/hyperlink" Target="mailto:VIC.Planning@aemo.com.au" TargetMode="External"/><Relationship Id="rId28" Type="http://schemas.openxmlformats.org/officeDocument/2006/relationships/hyperlink" Target="https://www.aemo.com.au/initiatives/major-programs/western-metropolitan-melbourne-reinforcement" TargetMode="External"/><Relationship Id="rId36" Type="http://schemas.openxmlformats.org/officeDocument/2006/relationships/image" Target="media/image7.png"/><Relationship Id="rId49" Type="http://schemas.openxmlformats.org/officeDocument/2006/relationships/hyperlink" Target="https://www.aemo.com.au/energy-systems/electricity/national-electricity-market-nem/nem-forecasting-and-planning/forecasting-and-planning-data/electricity-forecasting-data-portal" TargetMode="External"/><Relationship Id="rId57" Type="http://schemas.openxmlformats.org/officeDocument/2006/relationships/header" Target="header8.xml"/><Relationship Id="rId106" Type="http://schemas.openxmlformats.org/officeDocument/2006/relationships/footer" Target="footer17.xml"/><Relationship Id="rId114" Type="http://schemas.openxmlformats.org/officeDocument/2006/relationships/footer" Target="footer19.xml"/><Relationship Id="rId10" Type="http://schemas.openxmlformats.org/officeDocument/2006/relationships/footnotes" Target="footnotes.xml"/><Relationship Id="rId31" Type="http://schemas.openxmlformats.org/officeDocument/2006/relationships/hyperlink" Target="https://www.aemo.com.au/consultations/current-and-closed-consultations/2025-electricity-network-options-report-consultation" TargetMode="External"/><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image" Target="media/image23.png"/><Relationship Id="rId73" Type="http://schemas.openxmlformats.org/officeDocument/2006/relationships/hyperlink" Target="https://www.vicgrid.com.au/transmission-planning/renewable-energy-zones/gippsland-shoreline-renewable-energy-zone" TargetMode="External"/><Relationship Id="rId78" Type="http://schemas.openxmlformats.org/officeDocument/2006/relationships/footer" Target="footer8.xml"/><Relationship Id="rId81" Type="http://schemas.openxmlformats.org/officeDocument/2006/relationships/footer" Target="footer9.xml"/><Relationship Id="rId86" Type="http://schemas.openxmlformats.org/officeDocument/2006/relationships/image" Target="media/image34.png"/><Relationship Id="rId94" Type="http://schemas.openxmlformats.org/officeDocument/2006/relationships/hyperlink" Target="https://www.aemo.com.au/-/media/files/electricity/nem/security_and_reliability/system_security_planning/2024-nscas-report.pdf" TargetMode="External"/><Relationship Id="rId99" Type="http://schemas.openxmlformats.org/officeDocument/2006/relationships/header" Target="header16.xml"/><Relationship Id="rId101"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png"/><Relationship Id="rId39" Type="http://schemas.openxmlformats.org/officeDocument/2006/relationships/image" Target="media/image8.emf"/><Relationship Id="rId109" Type="http://schemas.openxmlformats.org/officeDocument/2006/relationships/header" Target="header22.xml"/><Relationship Id="rId34" Type="http://schemas.openxmlformats.org/officeDocument/2006/relationships/header" Target="header5.xml"/><Relationship Id="rId50" Type="http://schemas.openxmlformats.org/officeDocument/2006/relationships/image" Target="media/image14.png"/><Relationship Id="rId55" Type="http://schemas.openxmlformats.org/officeDocument/2006/relationships/header" Target="header7.xml"/><Relationship Id="rId76" Type="http://schemas.openxmlformats.org/officeDocument/2006/relationships/footer" Target="footer7.xml"/><Relationship Id="rId97" Type="http://schemas.openxmlformats.org/officeDocument/2006/relationships/header" Target="header15.xml"/><Relationship Id="rId104" Type="http://schemas.openxmlformats.org/officeDocument/2006/relationships/footer" Target="footer16.xml"/><Relationship Id="rId7" Type="http://schemas.openxmlformats.org/officeDocument/2006/relationships/styles" Target="styles.xml"/><Relationship Id="rId71" Type="http://schemas.openxmlformats.org/officeDocument/2006/relationships/image" Target="media/image27.png"/><Relationship Id="rId92"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hyperlink" Target="https://www.aemo.com.au/energy-systems/electricity/national-electricity-market-nem/system-operations/general-power-system-risk-review" TargetMode="External"/><Relationship Id="rId24" Type="http://schemas.openxmlformats.org/officeDocument/2006/relationships/hyperlink" Target="https://aemo.com.au/energy-systems/electricity/national-electricity-market-nem/nem-forecasting-and-planning/system-security-planning" TargetMode="External"/><Relationship Id="rId40" Type="http://schemas.openxmlformats.org/officeDocument/2006/relationships/header" Target="header6.xml"/><Relationship Id="rId45" Type="http://schemas.openxmlformats.org/officeDocument/2006/relationships/image" Target="media/image11.png"/><Relationship Id="rId66" Type="http://schemas.openxmlformats.org/officeDocument/2006/relationships/image" Target="media/image24.png"/><Relationship Id="rId87" Type="http://schemas.openxmlformats.org/officeDocument/2006/relationships/header" Target="header12.xml"/><Relationship Id="rId110" Type="http://schemas.openxmlformats.org/officeDocument/2006/relationships/hyperlink" Target="https://auc-word-edit.officeapps.live.com/we/wordeditorframe.aspx?ui=en-US&amp;rs=en-US&amp;wopisrc=https%3A%2F%2Faemocloud.sharepoint.com%2Fsites%2FVictorianTransmissionPlanningTeam%2F_vti_bin%2Fwopi.ashx%2Ffiles%2Fb570de60bca84aa7951cdc1f41537902&amp;wdenableroaming=1&amp;mscc=1&amp;hid=4B94BBA1-90DC-5000-C0E0-81A4184D80A8.0&amp;uih=sharepointcom&amp;wdlcid=en-US&amp;jsapi=1&amp;jsapiver=v2&amp;corrid=e7fe764c-0c77-3d3e-ec12-23db04bd3686&amp;usid=e7fe764c-0c77-3d3e-ec12-23db04bd3686&amp;newsession=1&amp;sftc=1&amp;uihit=docaspx&amp;muv=1&amp;ats=PairwiseBroker&amp;cac=1&amp;sams=1&amp;mtf=1&amp;sfp=1&amp;sdp=1&amp;hch=1&amp;hwfh=1&amp;dchat=1&amp;sc=%7B%22pmo%22%3A%22https%3A%2F%2Faemocloud.sharepoint.com%22%2C%22pmshare%22%3Atrue%7D&amp;ctp=LeastProtected&amp;rct=Normal&amp;wdorigin=ItemsView&amp;wdhostclicktime=1755150018013&amp;afdflight=44&amp;csiro=1&amp;instantedit=1&amp;wopicomplete=1&amp;wdredirectionreason=Unified_SingleFlush" TargetMode="External"/><Relationship Id="rId115" Type="http://schemas.openxmlformats.org/officeDocument/2006/relationships/fontTable" Target="fontTable.xml"/><Relationship Id="rId61" Type="http://schemas.openxmlformats.org/officeDocument/2006/relationships/hyperlink" Target="https://aemo.com.au/en/newsroom/media-release/aemo-awards-contract-to-improve-system-security-in-western-victoria-rez" TargetMode="External"/><Relationship Id="rId82" Type="http://schemas.openxmlformats.org/officeDocument/2006/relationships/image" Target="media/image30.png"/><Relationship Id="rId19" Type="http://schemas.openxmlformats.org/officeDocument/2006/relationships/header" Target="header3.xml"/><Relationship Id="rId14" Type="http://schemas.openxmlformats.org/officeDocument/2006/relationships/hyperlink" Target="https://aemo.com.au/en/about/reconciliation-action-plan" TargetMode="External"/><Relationship Id="rId30" Type="http://schemas.openxmlformats.org/officeDocument/2006/relationships/hyperlink" Target="https://aemo.com.au/energy-systems/electricity/national-electricity-market-nem/nem-forecasting-and-planning/forecasting-and-planning-data/enhanced-locational-information" TargetMode="External"/><Relationship Id="rId35" Type="http://schemas.openxmlformats.org/officeDocument/2006/relationships/image" Target="media/image6.png"/><Relationship Id="rId56" Type="http://schemas.openxmlformats.org/officeDocument/2006/relationships/footer" Target="footer5.xml"/><Relationship Id="rId77" Type="http://schemas.openxmlformats.org/officeDocument/2006/relationships/header" Target="header10.xml"/><Relationship Id="rId100" Type="http://schemas.openxmlformats.org/officeDocument/2006/relationships/footer" Target="footer14.xml"/><Relationship Id="rId105" Type="http://schemas.openxmlformats.org/officeDocument/2006/relationships/header" Target="header19.xml"/><Relationship Id="rId8" Type="http://schemas.openxmlformats.org/officeDocument/2006/relationships/settings" Target="settings.xml"/><Relationship Id="rId51" Type="http://schemas.openxmlformats.org/officeDocument/2006/relationships/image" Target="media/image15.png"/><Relationship Id="rId72" Type="http://schemas.openxmlformats.org/officeDocument/2006/relationships/image" Target="media/image28.png"/><Relationship Id="rId93" Type="http://schemas.openxmlformats.org/officeDocument/2006/relationships/hyperlink" Target="https://www.aemo.com.au/energy-systems/electricity/national-electricity-market-nem/nem-forecasting-and-planning/system-security-planning" TargetMode="External"/><Relationship Id="rId98" Type="http://schemas.openxmlformats.org/officeDocument/2006/relationships/footer" Target="footer13.xml"/><Relationship Id="rId3" Type="http://schemas.openxmlformats.org/officeDocument/2006/relationships/customXml" Target="../customXml/item3.xml"/><Relationship Id="rId25" Type="http://schemas.openxmlformats.org/officeDocument/2006/relationships/hyperlink" Target="https://www.aemo.com.au/initiatives/major-programs/eastern-victoria-grid-reinforcement" TargetMode="External"/><Relationship Id="rId46" Type="http://schemas.openxmlformats.org/officeDocument/2006/relationships/image" Target="media/image12.png"/><Relationship Id="rId67" Type="http://schemas.openxmlformats.org/officeDocument/2006/relationships/image" Target="media/image25.png"/><Relationship Id="rId11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3.xml"/><Relationship Id="rId62" Type="http://schemas.openxmlformats.org/officeDocument/2006/relationships/image" Target="media/image21.jpeg"/><Relationship Id="rId83" Type="http://schemas.openxmlformats.org/officeDocument/2006/relationships/image" Target="media/image31.png"/><Relationship Id="rId88" Type="http://schemas.openxmlformats.org/officeDocument/2006/relationships/footer" Target="footer10.xml"/><Relationship Id="rId111" Type="http://schemas.openxmlformats.org/officeDocument/2006/relationships/header" Target="header23.xml"/></Relationships>
</file>

<file path=word/_rels/footnotes.xml.rels><?xml version="1.0" encoding="UTF-8" standalone="yes"?>
<Relationships xmlns="http://schemas.openxmlformats.org/package/2006/relationships"><Relationship Id="rId26" Type="http://schemas.openxmlformats.org/officeDocument/2006/relationships/hyperlink" Target="https://www.vicgrid.com.au/__data/assets/pdf_file/0036/762993/victorian-renewable-energy-zones-development-plan-directions-paper.pdf" TargetMode="External"/><Relationship Id="rId21" Type="http://schemas.openxmlformats.org/officeDocument/2006/relationships/hyperlink" Target="https://www.aemo.com.au/initiatives/major-programs/nem-distributed-energy-resources-der-program/managing-distributed-energy-resources-in-operations/managing-minimum-system-load" TargetMode="External"/><Relationship Id="rId42" Type="http://schemas.openxmlformats.org/officeDocument/2006/relationships/hyperlink" Target="https://www.infrastructure.gov.au/infrastructure-transport-vehicles/vehicles/new-vehicle-efficiency-standard" TargetMode="External"/><Relationship Id="rId47" Type="http://schemas.openxmlformats.org/officeDocument/2006/relationships/hyperlink" Target="http://www.gazette.vic.gov.au/gazette/Gazettes2022/GG2022S547.pdf" TargetMode="External"/><Relationship Id="rId63" Type="http://schemas.openxmlformats.org/officeDocument/2006/relationships/hyperlink" Target="https://www.vicgrid.com.au/__data/assets/pdf_file/0023/769100/2025-Victorian-Network-Performance-and-Insights-Report.pdf" TargetMode="External"/><Relationship Id="rId68" Type="http://schemas.openxmlformats.org/officeDocument/2006/relationships/hyperlink" Target="https://www.aemo.com.au/-/media/files/electricity/nem/security_and_reliability/system_security_planning/2024-system-strength-report.pdf" TargetMode="External"/><Relationship Id="rId84" Type="http://schemas.openxmlformats.org/officeDocument/2006/relationships/hyperlink" Target="https://www.ausnetservices.com.au/projects-and-innovation/regulatory-investment-test" TargetMode="External"/><Relationship Id="rId89" Type="http://schemas.openxmlformats.org/officeDocument/2006/relationships/hyperlink" Target="https://www.energy.vic.gov.au/renewable-energy/victorian-renewable-energy-and-storage-targets%23heading-1" TargetMode="External"/><Relationship Id="rId16" Type="http://schemas.openxmlformats.org/officeDocument/2006/relationships/hyperlink" Target="https://www.vicgrid.com.au/__data/assets/pdf_file/0027/763119/2024-victorian-annual-planning-report.pdf" TargetMode="External"/><Relationship Id="rId11" Type="http://schemas.openxmlformats.org/officeDocument/2006/relationships/hyperlink" Target="https://aemo.com.au/energy-systems/electricity/national-electricity-market-nem/nem-forecasting-and-planning/victorian-planning/victorian-transmission-network-service-provider-role" TargetMode="External"/><Relationship Id="rId32" Type="http://schemas.openxmlformats.org/officeDocument/2006/relationships/hyperlink" Target="https://www.aemo.com.au/-/media/Files/Electricity/NEM/Planning_and_Forecasting/Demand-Forecasts/Operational-Consumption-definition.pdf" TargetMode="External"/><Relationship Id="rId37" Type="http://schemas.openxmlformats.org/officeDocument/2006/relationships/hyperlink" Target="https://www.solar.vic.gov.au/solar-homes-program" TargetMode="External"/><Relationship Id="rId53" Type="http://schemas.openxmlformats.org/officeDocument/2006/relationships/hyperlink" Target="https://www.transmissionvictoria.com.au/download_file/view/93/494" TargetMode="External"/><Relationship Id="rId58" Type="http://schemas.openxmlformats.org/officeDocument/2006/relationships/hyperlink" Target="https://www.vicgrid.com.au/transmission-planning/victorian-transmission-plan" TargetMode="External"/><Relationship Id="rId74" Type="http://schemas.openxmlformats.org/officeDocument/2006/relationships/hyperlink" Target="https://www.aemo.com.au/-/media/files/electricity/nem/security_and_reliability/system_security_planning/final-nscas-description-and-quantity-procedure-determination.pdf" TargetMode="External"/><Relationship Id="rId79" Type="http://schemas.openxmlformats.org/officeDocument/2006/relationships/hyperlink" Target="https://www.ausnetservices.com.au/projects-and-innovation/regulatory-investment-test" TargetMode="External"/><Relationship Id="rId102" Type="http://schemas.openxmlformats.org/officeDocument/2006/relationships/hyperlink" Target="https://www.aemo.com.au/-/media/Files/Electricity/NEM/Security_and_Reliability/System-Security-Market-Frameworks-Review/2018/Inertia_Requirements_Methodology_PUBLISHED.pdf" TargetMode="External"/><Relationship Id="rId5" Type="http://schemas.openxmlformats.org/officeDocument/2006/relationships/hyperlink" Target="https://aemo.com.au/energy-systems/electricity/national-electricity-market-nem/nem-forecasting-and-planning/forecasting-and-planning-data/electricity-forecasting-data-portal" TargetMode="External"/><Relationship Id="rId90" Type="http://schemas.openxmlformats.org/officeDocument/2006/relationships/hyperlink" Target="https://www.energy.vic.gov.au/renewable-energy/victorian-renewable-energy-and-storage-targets/victorian-renewable-energy-target-auction-vret2" TargetMode="External"/><Relationship Id="rId95" Type="http://schemas.openxmlformats.org/officeDocument/2006/relationships/hyperlink" Target="https://www.climatechange.vic.gov.au/climate-action-targets" TargetMode="External"/><Relationship Id="rId22" Type="http://schemas.openxmlformats.org/officeDocument/2006/relationships/hyperlink" Target="https://www.vicgrid.com.au/transmission-planning/victorian-transmission-plan" TargetMode="External"/><Relationship Id="rId27" Type="http://schemas.openxmlformats.org/officeDocument/2006/relationships/hyperlink" Target="https://www.energy.vic.gov.au/renewable-energy/vicgrid/offshore-wind-transmission" TargetMode="External"/><Relationship Id="rId43" Type="http://schemas.openxmlformats.org/officeDocument/2006/relationships/hyperlink" Target="https://aemo.com.au/en/energy-systems/electricity/national-electricity-market-nem/nem-forecasting-and-planning/forecasting-and-reliability/nem-electricity-statement-of-opportunities-esoo" TargetMode="External"/><Relationship Id="rId48" Type="http://schemas.openxmlformats.org/officeDocument/2006/relationships/hyperlink" Target="https://www.aemo.com.au/initiatives/major-programs/western-victorian-regulatory-investment-test-for-transmission" TargetMode="External"/><Relationship Id="rId64" Type="http://schemas.openxmlformats.org/officeDocument/2006/relationships/hyperlink" Target="https://aemo.com.au/initiatives/major-programs/eastern-victoria-grid-reinforcement" TargetMode="External"/><Relationship Id="rId69" Type="http://schemas.openxmlformats.org/officeDocument/2006/relationships/hyperlink" Target="https://www.aemo.com.au/energy-systems/electricity/national-electricity-market-nem/nem-forecasting-and-planning/system-security-planning" TargetMode="External"/><Relationship Id="rId80" Type="http://schemas.openxmlformats.org/officeDocument/2006/relationships/hyperlink" Target="https://www.ausnetservices.com.au/-/media/project/ausnet/corporate-website/files/about/regulatory-investment-test/2024/rit-t_padr_tower-replacement-hyts-apd.pdf" TargetMode="External"/><Relationship Id="rId85" Type="http://schemas.openxmlformats.org/officeDocument/2006/relationships/hyperlink" Target="https://www.vicgrid.com.au/__data/assets/pdf_file/0023/769100/2025-Victorian-Network-Performance-and-Insights-Report.pdf" TargetMode="External"/><Relationship Id="rId12" Type="http://schemas.openxmlformats.org/officeDocument/2006/relationships/hyperlink" Target="https://www.vicgrid.com.au/about/about-vicgrid" TargetMode="External"/><Relationship Id="rId17" Type="http://schemas.openxmlformats.org/officeDocument/2006/relationships/hyperlink" Target="https://www.aemo.com.au/energy-systems/electricity/national-electricity-market-nem/nem-forecasting-and-planning/forecasting-and-reliability/nem-electricity-statement-of-opportunities-esoo" TargetMode="External"/><Relationship Id="rId25" Type="http://schemas.openxmlformats.org/officeDocument/2006/relationships/hyperlink" Target="https://www.energy.vic.gov.au/__data/assets/pdf_file/0019/761023/2025-Victorian-Transmission-Plan.pdf" TargetMode="External"/><Relationship Id="rId33" Type="http://schemas.openxmlformats.org/officeDocument/2006/relationships/hyperlink" Target="https://www.vicgrid.com.au/__data/assets/pdf_file/0023/769100/2025-Victorian-Network-Performance-and-Insights-Report.pdf" TargetMode="External"/><Relationship Id="rId38" Type="http://schemas.openxmlformats.org/officeDocument/2006/relationships/hyperlink" Target="https://www.pm.gov.au/media/meeting-national-cabinet-working-together-deliver-better-housing-outcomes" TargetMode="External"/><Relationship Id="rId46" Type="http://schemas.openxmlformats.org/officeDocument/2006/relationships/hyperlink" Target="https://www.vicgrid.com.au/__data/assets/pdf_file/0036/762993/victorian-renewable-energy-zones-development-plan-directions-paper.pdf" TargetMode="External"/><Relationship Id="rId59" Type="http://schemas.openxmlformats.org/officeDocument/2006/relationships/hyperlink" Target="https://www.energy.vic.gov.au/renewable-energy/vicgrid/for-businesses-and-developers" TargetMode="External"/><Relationship Id="rId67" Type="http://schemas.openxmlformats.org/officeDocument/2006/relationships/hyperlink" Target="https://www.powercor.com.au/network-planning-and-projects/network-data/" TargetMode="External"/><Relationship Id="rId103" Type="http://schemas.openxmlformats.org/officeDocument/2006/relationships/hyperlink" Target="https://www.aemo.com.au/energy-systems/electricity/national-electricity-market-nem/nem-forecasting-and-planning/victorian-planning/victorian-transmission-network-service-provider-role" TargetMode="External"/><Relationship Id="rId20" Type="http://schemas.openxmlformats.org/officeDocument/2006/relationships/hyperlink" Target="https://www.aemo.com.au/-/media/files/initiatives/der/managing-minimum-system-load/supporting-secure-operation-with-high-levels-of-distributed-resources-q4-2024.pdf?la=en" TargetMode="External"/><Relationship Id="rId41" Type="http://schemas.openxmlformats.org/officeDocument/2006/relationships/hyperlink" Target="https://www.dcceew.gov.au/energy/programs/cheaper-home-batteries" TargetMode="External"/><Relationship Id="rId54" Type="http://schemas.openxmlformats.org/officeDocument/2006/relationships/hyperlink" Target="https://www.transmissionvictoria.com.au/landholders-community/vni-west-project-easement" TargetMode="External"/><Relationship Id="rId62" Type="http://schemas.openxmlformats.org/officeDocument/2006/relationships/hyperlink" Target="https://aemo.com.au/-/media/files/major-publications/isp/2022/2022-documents/2022-integrated-system-plan-isp.pdf" TargetMode="External"/><Relationship Id="rId70" Type="http://schemas.openxmlformats.org/officeDocument/2006/relationships/hyperlink" Target="https://www.aemo.com.au/-/media/files/electricity/nem/security_and_reliability/system_security_planning/2024-nscas-report.pdf" TargetMode="External"/><Relationship Id="rId75" Type="http://schemas.openxmlformats.org/officeDocument/2006/relationships/hyperlink" Target="https://www.aemo.com.au/-/media/files/electricity/nem/security_and_reliability/congestion-information/victorian-transfer-limit-advice-outages.pdf" TargetMode="External"/><Relationship Id="rId83" Type="http://schemas.openxmlformats.org/officeDocument/2006/relationships/hyperlink" Target="https://www.ausnetservices.com.au/-/media/project/ausnet/corporate-website/files/about/regulatory-investment-test/2025/transmission-insulator-replacement_pacr.pdf" TargetMode="External"/><Relationship Id="rId88" Type="http://schemas.openxmlformats.org/officeDocument/2006/relationships/hyperlink" Target="https://www.aemo.com.au/consultations/current-and-closed-consultations/ausnet-services-padr-maintain-reliable-transmission-network-services-at-keilor-terminal-station" TargetMode="External"/><Relationship Id="rId91" Type="http://schemas.openxmlformats.org/officeDocument/2006/relationships/hyperlink" Target="https://www.energy.vic.gov.au/renewable-energy/victorian-renewable-energy-and-storage-targets" TargetMode="External"/><Relationship Id="rId96" Type="http://schemas.openxmlformats.org/officeDocument/2006/relationships/hyperlink" Target="https://www.energy.vic.gov.au/grants/energy-innovation-fund" TargetMode="External"/><Relationship Id="rId1" Type="http://schemas.openxmlformats.org/officeDocument/2006/relationships/hyperlink" Target="https://www.vicgrid.com.au/__data/assets/pdf_file/0029/764840/register_of_large_generator_connections-vic.pdf" TargetMode="External"/><Relationship Id="rId6" Type="http://schemas.openxmlformats.org/officeDocument/2006/relationships/hyperlink" Target="https://aemo.com.au/en/energy-systems/electricity/national-electricity-market-nem/nem-forecasting-and-planning/forecasting-and-planning-data/generation-information" TargetMode="External"/><Relationship Id="rId15" Type="http://schemas.openxmlformats.org/officeDocument/2006/relationships/hyperlink" Target="https://www.vicgrid.com.au/transmission-planning/planning-the-energy-grid" TargetMode="External"/><Relationship Id="rId23" Type="http://schemas.openxmlformats.org/officeDocument/2006/relationships/hyperlink" Target="https://aemo.com.au/-/media/files/electricity/nem/security_and_reliability/system_security_planning/2024-inertia-report.pdf" TargetMode="External"/><Relationship Id="rId28" Type="http://schemas.openxmlformats.org/officeDocument/2006/relationships/hyperlink" Target="https://www.energy.vic.gov.au/renewable-energy/victorian-renewable-energy-and-storage-targets/victorian-renewable-energy-target-auction-vret2" TargetMode="External"/><Relationship Id="rId36" Type="http://schemas.openxmlformats.org/officeDocument/2006/relationships/hyperlink" Target="https://www.energy.vic.gov.au/victorian-energy-upgrades/about" TargetMode="External"/><Relationship Id="rId49" Type="http://schemas.openxmlformats.org/officeDocument/2006/relationships/hyperlink" Target="https://www.westernrenewableslink.com.au" TargetMode="External"/><Relationship Id="rId57" Type="http://schemas.openxmlformats.org/officeDocument/2006/relationships/hyperlink" Target="https://aemo.com.au/initiatives/major-programs/victorian-system-strength-requirement-regulatory-investment-test-for-transmission" TargetMode="External"/><Relationship Id="rId10" Type="http://schemas.openxmlformats.org/officeDocument/2006/relationships/hyperlink" Target="https://dapr.ausnetservices.com.au/ausnet_data/2023%20TCPR.pdf" TargetMode="External"/><Relationship Id="rId31" Type="http://schemas.openxmlformats.org/officeDocument/2006/relationships/hyperlink" Target="https://www.aemo.com.au/-/media/files/electricity/nem/planning_and_forecasting/nem_esoo/2025/2025-electricity-statement-of-opportunities.pdf" TargetMode="External"/><Relationship Id="rId44" Type="http://schemas.openxmlformats.org/officeDocument/2006/relationships/hyperlink" Target="https://aemo.com.au/en/energy-systems/major-publications/integrated-system-plan-isp/2022-integrated-system-plan-isp/isp-methodology" TargetMode="External"/><Relationship Id="rId52" Type="http://schemas.openxmlformats.org/officeDocument/2006/relationships/hyperlink" Target="https://www.transmissionvictoria.com.au/download_file/view/209/494" TargetMode="External"/><Relationship Id="rId60" Type="http://schemas.openxmlformats.org/officeDocument/2006/relationships/hyperlink" Target="https://www.energy.vic.gov.au/renewable-energy/vicgrid/offshore-wind-transmission" TargetMode="External"/><Relationship Id="rId65" Type="http://schemas.openxmlformats.org/officeDocument/2006/relationships/hyperlink" Target="https://aemo.com.au/initiatives/major-programs/western-metropolitan-melbourne-reinforcement" TargetMode="External"/><Relationship Id="rId73" Type="http://schemas.openxmlformats.org/officeDocument/2006/relationships/hyperlink" Target="https://www.aemo.com.au/energy-systems/electricity/national-electricity-market-nem/nem-forecasting-and-planning/system-security-planning" TargetMode="External"/><Relationship Id="rId78" Type="http://schemas.openxmlformats.org/officeDocument/2006/relationships/hyperlink" Target="https://www.vicgrid.com.au/__data/assets/pdf_file/0040/768487/ausnet-services-asset-renewal-plan.pdf.pdf" TargetMode="External"/><Relationship Id="rId81" Type="http://schemas.openxmlformats.org/officeDocument/2006/relationships/hyperlink" Target="https://www.ausnetservices.com.au/-/media/project/ausnet/corporate-website/files/about/regulatory-investment-test/2025/smts-f2-transformer-and-gis-replacement---padr.pdf" TargetMode="External"/><Relationship Id="rId86" Type="http://schemas.openxmlformats.org/officeDocument/2006/relationships/hyperlink" Target="https://www.vicgrid.com.au/__data/assets/pdf_file/0023/769100/2025-Victorian-Network-Performance-and-Insights-Report.pdf" TargetMode="External"/><Relationship Id="rId94" Type="http://schemas.openxmlformats.org/officeDocument/2006/relationships/hyperlink" Target="https://www.secvictoria.com.au/__data/assets/pdf_file/0007/1321/SEC-Strategic-Plan.pdf" TargetMode="External"/><Relationship Id="rId99" Type="http://schemas.openxmlformats.org/officeDocument/2006/relationships/hyperlink" Target="https://www.energy.vic.gov.au/renewable-energy/victorias-gas-substitution-roadmap" TargetMode="External"/><Relationship Id="rId101" Type="http://schemas.openxmlformats.org/officeDocument/2006/relationships/hyperlink" Target="https://www.vicgrid.com.au/__data/assets/pdf_file/0023/769100/2025-Victorian-Network-Performance-and-Insights-Report.pdf" TargetMode="External"/><Relationship Id="rId4" Type="http://schemas.openxmlformats.org/officeDocument/2006/relationships/hyperlink" Target="https://www.aemo.com.au/initiatives/major-programs/western-metropolitan-melbourne-reinforcement" TargetMode="External"/><Relationship Id="rId9" Type="http://schemas.openxmlformats.org/officeDocument/2006/relationships/hyperlink" Target="https://www.vicgrid.com.au/transmission-planning/victorian-transmission-plan" TargetMode="External"/><Relationship Id="rId13" Type="http://schemas.openxmlformats.org/officeDocument/2006/relationships/hyperlink" Target="https://engage.vic.gov.au/download/document/31853" TargetMode="External"/><Relationship Id="rId18" Type="http://schemas.openxmlformats.org/officeDocument/2006/relationships/hyperlink" Target="https://aemo.com.au/en/energy-systems/major-publications/integrated-system-plan-isp/2024-integrated-system-plan-isp" TargetMode="External"/><Relationship Id="rId39" Type="http://schemas.openxmlformats.org/officeDocument/2006/relationships/hyperlink" Target="https://www.legislation.gov.au/C2024A00034/asmade/text" TargetMode="External"/><Relationship Id="rId34" Type="http://schemas.openxmlformats.org/officeDocument/2006/relationships/hyperlink" Target="https://www.vicgrid.com.au/__data/assets/pdf_file/0023/769100/2025-Victorian-Network-Performance-and-Insights-Report.pdf" TargetMode="External"/><Relationship Id="rId50" Type="http://schemas.openxmlformats.org/officeDocument/2006/relationships/hyperlink" Target="https://www.aemo.com.au/-/media/files/stakeholder_consultation/consultations/nem-consultations/2025/2025-electricity-network-options-report/draft-2025-electricity-network-options-report.pdf?rev=48fb0dd2d3dd43e59d8fb92862bc27a4&amp;sc_lang=en" TargetMode="External"/><Relationship Id="rId55" Type="http://schemas.openxmlformats.org/officeDocument/2006/relationships/hyperlink" Target="https://aemo.com.au/initiatives/major-programs/metropolitan-melbourne-voltage-management-regulatory-investment-test-for-transmission" TargetMode="External"/><Relationship Id="rId76" Type="http://schemas.openxmlformats.org/officeDocument/2006/relationships/hyperlink" Target="https://www.aemo.com.au/-/media/files/stakeholder_consultation/consultations/nem-consultations/2024/ssiag/system-strength-impact-assessment-guidelines-v22.pdf?rev=34a4599d005a4687b078d1b8fe1ce917&amp;sc_lang=en" TargetMode="External"/><Relationship Id="rId97" Type="http://schemas.openxmlformats.org/officeDocument/2006/relationships/hyperlink" Target="https://www.solar.vic.gov.au/sites/default/files/2025-06/Notice-to-Market-2025%E2%80%9326_v1.pdf" TargetMode="External"/><Relationship Id="rId104" Type="http://schemas.openxmlformats.org/officeDocument/2006/relationships/hyperlink" Target="https://www.energy.vic.gov.au/__data/assets/pdf_file/0019/761023/2025-Victorian-Transmission-Plan.pdf" TargetMode="External"/><Relationship Id="rId7" Type="http://schemas.openxmlformats.org/officeDocument/2006/relationships/hyperlink" Target="https://www.vicgrid.com.au/__data/assets/pdf_file/0029/764840/register_of_large_generator_connections-vic.pdf" TargetMode="External"/><Relationship Id="rId71" Type="http://schemas.openxmlformats.org/officeDocument/2006/relationships/hyperlink" Target="https://www.aemo.com.au/energy-systems/electricity/national-electricity-market-nem/nem-forecasting-and-planning/victorian-planning/victorian-transmission-network-service-provider-role" TargetMode="External"/><Relationship Id="rId92" Type="http://schemas.openxmlformats.org/officeDocument/2006/relationships/hyperlink" Target="https://www.energy.vic.gov.au/renewable-energy/zero-emission-vehicles%23heading-3" TargetMode="External"/><Relationship Id="rId2" Type="http://schemas.openxmlformats.org/officeDocument/2006/relationships/hyperlink" Target="https://www.aemo.com.au/-/media/Files/Electricity/NEM/Planning_and_Forecasting/Demand-Forecasts/Operational-Consumption-definition.pdf" TargetMode="External"/><Relationship Id="rId29" Type="http://schemas.openxmlformats.org/officeDocument/2006/relationships/hyperlink" Target="https://www.vicgrid.com.au/__data/assets/pdf_file/0029/764840/register_of_large_generator_connections-vic.pdf" TargetMode="External"/><Relationship Id="rId24" Type="http://schemas.openxmlformats.org/officeDocument/2006/relationships/hyperlink" Target="https://engage.vic.gov.au/download/document/31853" TargetMode="External"/><Relationship Id="rId40" Type="http://schemas.openxmlformats.org/officeDocument/2006/relationships/hyperlink" Target="https://aemo.com.au/en/energy-systems/electricity/national-electricity-market-nem/nem-forecasting-and-planning/forecasting-and-reliability/nem-electricity-statement-of-opportunities-esoo" TargetMode="External"/><Relationship Id="rId45" Type="http://schemas.openxmlformats.org/officeDocument/2006/relationships/hyperlink" Target="https://www.aemo.com.au/-/media/files/major-publications/isp/2022/appendix-3-renewable-energy-zones.pdf?la=en" TargetMode="External"/><Relationship Id="rId66" Type="http://schemas.openxmlformats.org/officeDocument/2006/relationships/hyperlink" Target="https://www.ausnetservices.com.au/projects-and-innovation/regulatory-investment-test" TargetMode="External"/><Relationship Id="rId87" Type="http://schemas.openxmlformats.org/officeDocument/2006/relationships/hyperlink" Target="https://dapr.ausnetservices.com.au/ausnet_data/2024%20TCPR_17%20Dec.pdf" TargetMode="External"/><Relationship Id="rId61" Type="http://schemas.openxmlformats.org/officeDocument/2006/relationships/hyperlink" Target="https://www.energy.vic.gov.au/renewable-energy/offshore-wind-energy/offshore-wind-energy-victoria" TargetMode="External"/><Relationship Id="rId82" Type="http://schemas.openxmlformats.org/officeDocument/2006/relationships/hyperlink" Target="https://www.ausnetservices.com.au/-/media/project/ausnet/corporate-website/files/about/regulatory-investment-test/2025/kts-a-transformer-replacement-padr_final.pdf" TargetMode="External"/><Relationship Id="rId19" Type="http://schemas.openxmlformats.org/officeDocument/2006/relationships/hyperlink" Target="https://www.vicgrid.com.au/__data/assets/pdf_file/0023/769100/2025-Victorian-Network-Performance-and-Insights-Report.pdf" TargetMode="External"/><Relationship Id="rId14" Type="http://schemas.openxmlformats.org/officeDocument/2006/relationships/hyperlink" Target="https://www.vicgrid.com.au/transmission-planning/victorian-transmission-plan" TargetMode="External"/><Relationship Id="rId30" Type="http://schemas.openxmlformats.org/officeDocument/2006/relationships/hyperlink" Target="https://www.vicgrid.com.au/__data/assets/pdf_file/0023/769100/2025-Victorian-Network-Performance-and-Insights-Report.pdf" TargetMode="External"/><Relationship Id="rId35" Type="http://schemas.openxmlformats.org/officeDocument/2006/relationships/hyperlink" Target="https://www.energy.vic.gov.au/households/electric-and-efficiency-standards-for-buildings" TargetMode="External"/><Relationship Id="rId56" Type="http://schemas.openxmlformats.org/officeDocument/2006/relationships/hyperlink" Target="https://aemo.com.au/energy-systems/electricity/national-electricity-market-nem/nem-forecasting-and-planning/system-security-planning" TargetMode="External"/><Relationship Id="rId77" Type="http://schemas.openxmlformats.org/officeDocument/2006/relationships/hyperlink" Target="https://aemo.com.au/en/energy-systems/electricity/national-electricity-market-nem/system-operations/general-power-system-risk-review" TargetMode="External"/><Relationship Id="rId100" Type="http://schemas.openxmlformats.org/officeDocument/2006/relationships/hyperlink" Target="https://www.dcceew.gov.au/energy/renewable/capacity-investment-scheme" TargetMode="External"/><Relationship Id="rId8" Type="http://schemas.openxmlformats.org/officeDocument/2006/relationships/hyperlink" Target="https://aemo.com.au/en/energy-systems/electricity/national-electricity-market-nem/nem-forecasting-and-planning/forecasting-and-planning-data/transmission-augmentation-information" TargetMode="External"/><Relationship Id="rId51" Type="http://schemas.openxmlformats.org/officeDocument/2006/relationships/hyperlink" Target="https://aemo.com.au/initiatives/major-programs/vni-west/reports-and-project-updates" TargetMode="External"/><Relationship Id="rId72" Type="http://schemas.openxmlformats.org/officeDocument/2006/relationships/hyperlink" Target="https://www.vicgrid.com.au/__data/assets/pdf_file/0023/769100/2025-Victorian-Network-Performance-and-Insights-Report.pdf" TargetMode="External"/><Relationship Id="rId93" Type="http://schemas.openxmlformats.org/officeDocument/2006/relationships/hyperlink" Target="https://www.vic.gov.au/department-transport-and-planning" TargetMode="External"/><Relationship Id="rId98" Type="http://schemas.openxmlformats.org/officeDocument/2006/relationships/hyperlink" Target="https://www.solar.vic.gov.au/technology-guidelines" TargetMode="External"/><Relationship Id="rId3" Type="http://schemas.openxmlformats.org/officeDocument/2006/relationships/hyperlink" Target="https://www.aemo.com.au/consultations/current-and-closed-consultations/ausnet-services-padr-maintain-reliable-transmission-network-services-at-keilor-terminal-st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EMO 2022">
      <a:dk1>
        <a:srgbClr val="424242"/>
      </a:dk1>
      <a:lt1>
        <a:srgbClr val="FFFFFF"/>
      </a:lt1>
      <a:dk2>
        <a:srgbClr val="3C1053"/>
      </a:dk2>
      <a:lt2>
        <a:srgbClr val="EEEEF0"/>
      </a:lt2>
      <a:accent1>
        <a:srgbClr val="6B3077"/>
      </a:accent1>
      <a:accent2>
        <a:srgbClr val="A3519B"/>
      </a:accent2>
      <a:accent3>
        <a:srgbClr val="9B2241"/>
      </a:accent3>
      <a:accent4>
        <a:srgbClr val="FDD26E"/>
      </a:accent4>
      <a:accent5>
        <a:srgbClr val="A1D883"/>
      </a:accent5>
      <a:accent6>
        <a:srgbClr val="40C1AC"/>
      </a:accent6>
      <a:hlink>
        <a:srgbClr val="6B3077"/>
      </a:hlink>
      <a:folHlink>
        <a:srgbClr val="A3DBE8"/>
      </a:folHlink>
    </a:clrScheme>
    <a:fontScheme name="AEMO Arial Nova">
      <a:majorFont>
        <a:latin typeface="Century Gothic"/>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EMO Collaboration Document" ma:contentTypeID="0x0101002F0B48F8F4F7904196E710056827A096009A2A34CB2C678B4595419B1788F379F0" ma:contentTypeVersion="4" ma:contentTypeDescription="" ma:contentTypeScope="" ma:versionID="f2a1d2a8b4f698becba59948fe221022">
  <xsd:schema xmlns:xsd="http://www.w3.org/2001/XMLSchema" xmlns:xs="http://www.w3.org/2001/XMLSchema" xmlns:p="http://schemas.microsoft.com/office/2006/metadata/properties" xmlns:ns2="5d1a2284-45bc-4927-a9f9-e51f9f17c21a" targetNamespace="http://schemas.microsoft.com/office/2006/metadata/properties" ma:root="true" ma:fieldsID="92eb489f0087080a70f3d2bbf1a7865d" ns2:_="">
    <xsd:import namespace="5d1a2284-45bc-4927-a9f9-e51f9f17c21a"/>
    <xsd:element name="properties">
      <xsd:complexType>
        <xsd:sequence>
          <xsd:element name="documentManagement">
            <xsd:complexType>
              <xsd:all>
                <xsd:element ref="ns2:TaxCatchAll" minOccurs="0"/>
                <xsd:element ref="ns2:TaxCatchAllLabel" minOccurs="0"/>
                <xsd:element ref="ns2:TaxKeywordTaxHTField" minOccurs="0"/>
                <xsd:element ref="ns2:fc36bc6de0bf403e9ed4dec84c72e21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122dbb5-e005-4562-8349-791e19d2dfcb}" ma:internalName="TaxCatchAll" ma:showField="CatchAllData" ma:web="2366a248-d3ac-41a1-9d4f-c27bc002146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122dbb5-e005-4562-8349-791e19d2dfcb}" ma:internalName="TaxCatchAllLabel" ma:readOnly="true" ma:showField="CatchAllDataLabel" ma:web="2366a248-d3ac-41a1-9d4f-c27bc002146b">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fc36bc6de0bf403e9ed4dec84c72e21e" ma:index="12" nillable="true" ma:taxonomy="true" ma:internalName="fc36bc6de0bf403e9ed4dec84c72e21e" ma:taxonomyFieldName="AEMO_x0020_Collaboration_x0020_Document_x0020_Type" ma:displayName="AEMO Collaboration Document Type" ma:default="" ma:fieldId="{fc36bc6d-e0bf-403e-9ed4-dec84c72e21e}" ma:sspId="3e8ba7a3-af95-40f6-9ded-4ebe13adeb29" ma:termSetId="559df48e-15e2-45fa-a2d5-de60d483ab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8ba7a3-af95-40f6-9ded-4ebe13adeb29" ContentTypeId="0x0101002F0B48F8F4F7904196E710056827A096" PreviousValue="false" LastSyncTimeStamp="2022-01-31T11:36:03.467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5d1a2284-45bc-4927-a9f9-e51f9f17c21a">
      <Terms xmlns="http://schemas.microsoft.com/office/infopath/2007/PartnerControls"/>
    </TaxKeywordTaxHTField>
    <TaxCatchAll xmlns="5d1a2284-45bc-4927-a9f9-e51f9f17c21a" xsi:nil="true"/>
    <fc36bc6de0bf403e9ed4dec84c72e21e xmlns="5d1a2284-45bc-4927-a9f9-e51f9f17c21a">
      <Terms xmlns="http://schemas.microsoft.com/office/infopath/2007/PartnerControls"/>
    </fc36bc6de0bf403e9ed4dec84c72e21e>
  </documentManagement>
</p:properties>
</file>

<file path=customXml/itemProps1.xml><?xml version="1.0" encoding="utf-8"?>
<ds:datastoreItem xmlns:ds="http://schemas.openxmlformats.org/officeDocument/2006/customXml" ds:itemID="{CD555A66-46C4-4040-BD2E-DAB1E0117962}">
  <ds:schemaRefs>
    <ds:schemaRef ds:uri="http://schemas.openxmlformats.org/officeDocument/2006/bibliography"/>
  </ds:schemaRefs>
</ds:datastoreItem>
</file>

<file path=customXml/itemProps2.xml><?xml version="1.0" encoding="utf-8"?>
<ds:datastoreItem xmlns:ds="http://schemas.openxmlformats.org/officeDocument/2006/customXml" ds:itemID="{BE14E15D-8829-417C-B755-432F54E46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a2284-45bc-4927-a9f9-e51f9f17c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0380DC-AB89-485E-9B7E-4FDA555A89DA}">
  <ds:schemaRefs>
    <ds:schemaRef ds:uri="Microsoft.SharePoint.Taxonomy.ContentTypeSync"/>
  </ds:schemaRefs>
</ds:datastoreItem>
</file>

<file path=customXml/itemProps4.xml><?xml version="1.0" encoding="utf-8"?>
<ds:datastoreItem xmlns:ds="http://schemas.openxmlformats.org/officeDocument/2006/customXml" ds:itemID="{1D84040B-89C4-4A96-8CE8-FEA85C4E6B50}">
  <ds:schemaRefs>
    <ds:schemaRef ds:uri="http://schemas.microsoft.com/sharepoint/v3/contenttype/forms"/>
  </ds:schemaRefs>
</ds:datastoreItem>
</file>

<file path=customXml/itemProps5.xml><?xml version="1.0" encoding="utf-8"?>
<ds:datastoreItem xmlns:ds="http://schemas.openxmlformats.org/officeDocument/2006/customXml" ds:itemID="{8093402B-6680-4BAA-ACBE-C3C40AF3D9CD}">
  <ds:schemaRefs>
    <ds:schemaRef ds:uri="http://schemas.microsoft.com/office/2006/metadata/properties"/>
    <ds:schemaRef ds:uri="http://schemas.microsoft.com/office/infopath/2007/PartnerControls"/>
    <ds:schemaRef ds:uri="5d1a2284-45bc-4927-a9f9-e51f9f17c21a"/>
  </ds:schemaRefs>
</ds:datastoreItem>
</file>

<file path=docMetadata/LabelInfo.xml><?xml version="1.0" encoding="utf-8"?>
<clbl:labelList xmlns:clbl="http://schemas.microsoft.com/office/2020/mipLabelMetadata">
  <clbl:label id="{c1941c47-a837-430d-8559-fd118a72769e}" enabled="1" method="Standard" siteId="{320c999e-3876-4ad0-b401-d241068e9e60}" removed="0"/>
</clbl:labelList>
</file>

<file path=docProps/app.xml><?xml version="1.0" encoding="utf-8"?>
<Properties xmlns="http://schemas.openxmlformats.org/officeDocument/2006/extended-properties" xmlns:vt="http://schemas.openxmlformats.org/officeDocument/2006/docPropsVTypes">
  <Template>Normal</Template>
  <TotalTime>0</TotalTime>
  <Pages>134</Pages>
  <Words>44190</Words>
  <Characters>253212</Characters>
  <Application>Microsoft Office Word</Application>
  <DocSecurity>0</DocSecurity>
  <Lines>5504</Lines>
  <Paragraphs>3130</Paragraphs>
  <ScaleCrop>false</ScaleCrop>
  <HeadingPairs>
    <vt:vector size="2" baseType="variant">
      <vt:variant>
        <vt:lpstr>Title</vt:lpstr>
      </vt:variant>
      <vt:variant>
        <vt:i4>1</vt:i4>
      </vt:variant>
    </vt:vector>
  </HeadingPairs>
  <TitlesOfParts>
    <vt:vector size="1" baseType="lpstr">
      <vt:lpstr>2025 Victorian Annual Planning Report</vt:lpstr>
    </vt:vector>
  </TitlesOfParts>
  <Company/>
  <LinksUpToDate>false</LinksUpToDate>
  <CharactersWithSpaces>294272</CharactersWithSpaces>
  <SharedDoc>false</SharedDoc>
  <HLinks>
    <vt:vector size="1386" baseType="variant">
      <vt:variant>
        <vt:i4>2293846</vt:i4>
      </vt:variant>
      <vt:variant>
        <vt:i4>966</vt:i4>
      </vt:variant>
      <vt:variant>
        <vt:i4>0</vt:i4>
      </vt:variant>
      <vt:variant>
        <vt:i4>5</vt:i4>
      </vt:variant>
      <vt:variant>
        <vt:lpwstr>https://auc-word-edit.officeapps.live.com/we/wordeditorframe.aspx?ui=en-US&amp;rs=en-US&amp;wopisrc=https%3A%2F%2Faemocloud.sharepoint.com%2Fsites%2FVictorianTransmissionPlanningTeam%2F_vti_bin%2Fwopi.ashx%2Ffiles%2Fb570de60bca84aa7951cdc1f41537902&amp;wdenableroaming=1&amp;mscc=1&amp;hid=4B94BBA1-90DC-5000-C0E0-81A4184D80A8.0&amp;uih=sharepointcom&amp;wdlcid=en-US&amp;jsapi=1&amp;jsapiver=v2&amp;corrid=e7fe764c-0c77-3d3e-ec12-23db04bd3686&amp;usid=e7fe764c-0c77-3d3e-ec12-23db04bd3686&amp;newsession=1&amp;sftc=1&amp;uihit=docaspx&amp;muv=1&amp;ats=PairwiseBroker&amp;cac=1&amp;sams=1&amp;mtf=1&amp;sfp=1&amp;sdp=1&amp;hch=1&amp;hwfh=1&amp;dchat=1&amp;sc=%7B%22pmo%22%3A%22https%3A%2F%2Faemocloud.sharepoint.com%22%2C%22pmshare%22%3Atrue%7D&amp;ctp=LeastProtected&amp;rct=Normal&amp;wdorigin=ItemsView&amp;wdhostclicktime=1755150018013&amp;afdflight=44&amp;csiro=1&amp;instantedit=1&amp;wopicomplete=1&amp;wdredirectionreason=Unified_SingleFlush</vt:lpwstr>
      </vt:variant>
      <vt:variant>
        <vt:lpwstr>_ftn1</vt:lpwstr>
      </vt:variant>
      <vt:variant>
        <vt:i4>6619260</vt:i4>
      </vt:variant>
      <vt:variant>
        <vt:i4>921</vt:i4>
      </vt:variant>
      <vt:variant>
        <vt:i4>0</vt:i4>
      </vt:variant>
      <vt:variant>
        <vt:i4>5</vt:i4>
      </vt:variant>
      <vt:variant>
        <vt:lpwstr>https://www.aemo.com.au/-/media/files/electricity/nem/security_and_reliability/system_security_planning/2024-nscas-report.pdf</vt:lpwstr>
      </vt:variant>
      <vt:variant>
        <vt:lpwstr/>
      </vt:variant>
      <vt:variant>
        <vt:i4>1703950</vt:i4>
      </vt:variant>
      <vt:variant>
        <vt:i4>918</vt:i4>
      </vt:variant>
      <vt:variant>
        <vt:i4>0</vt:i4>
      </vt:variant>
      <vt:variant>
        <vt:i4>5</vt:i4>
      </vt:variant>
      <vt:variant>
        <vt:lpwstr>https://www.aemo.com.au/energy-systems/electricity/national-electricity-market-nem/nem-forecasting-and-planning/system-security-planning</vt:lpwstr>
      </vt:variant>
      <vt:variant>
        <vt:lpwstr/>
      </vt:variant>
      <vt:variant>
        <vt:i4>8323074</vt:i4>
      </vt:variant>
      <vt:variant>
        <vt:i4>813</vt:i4>
      </vt:variant>
      <vt:variant>
        <vt:i4>0</vt:i4>
      </vt:variant>
      <vt:variant>
        <vt:i4>5</vt:i4>
      </vt:variant>
      <vt:variant>
        <vt:lpwstr>https://www.energy.vic.gov.au/__data/assets/pdf_file/0015/761010/2025-Victorian-Transmission-Plan-Gippsland-summary.pdf</vt:lpwstr>
      </vt:variant>
      <vt:variant>
        <vt:lpwstr/>
      </vt:variant>
      <vt:variant>
        <vt:i4>196620</vt:i4>
      </vt:variant>
      <vt:variant>
        <vt:i4>810</vt:i4>
      </vt:variant>
      <vt:variant>
        <vt:i4>0</vt:i4>
      </vt:variant>
      <vt:variant>
        <vt:i4>5</vt:i4>
      </vt:variant>
      <vt:variant>
        <vt:lpwstr>https://www.energy.vic.gov.au/renewable-energy/vicgrid/renewable-energy-zones/gippsland-shoreline-renewable-energy-zones</vt:lpwstr>
      </vt:variant>
      <vt:variant>
        <vt:lpwstr/>
      </vt:variant>
      <vt:variant>
        <vt:i4>852074</vt:i4>
      </vt:variant>
      <vt:variant>
        <vt:i4>804</vt:i4>
      </vt:variant>
      <vt:variant>
        <vt:i4>0</vt:i4>
      </vt:variant>
      <vt:variant>
        <vt:i4>5</vt:i4>
      </vt:variant>
      <vt:variant>
        <vt:lpwstr>https://www.energy.vic.gov.au/__data/assets/pdf_file/0019/761023/2025-Victorian-Transmission-Plan.pdf</vt:lpwstr>
      </vt:variant>
      <vt:variant>
        <vt:lpwstr/>
      </vt:variant>
      <vt:variant>
        <vt:i4>852074</vt:i4>
      </vt:variant>
      <vt:variant>
        <vt:i4>798</vt:i4>
      </vt:variant>
      <vt:variant>
        <vt:i4>0</vt:i4>
      </vt:variant>
      <vt:variant>
        <vt:i4>5</vt:i4>
      </vt:variant>
      <vt:variant>
        <vt:lpwstr>https://www.energy.vic.gov.au/__data/assets/pdf_file/0019/761023/2025-Victorian-Transmission-Plan.pdf</vt:lpwstr>
      </vt:variant>
      <vt:variant>
        <vt:lpwstr/>
      </vt:variant>
      <vt:variant>
        <vt:i4>4390942</vt:i4>
      </vt:variant>
      <vt:variant>
        <vt:i4>783</vt:i4>
      </vt:variant>
      <vt:variant>
        <vt:i4>0</vt:i4>
      </vt:variant>
      <vt:variant>
        <vt:i4>5</vt:i4>
      </vt:variant>
      <vt:variant>
        <vt:lpwstr>https://aemo.com.au/initiatives/major-programs/victorian-system-strength-requirement-regulatory-investment-test-for-transmission</vt:lpwstr>
      </vt:variant>
      <vt:variant>
        <vt:lpwstr/>
      </vt:variant>
      <vt:variant>
        <vt:i4>5374046</vt:i4>
      </vt:variant>
      <vt:variant>
        <vt:i4>765</vt:i4>
      </vt:variant>
      <vt:variant>
        <vt:i4>0</vt:i4>
      </vt:variant>
      <vt:variant>
        <vt:i4>5</vt:i4>
      </vt:variant>
      <vt:variant>
        <vt:lpwstr>https://aemo.com.au/en/newsroom/media-release/aemo-awards-contract-to-improve-system-security-in-western-victoria-rez</vt:lpwstr>
      </vt:variant>
      <vt:variant>
        <vt:lpwstr/>
      </vt:variant>
      <vt:variant>
        <vt:i4>1638469</vt:i4>
      </vt:variant>
      <vt:variant>
        <vt:i4>723</vt:i4>
      </vt:variant>
      <vt:variant>
        <vt:i4>0</vt:i4>
      </vt:variant>
      <vt:variant>
        <vt:i4>5</vt:i4>
      </vt:variant>
      <vt:variant>
        <vt:lpwstr>https://www.aemo.com.au/energy-systems/electricity/national-electricity-market-nem/nem-forecasting-and-planning/forecasting-and-planning-data/electricity-forecasting-data-portal</vt:lpwstr>
      </vt:variant>
      <vt:variant>
        <vt:lpwstr/>
      </vt:variant>
      <vt:variant>
        <vt:i4>1638469</vt:i4>
      </vt:variant>
      <vt:variant>
        <vt:i4>717</vt:i4>
      </vt:variant>
      <vt:variant>
        <vt:i4>0</vt:i4>
      </vt:variant>
      <vt:variant>
        <vt:i4>5</vt:i4>
      </vt:variant>
      <vt:variant>
        <vt:lpwstr>https://www.aemo.com.au/energy-systems/electricity/national-electricity-market-nem/nem-forecasting-and-planning/forecasting-and-planning-data/electricity-forecasting-data-portal</vt:lpwstr>
      </vt:variant>
      <vt:variant>
        <vt:lpwstr/>
      </vt:variant>
      <vt:variant>
        <vt:i4>852074</vt:i4>
      </vt:variant>
      <vt:variant>
        <vt:i4>678</vt:i4>
      </vt:variant>
      <vt:variant>
        <vt:i4>0</vt:i4>
      </vt:variant>
      <vt:variant>
        <vt:i4>5</vt:i4>
      </vt:variant>
      <vt:variant>
        <vt:lpwstr>https://www.energy.vic.gov.au/__data/assets/pdf_file/0019/761023/2025-Victorian-Transmission-Plan.pdf</vt:lpwstr>
      </vt:variant>
      <vt:variant>
        <vt:lpwstr/>
      </vt:variant>
      <vt:variant>
        <vt:i4>1835102</vt:i4>
      </vt:variant>
      <vt:variant>
        <vt:i4>675</vt:i4>
      </vt:variant>
      <vt:variant>
        <vt:i4>0</vt:i4>
      </vt:variant>
      <vt:variant>
        <vt:i4>5</vt:i4>
      </vt:variant>
      <vt:variant>
        <vt:lpwstr>https://www.aemo.com.au/energy-systems/electricity/national-electricity-market-nem/nem-forecasting-and-planning/forecasting-and-planning-data/generation-information</vt:lpwstr>
      </vt:variant>
      <vt:variant>
        <vt:lpwstr/>
      </vt:variant>
      <vt:variant>
        <vt:i4>1769545</vt:i4>
      </vt:variant>
      <vt:variant>
        <vt:i4>666</vt:i4>
      </vt:variant>
      <vt:variant>
        <vt:i4>0</vt:i4>
      </vt:variant>
      <vt:variant>
        <vt:i4>5</vt:i4>
      </vt:variant>
      <vt:variant>
        <vt:lpwstr>https://www.aemo.com.au/energy-systems/major-publications/integrated-system-plan-isp/2024-integrated-system-plan-isp</vt:lpwstr>
      </vt:variant>
      <vt:variant>
        <vt:lpwstr/>
      </vt:variant>
      <vt:variant>
        <vt:i4>2949182</vt:i4>
      </vt:variant>
      <vt:variant>
        <vt:i4>663</vt:i4>
      </vt:variant>
      <vt:variant>
        <vt:i4>0</vt:i4>
      </vt:variant>
      <vt:variant>
        <vt:i4>5</vt:i4>
      </vt:variant>
      <vt:variant>
        <vt:lpwstr>https://www.aemo.com.au/energy-systems/electricity/national-electricity-market-nem/nem-forecasting-and-planning/forecasting-and-reliability/nem-electricity-statement-of-opportunities-esoo</vt:lpwstr>
      </vt:variant>
      <vt:variant>
        <vt:lpwstr/>
      </vt:variant>
      <vt:variant>
        <vt:i4>3604606</vt:i4>
      </vt:variant>
      <vt:variant>
        <vt:i4>660</vt:i4>
      </vt:variant>
      <vt:variant>
        <vt:i4>0</vt:i4>
      </vt:variant>
      <vt:variant>
        <vt:i4>5</vt:i4>
      </vt:variant>
      <vt:variant>
        <vt:lpwstr>https://www.aemo.com.au/consultations/current-and-closed-consultations/2025-electricity-network-options-report-consultation</vt:lpwstr>
      </vt:variant>
      <vt:variant>
        <vt:lpwstr/>
      </vt:variant>
      <vt:variant>
        <vt:i4>2031711</vt:i4>
      </vt:variant>
      <vt:variant>
        <vt:i4>657</vt:i4>
      </vt:variant>
      <vt:variant>
        <vt:i4>0</vt:i4>
      </vt:variant>
      <vt:variant>
        <vt:i4>5</vt:i4>
      </vt:variant>
      <vt:variant>
        <vt:lpwstr>https://aemo.com.au/energy-systems/electricity/national-electricity-market-nem/nem-forecasting-and-planning/forecasting-and-planning-data/enhanced-locational-information</vt:lpwstr>
      </vt:variant>
      <vt:variant>
        <vt:lpwstr/>
      </vt:variant>
      <vt:variant>
        <vt:i4>1310724</vt:i4>
      </vt:variant>
      <vt:variant>
        <vt:i4>654</vt:i4>
      </vt:variant>
      <vt:variant>
        <vt:i4>0</vt:i4>
      </vt:variant>
      <vt:variant>
        <vt:i4>5</vt:i4>
      </vt:variant>
      <vt:variant>
        <vt:lpwstr>https://www.aemo.com.au/energy-systems/electricity/national-electricity-market-nem/system-operations/general-power-system-risk-review</vt:lpwstr>
      </vt:variant>
      <vt:variant>
        <vt:lpwstr/>
      </vt:variant>
      <vt:variant>
        <vt:i4>7864381</vt:i4>
      </vt:variant>
      <vt:variant>
        <vt:i4>651</vt:i4>
      </vt:variant>
      <vt:variant>
        <vt:i4>0</vt:i4>
      </vt:variant>
      <vt:variant>
        <vt:i4>5</vt:i4>
      </vt:variant>
      <vt:variant>
        <vt:lpwstr>https://www.aemo.com.au/initiatives/major-programs/western-metropolitan-melbourne-reinforcement</vt:lpwstr>
      </vt:variant>
      <vt:variant>
        <vt:lpwstr/>
      </vt:variant>
      <vt:variant>
        <vt:i4>1703966</vt:i4>
      </vt:variant>
      <vt:variant>
        <vt:i4>648</vt:i4>
      </vt:variant>
      <vt:variant>
        <vt:i4>0</vt:i4>
      </vt:variant>
      <vt:variant>
        <vt:i4>5</vt:i4>
      </vt:variant>
      <vt:variant>
        <vt:lpwstr>https://www.aemo.com.au/initiatives/major-programs/victorian-system-strength-requirement-regulatory-investment-test-for-transmission</vt:lpwstr>
      </vt:variant>
      <vt:variant>
        <vt:lpwstr/>
      </vt:variant>
      <vt:variant>
        <vt:i4>458779</vt:i4>
      </vt:variant>
      <vt:variant>
        <vt:i4>645</vt:i4>
      </vt:variant>
      <vt:variant>
        <vt:i4>0</vt:i4>
      </vt:variant>
      <vt:variant>
        <vt:i4>5</vt:i4>
      </vt:variant>
      <vt:variant>
        <vt:lpwstr>https://www.aemo.com.au/initiatives/major-programs/metropolitan-melbourne-voltage-management-regulatory-investment-test-for-transmission</vt:lpwstr>
      </vt:variant>
      <vt:variant>
        <vt:lpwstr/>
      </vt:variant>
      <vt:variant>
        <vt:i4>3145847</vt:i4>
      </vt:variant>
      <vt:variant>
        <vt:i4>642</vt:i4>
      </vt:variant>
      <vt:variant>
        <vt:i4>0</vt:i4>
      </vt:variant>
      <vt:variant>
        <vt:i4>5</vt:i4>
      </vt:variant>
      <vt:variant>
        <vt:lpwstr>https://www.aemo.com.au/initiatives/major-programs/eastern-victoria-grid-reinforcement</vt:lpwstr>
      </vt:variant>
      <vt:variant>
        <vt:lpwstr/>
      </vt:variant>
      <vt:variant>
        <vt:i4>4390926</vt:i4>
      </vt:variant>
      <vt:variant>
        <vt:i4>639</vt:i4>
      </vt:variant>
      <vt:variant>
        <vt:i4>0</vt:i4>
      </vt:variant>
      <vt:variant>
        <vt:i4>5</vt:i4>
      </vt:variant>
      <vt:variant>
        <vt:lpwstr>https://aemo.com.au/energy-systems/electricity/national-electricity-market-nem/nem-forecasting-and-planning/system-security-planning</vt:lpwstr>
      </vt:variant>
      <vt:variant>
        <vt:lpwstr/>
      </vt:variant>
      <vt:variant>
        <vt:i4>4391010</vt:i4>
      </vt:variant>
      <vt:variant>
        <vt:i4>636</vt:i4>
      </vt:variant>
      <vt:variant>
        <vt:i4>0</vt:i4>
      </vt:variant>
      <vt:variant>
        <vt:i4>5</vt:i4>
      </vt:variant>
      <vt:variant>
        <vt:lpwstr>mailto:VIC.Planning@aemo.com.au</vt:lpwstr>
      </vt:variant>
      <vt:variant>
        <vt:lpwstr/>
      </vt:variant>
      <vt:variant>
        <vt:i4>1245233</vt:i4>
      </vt:variant>
      <vt:variant>
        <vt:i4>617</vt:i4>
      </vt:variant>
      <vt:variant>
        <vt:i4>0</vt:i4>
      </vt:variant>
      <vt:variant>
        <vt:i4>5</vt:i4>
      </vt:variant>
      <vt:variant>
        <vt:lpwstr/>
      </vt:variant>
      <vt:variant>
        <vt:lpwstr>_Toc212023366</vt:lpwstr>
      </vt:variant>
      <vt:variant>
        <vt:i4>1245233</vt:i4>
      </vt:variant>
      <vt:variant>
        <vt:i4>611</vt:i4>
      </vt:variant>
      <vt:variant>
        <vt:i4>0</vt:i4>
      </vt:variant>
      <vt:variant>
        <vt:i4>5</vt:i4>
      </vt:variant>
      <vt:variant>
        <vt:lpwstr/>
      </vt:variant>
      <vt:variant>
        <vt:lpwstr>_Toc212023365</vt:lpwstr>
      </vt:variant>
      <vt:variant>
        <vt:i4>1245233</vt:i4>
      </vt:variant>
      <vt:variant>
        <vt:i4>605</vt:i4>
      </vt:variant>
      <vt:variant>
        <vt:i4>0</vt:i4>
      </vt:variant>
      <vt:variant>
        <vt:i4>5</vt:i4>
      </vt:variant>
      <vt:variant>
        <vt:lpwstr/>
      </vt:variant>
      <vt:variant>
        <vt:lpwstr>_Toc212023364</vt:lpwstr>
      </vt:variant>
      <vt:variant>
        <vt:i4>1245233</vt:i4>
      </vt:variant>
      <vt:variant>
        <vt:i4>599</vt:i4>
      </vt:variant>
      <vt:variant>
        <vt:i4>0</vt:i4>
      </vt:variant>
      <vt:variant>
        <vt:i4>5</vt:i4>
      </vt:variant>
      <vt:variant>
        <vt:lpwstr/>
      </vt:variant>
      <vt:variant>
        <vt:lpwstr>_Toc212023363</vt:lpwstr>
      </vt:variant>
      <vt:variant>
        <vt:i4>1245233</vt:i4>
      </vt:variant>
      <vt:variant>
        <vt:i4>593</vt:i4>
      </vt:variant>
      <vt:variant>
        <vt:i4>0</vt:i4>
      </vt:variant>
      <vt:variant>
        <vt:i4>5</vt:i4>
      </vt:variant>
      <vt:variant>
        <vt:lpwstr/>
      </vt:variant>
      <vt:variant>
        <vt:lpwstr>_Toc212023362</vt:lpwstr>
      </vt:variant>
      <vt:variant>
        <vt:i4>1245233</vt:i4>
      </vt:variant>
      <vt:variant>
        <vt:i4>587</vt:i4>
      </vt:variant>
      <vt:variant>
        <vt:i4>0</vt:i4>
      </vt:variant>
      <vt:variant>
        <vt:i4>5</vt:i4>
      </vt:variant>
      <vt:variant>
        <vt:lpwstr/>
      </vt:variant>
      <vt:variant>
        <vt:lpwstr>_Toc212023361</vt:lpwstr>
      </vt:variant>
      <vt:variant>
        <vt:i4>1245233</vt:i4>
      </vt:variant>
      <vt:variant>
        <vt:i4>581</vt:i4>
      </vt:variant>
      <vt:variant>
        <vt:i4>0</vt:i4>
      </vt:variant>
      <vt:variant>
        <vt:i4>5</vt:i4>
      </vt:variant>
      <vt:variant>
        <vt:lpwstr/>
      </vt:variant>
      <vt:variant>
        <vt:lpwstr>_Toc212023360</vt:lpwstr>
      </vt:variant>
      <vt:variant>
        <vt:i4>1048625</vt:i4>
      </vt:variant>
      <vt:variant>
        <vt:i4>575</vt:i4>
      </vt:variant>
      <vt:variant>
        <vt:i4>0</vt:i4>
      </vt:variant>
      <vt:variant>
        <vt:i4>5</vt:i4>
      </vt:variant>
      <vt:variant>
        <vt:lpwstr/>
      </vt:variant>
      <vt:variant>
        <vt:lpwstr>_Toc212023359</vt:lpwstr>
      </vt:variant>
      <vt:variant>
        <vt:i4>1048625</vt:i4>
      </vt:variant>
      <vt:variant>
        <vt:i4>569</vt:i4>
      </vt:variant>
      <vt:variant>
        <vt:i4>0</vt:i4>
      </vt:variant>
      <vt:variant>
        <vt:i4>5</vt:i4>
      </vt:variant>
      <vt:variant>
        <vt:lpwstr/>
      </vt:variant>
      <vt:variant>
        <vt:lpwstr>_Toc212023358</vt:lpwstr>
      </vt:variant>
      <vt:variant>
        <vt:i4>1048625</vt:i4>
      </vt:variant>
      <vt:variant>
        <vt:i4>563</vt:i4>
      </vt:variant>
      <vt:variant>
        <vt:i4>0</vt:i4>
      </vt:variant>
      <vt:variant>
        <vt:i4>5</vt:i4>
      </vt:variant>
      <vt:variant>
        <vt:lpwstr/>
      </vt:variant>
      <vt:variant>
        <vt:lpwstr>_Toc212023357</vt:lpwstr>
      </vt:variant>
      <vt:variant>
        <vt:i4>1048625</vt:i4>
      </vt:variant>
      <vt:variant>
        <vt:i4>557</vt:i4>
      </vt:variant>
      <vt:variant>
        <vt:i4>0</vt:i4>
      </vt:variant>
      <vt:variant>
        <vt:i4>5</vt:i4>
      </vt:variant>
      <vt:variant>
        <vt:lpwstr/>
      </vt:variant>
      <vt:variant>
        <vt:lpwstr>_Toc212023356</vt:lpwstr>
      </vt:variant>
      <vt:variant>
        <vt:i4>1048625</vt:i4>
      </vt:variant>
      <vt:variant>
        <vt:i4>551</vt:i4>
      </vt:variant>
      <vt:variant>
        <vt:i4>0</vt:i4>
      </vt:variant>
      <vt:variant>
        <vt:i4>5</vt:i4>
      </vt:variant>
      <vt:variant>
        <vt:lpwstr/>
      </vt:variant>
      <vt:variant>
        <vt:lpwstr>_Toc212023355</vt:lpwstr>
      </vt:variant>
      <vt:variant>
        <vt:i4>1048625</vt:i4>
      </vt:variant>
      <vt:variant>
        <vt:i4>545</vt:i4>
      </vt:variant>
      <vt:variant>
        <vt:i4>0</vt:i4>
      </vt:variant>
      <vt:variant>
        <vt:i4>5</vt:i4>
      </vt:variant>
      <vt:variant>
        <vt:lpwstr/>
      </vt:variant>
      <vt:variant>
        <vt:lpwstr>_Toc212023354</vt:lpwstr>
      </vt:variant>
      <vt:variant>
        <vt:i4>1048625</vt:i4>
      </vt:variant>
      <vt:variant>
        <vt:i4>539</vt:i4>
      </vt:variant>
      <vt:variant>
        <vt:i4>0</vt:i4>
      </vt:variant>
      <vt:variant>
        <vt:i4>5</vt:i4>
      </vt:variant>
      <vt:variant>
        <vt:lpwstr/>
      </vt:variant>
      <vt:variant>
        <vt:lpwstr>_Toc212023353</vt:lpwstr>
      </vt:variant>
      <vt:variant>
        <vt:i4>1048625</vt:i4>
      </vt:variant>
      <vt:variant>
        <vt:i4>533</vt:i4>
      </vt:variant>
      <vt:variant>
        <vt:i4>0</vt:i4>
      </vt:variant>
      <vt:variant>
        <vt:i4>5</vt:i4>
      </vt:variant>
      <vt:variant>
        <vt:lpwstr/>
      </vt:variant>
      <vt:variant>
        <vt:lpwstr>_Toc212023352</vt:lpwstr>
      </vt:variant>
      <vt:variant>
        <vt:i4>1048625</vt:i4>
      </vt:variant>
      <vt:variant>
        <vt:i4>527</vt:i4>
      </vt:variant>
      <vt:variant>
        <vt:i4>0</vt:i4>
      </vt:variant>
      <vt:variant>
        <vt:i4>5</vt:i4>
      </vt:variant>
      <vt:variant>
        <vt:lpwstr/>
      </vt:variant>
      <vt:variant>
        <vt:lpwstr>_Toc212023351</vt:lpwstr>
      </vt:variant>
      <vt:variant>
        <vt:i4>1048625</vt:i4>
      </vt:variant>
      <vt:variant>
        <vt:i4>521</vt:i4>
      </vt:variant>
      <vt:variant>
        <vt:i4>0</vt:i4>
      </vt:variant>
      <vt:variant>
        <vt:i4>5</vt:i4>
      </vt:variant>
      <vt:variant>
        <vt:lpwstr/>
      </vt:variant>
      <vt:variant>
        <vt:lpwstr>_Toc212023350</vt:lpwstr>
      </vt:variant>
      <vt:variant>
        <vt:i4>1114161</vt:i4>
      </vt:variant>
      <vt:variant>
        <vt:i4>515</vt:i4>
      </vt:variant>
      <vt:variant>
        <vt:i4>0</vt:i4>
      </vt:variant>
      <vt:variant>
        <vt:i4>5</vt:i4>
      </vt:variant>
      <vt:variant>
        <vt:lpwstr/>
      </vt:variant>
      <vt:variant>
        <vt:lpwstr>_Toc212023349</vt:lpwstr>
      </vt:variant>
      <vt:variant>
        <vt:i4>1114161</vt:i4>
      </vt:variant>
      <vt:variant>
        <vt:i4>509</vt:i4>
      </vt:variant>
      <vt:variant>
        <vt:i4>0</vt:i4>
      </vt:variant>
      <vt:variant>
        <vt:i4>5</vt:i4>
      </vt:variant>
      <vt:variant>
        <vt:lpwstr/>
      </vt:variant>
      <vt:variant>
        <vt:lpwstr>_Toc212023348</vt:lpwstr>
      </vt:variant>
      <vt:variant>
        <vt:i4>1114161</vt:i4>
      </vt:variant>
      <vt:variant>
        <vt:i4>503</vt:i4>
      </vt:variant>
      <vt:variant>
        <vt:i4>0</vt:i4>
      </vt:variant>
      <vt:variant>
        <vt:i4>5</vt:i4>
      </vt:variant>
      <vt:variant>
        <vt:lpwstr/>
      </vt:variant>
      <vt:variant>
        <vt:lpwstr>_Toc212023347</vt:lpwstr>
      </vt:variant>
      <vt:variant>
        <vt:i4>1114161</vt:i4>
      </vt:variant>
      <vt:variant>
        <vt:i4>497</vt:i4>
      </vt:variant>
      <vt:variant>
        <vt:i4>0</vt:i4>
      </vt:variant>
      <vt:variant>
        <vt:i4>5</vt:i4>
      </vt:variant>
      <vt:variant>
        <vt:lpwstr/>
      </vt:variant>
      <vt:variant>
        <vt:lpwstr>_Toc212023346</vt:lpwstr>
      </vt:variant>
      <vt:variant>
        <vt:i4>1114161</vt:i4>
      </vt:variant>
      <vt:variant>
        <vt:i4>491</vt:i4>
      </vt:variant>
      <vt:variant>
        <vt:i4>0</vt:i4>
      </vt:variant>
      <vt:variant>
        <vt:i4>5</vt:i4>
      </vt:variant>
      <vt:variant>
        <vt:lpwstr/>
      </vt:variant>
      <vt:variant>
        <vt:lpwstr>_Toc212023345</vt:lpwstr>
      </vt:variant>
      <vt:variant>
        <vt:i4>1114161</vt:i4>
      </vt:variant>
      <vt:variant>
        <vt:i4>485</vt:i4>
      </vt:variant>
      <vt:variant>
        <vt:i4>0</vt:i4>
      </vt:variant>
      <vt:variant>
        <vt:i4>5</vt:i4>
      </vt:variant>
      <vt:variant>
        <vt:lpwstr/>
      </vt:variant>
      <vt:variant>
        <vt:lpwstr>_Toc212023344</vt:lpwstr>
      </vt:variant>
      <vt:variant>
        <vt:i4>1114161</vt:i4>
      </vt:variant>
      <vt:variant>
        <vt:i4>479</vt:i4>
      </vt:variant>
      <vt:variant>
        <vt:i4>0</vt:i4>
      </vt:variant>
      <vt:variant>
        <vt:i4>5</vt:i4>
      </vt:variant>
      <vt:variant>
        <vt:lpwstr/>
      </vt:variant>
      <vt:variant>
        <vt:lpwstr>_Toc212023343</vt:lpwstr>
      </vt:variant>
      <vt:variant>
        <vt:i4>1114161</vt:i4>
      </vt:variant>
      <vt:variant>
        <vt:i4>473</vt:i4>
      </vt:variant>
      <vt:variant>
        <vt:i4>0</vt:i4>
      </vt:variant>
      <vt:variant>
        <vt:i4>5</vt:i4>
      </vt:variant>
      <vt:variant>
        <vt:lpwstr/>
      </vt:variant>
      <vt:variant>
        <vt:lpwstr>_Toc212023342</vt:lpwstr>
      </vt:variant>
      <vt:variant>
        <vt:i4>1114161</vt:i4>
      </vt:variant>
      <vt:variant>
        <vt:i4>467</vt:i4>
      </vt:variant>
      <vt:variant>
        <vt:i4>0</vt:i4>
      </vt:variant>
      <vt:variant>
        <vt:i4>5</vt:i4>
      </vt:variant>
      <vt:variant>
        <vt:lpwstr/>
      </vt:variant>
      <vt:variant>
        <vt:lpwstr>_Toc212023341</vt:lpwstr>
      </vt:variant>
      <vt:variant>
        <vt:i4>1114161</vt:i4>
      </vt:variant>
      <vt:variant>
        <vt:i4>461</vt:i4>
      </vt:variant>
      <vt:variant>
        <vt:i4>0</vt:i4>
      </vt:variant>
      <vt:variant>
        <vt:i4>5</vt:i4>
      </vt:variant>
      <vt:variant>
        <vt:lpwstr/>
      </vt:variant>
      <vt:variant>
        <vt:lpwstr>_Toc212023340</vt:lpwstr>
      </vt:variant>
      <vt:variant>
        <vt:i4>1441841</vt:i4>
      </vt:variant>
      <vt:variant>
        <vt:i4>455</vt:i4>
      </vt:variant>
      <vt:variant>
        <vt:i4>0</vt:i4>
      </vt:variant>
      <vt:variant>
        <vt:i4>5</vt:i4>
      </vt:variant>
      <vt:variant>
        <vt:lpwstr/>
      </vt:variant>
      <vt:variant>
        <vt:lpwstr>_Toc212023339</vt:lpwstr>
      </vt:variant>
      <vt:variant>
        <vt:i4>1441841</vt:i4>
      </vt:variant>
      <vt:variant>
        <vt:i4>449</vt:i4>
      </vt:variant>
      <vt:variant>
        <vt:i4>0</vt:i4>
      </vt:variant>
      <vt:variant>
        <vt:i4>5</vt:i4>
      </vt:variant>
      <vt:variant>
        <vt:lpwstr/>
      </vt:variant>
      <vt:variant>
        <vt:lpwstr>_Toc212023338</vt:lpwstr>
      </vt:variant>
      <vt:variant>
        <vt:i4>1441841</vt:i4>
      </vt:variant>
      <vt:variant>
        <vt:i4>443</vt:i4>
      </vt:variant>
      <vt:variant>
        <vt:i4>0</vt:i4>
      </vt:variant>
      <vt:variant>
        <vt:i4>5</vt:i4>
      </vt:variant>
      <vt:variant>
        <vt:lpwstr/>
      </vt:variant>
      <vt:variant>
        <vt:lpwstr>_Toc212023337</vt:lpwstr>
      </vt:variant>
      <vt:variant>
        <vt:i4>1441841</vt:i4>
      </vt:variant>
      <vt:variant>
        <vt:i4>437</vt:i4>
      </vt:variant>
      <vt:variant>
        <vt:i4>0</vt:i4>
      </vt:variant>
      <vt:variant>
        <vt:i4>5</vt:i4>
      </vt:variant>
      <vt:variant>
        <vt:lpwstr/>
      </vt:variant>
      <vt:variant>
        <vt:lpwstr>_Toc212023336</vt:lpwstr>
      </vt:variant>
      <vt:variant>
        <vt:i4>1441841</vt:i4>
      </vt:variant>
      <vt:variant>
        <vt:i4>431</vt:i4>
      </vt:variant>
      <vt:variant>
        <vt:i4>0</vt:i4>
      </vt:variant>
      <vt:variant>
        <vt:i4>5</vt:i4>
      </vt:variant>
      <vt:variant>
        <vt:lpwstr/>
      </vt:variant>
      <vt:variant>
        <vt:lpwstr>_Toc212023335</vt:lpwstr>
      </vt:variant>
      <vt:variant>
        <vt:i4>1441841</vt:i4>
      </vt:variant>
      <vt:variant>
        <vt:i4>422</vt:i4>
      </vt:variant>
      <vt:variant>
        <vt:i4>0</vt:i4>
      </vt:variant>
      <vt:variant>
        <vt:i4>5</vt:i4>
      </vt:variant>
      <vt:variant>
        <vt:lpwstr/>
      </vt:variant>
      <vt:variant>
        <vt:lpwstr>_Toc212023334</vt:lpwstr>
      </vt:variant>
      <vt:variant>
        <vt:i4>1441841</vt:i4>
      </vt:variant>
      <vt:variant>
        <vt:i4>416</vt:i4>
      </vt:variant>
      <vt:variant>
        <vt:i4>0</vt:i4>
      </vt:variant>
      <vt:variant>
        <vt:i4>5</vt:i4>
      </vt:variant>
      <vt:variant>
        <vt:lpwstr/>
      </vt:variant>
      <vt:variant>
        <vt:lpwstr>_Toc212023333</vt:lpwstr>
      </vt:variant>
      <vt:variant>
        <vt:i4>1441841</vt:i4>
      </vt:variant>
      <vt:variant>
        <vt:i4>410</vt:i4>
      </vt:variant>
      <vt:variant>
        <vt:i4>0</vt:i4>
      </vt:variant>
      <vt:variant>
        <vt:i4>5</vt:i4>
      </vt:variant>
      <vt:variant>
        <vt:lpwstr/>
      </vt:variant>
      <vt:variant>
        <vt:lpwstr>_Toc212023332</vt:lpwstr>
      </vt:variant>
      <vt:variant>
        <vt:i4>1441841</vt:i4>
      </vt:variant>
      <vt:variant>
        <vt:i4>404</vt:i4>
      </vt:variant>
      <vt:variant>
        <vt:i4>0</vt:i4>
      </vt:variant>
      <vt:variant>
        <vt:i4>5</vt:i4>
      </vt:variant>
      <vt:variant>
        <vt:lpwstr/>
      </vt:variant>
      <vt:variant>
        <vt:lpwstr>_Toc212023331</vt:lpwstr>
      </vt:variant>
      <vt:variant>
        <vt:i4>1441841</vt:i4>
      </vt:variant>
      <vt:variant>
        <vt:i4>398</vt:i4>
      </vt:variant>
      <vt:variant>
        <vt:i4>0</vt:i4>
      </vt:variant>
      <vt:variant>
        <vt:i4>5</vt:i4>
      </vt:variant>
      <vt:variant>
        <vt:lpwstr/>
      </vt:variant>
      <vt:variant>
        <vt:lpwstr>_Toc212023330</vt:lpwstr>
      </vt:variant>
      <vt:variant>
        <vt:i4>1507377</vt:i4>
      </vt:variant>
      <vt:variant>
        <vt:i4>392</vt:i4>
      </vt:variant>
      <vt:variant>
        <vt:i4>0</vt:i4>
      </vt:variant>
      <vt:variant>
        <vt:i4>5</vt:i4>
      </vt:variant>
      <vt:variant>
        <vt:lpwstr/>
      </vt:variant>
      <vt:variant>
        <vt:lpwstr>_Toc212023329</vt:lpwstr>
      </vt:variant>
      <vt:variant>
        <vt:i4>1507377</vt:i4>
      </vt:variant>
      <vt:variant>
        <vt:i4>386</vt:i4>
      </vt:variant>
      <vt:variant>
        <vt:i4>0</vt:i4>
      </vt:variant>
      <vt:variant>
        <vt:i4>5</vt:i4>
      </vt:variant>
      <vt:variant>
        <vt:lpwstr/>
      </vt:variant>
      <vt:variant>
        <vt:lpwstr>_Toc212023328</vt:lpwstr>
      </vt:variant>
      <vt:variant>
        <vt:i4>1507377</vt:i4>
      </vt:variant>
      <vt:variant>
        <vt:i4>380</vt:i4>
      </vt:variant>
      <vt:variant>
        <vt:i4>0</vt:i4>
      </vt:variant>
      <vt:variant>
        <vt:i4>5</vt:i4>
      </vt:variant>
      <vt:variant>
        <vt:lpwstr/>
      </vt:variant>
      <vt:variant>
        <vt:lpwstr>_Toc212023327</vt:lpwstr>
      </vt:variant>
      <vt:variant>
        <vt:i4>1507377</vt:i4>
      </vt:variant>
      <vt:variant>
        <vt:i4>374</vt:i4>
      </vt:variant>
      <vt:variant>
        <vt:i4>0</vt:i4>
      </vt:variant>
      <vt:variant>
        <vt:i4>5</vt:i4>
      </vt:variant>
      <vt:variant>
        <vt:lpwstr/>
      </vt:variant>
      <vt:variant>
        <vt:lpwstr>_Toc212023326</vt:lpwstr>
      </vt:variant>
      <vt:variant>
        <vt:i4>1507377</vt:i4>
      </vt:variant>
      <vt:variant>
        <vt:i4>368</vt:i4>
      </vt:variant>
      <vt:variant>
        <vt:i4>0</vt:i4>
      </vt:variant>
      <vt:variant>
        <vt:i4>5</vt:i4>
      </vt:variant>
      <vt:variant>
        <vt:lpwstr/>
      </vt:variant>
      <vt:variant>
        <vt:lpwstr>_Toc212023325</vt:lpwstr>
      </vt:variant>
      <vt:variant>
        <vt:i4>1507377</vt:i4>
      </vt:variant>
      <vt:variant>
        <vt:i4>362</vt:i4>
      </vt:variant>
      <vt:variant>
        <vt:i4>0</vt:i4>
      </vt:variant>
      <vt:variant>
        <vt:i4>5</vt:i4>
      </vt:variant>
      <vt:variant>
        <vt:lpwstr/>
      </vt:variant>
      <vt:variant>
        <vt:lpwstr>_Toc212023324</vt:lpwstr>
      </vt:variant>
      <vt:variant>
        <vt:i4>1507377</vt:i4>
      </vt:variant>
      <vt:variant>
        <vt:i4>356</vt:i4>
      </vt:variant>
      <vt:variant>
        <vt:i4>0</vt:i4>
      </vt:variant>
      <vt:variant>
        <vt:i4>5</vt:i4>
      </vt:variant>
      <vt:variant>
        <vt:lpwstr/>
      </vt:variant>
      <vt:variant>
        <vt:lpwstr>_Toc212023323</vt:lpwstr>
      </vt:variant>
      <vt:variant>
        <vt:i4>1507377</vt:i4>
      </vt:variant>
      <vt:variant>
        <vt:i4>350</vt:i4>
      </vt:variant>
      <vt:variant>
        <vt:i4>0</vt:i4>
      </vt:variant>
      <vt:variant>
        <vt:i4>5</vt:i4>
      </vt:variant>
      <vt:variant>
        <vt:lpwstr/>
      </vt:variant>
      <vt:variant>
        <vt:lpwstr>_Toc212023322</vt:lpwstr>
      </vt:variant>
      <vt:variant>
        <vt:i4>1507377</vt:i4>
      </vt:variant>
      <vt:variant>
        <vt:i4>344</vt:i4>
      </vt:variant>
      <vt:variant>
        <vt:i4>0</vt:i4>
      </vt:variant>
      <vt:variant>
        <vt:i4>5</vt:i4>
      </vt:variant>
      <vt:variant>
        <vt:lpwstr/>
      </vt:variant>
      <vt:variant>
        <vt:lpwstr>_Toc212023321</vt:lpwstr>
      </vt:variant>
      <vt:variant>
        <vt:i4>1507377</vt:i4>
      </vt:variant>
      <vt:variant>
        <vt:i4>338</vt:i4>
      </vt:variant>
      <vt:variant>
        <vt:i4>0</vt:i4>
      </vt:variant>
      <vt:variant>
        <vt:i4>5</vt:i4>
      </vt:variant>
      <vt:variant>
        <vt:lpwstr/>
      </vt:variant>
      <vt:variant>
        <vt:lpwstr>_Toc212023320</vt:lpwstr>
      </vt:variant>
      <vt:variant>
        <vt:i4>1310769</vt:i4>
      </vt:variant>
      <vt:variant>
        <vt:i4>332</vt:i4>
      </vt:variant>
      <vt:variant>
        <vt:i4>0</vt:i4>
      </vt:variant>
      <vt:variant>
        <vt:i4>5</vt:i4>
      </vt:variant>
      <vt:variant>
        <vt:lpwstr/>
      </vt:variant>
      <vt:variant>
        <vt:lpwstr>_Toc212023319</vt:lpwstr>
      </vt:variant>
      <vt:variant>
        <vt:i4>1310769</vt:i4>
      </vt:variant>
      <vt:variant>
        <vt:i4>326</vt:i4>
      </vt:variant>
      <vt:variant>
        <vt:i4>0</vt:i4>
      </vt:variant>
      <vt:variant>
        <vt:i4>5</vt:i4>
      </vt:variant>
      <vt:variant>
        <vt:lpwstr/>
      </vt:variant>
      <vt:variant>
        <vt:lpwstr>_Toc212023318</vt:lpwstr>
      </vt:variant>
      <vt:variant>
        <vt:i4>1310769</vt:i4>
      </vt:variant>
      <vt:variant>
        <vt:i4>320</vt:i4>
      </vt:variant>
      <vt:variant>
        <vt:i4>0</vt:i4>
      </vt:variant>
      <vt:variant>
        <vt:i4>5</vt:i4>
      </vt:variant>
      <vt:variant>
        <vt:lpwstr/>
      </vt:variant>
      <vt:variant>
        <vt:lpwstr>_Toc212023317</vt:lpwstr>
      </vt:variant>
      <vt:variant>
        <vt:i4>1310769</vt:i4>
      </vt:variant>
      <vt:variant>
        <vt:i4>314</vt:i4>
      </vt:variant>
      <vt:variant>
        <vt:i4>0</vt:i4>
      </vt:variant>
      <vt:variant>
        <vt:i4>5</vt:i4>
      </vt:variant>
      <vt:variant>
        <vt:lpwstr/>
      </vt:variant>
      <vt:variant>
        <vt:lpwstr>_Toc212023316</vt:lpwstr>
      </vt:variant>
      <vt:variant>
        <vt:i4>1310769</vt:i4>
      </vt:variant>
      <vt:variant>
        <vt:i4>308</vt:i4>
      </vt:variant>
      <vt:variant>
        <vt:i4>0</vt:i4>
      </vt:variant>
      <vt:variant>
        <vt:i4>5</vt:i4>
      </vt:variant>
      <vt:variant>
        <vt:lpwstr/>
      </vt:variant>
      <vt:variant>
        <vt:lpwstr>_Toc212023315</vt:lpwstr>
      </vt:variant>
      <vt:variant>
        <vt:i4>1310769</vt:i4>
      </vt:variant>
      <vt:variant>
        <vt:i4>302</vt:i4>
      </vt:variant>
      <vt:variant>
        <vt:i4>0</vt:i4>
      </vt:variant>
      <vt:variant>
        <vt:i4>5</vt:i4>
      </vt:variant>
      <vt:variant>
        <vt:lpwstr/>
      </vt:variant>
      <vt:variant>
        <vt:lpwstr>_Toc212023314</vt:lpwstr>
      </vt:variant>
      <vt:variant>
        <vt:i4>1310769</vt:i4>
      </vt:variant>
      <vt:variant>
        <vt:i4>296</vt:i4>
      </vt:variant>
      <vt:variant>
        <vt:i4>0</vt:i4>
      </vt:variant>
      <vt:variant>
        <vt:i4>5</vt:i4>
      </vt:variant>
      <vt:variant>
        <vt:lpwstr/>
      </vt:variant>
      <vt:variant>
        <vt:lpwstr>_Toc212023313</vt:lpwstr>
      </vt:variant>
      <vt:variant>
        <vt:i4>1310769</vt:i4>
      </vt:variant>
      <vt:variant>
        <vt:i4>290</vt:i4>
      </vt:variant>
      <vt:variant>
        <vt:i4>0</vt:i4>
      </vt:variant>
      <vt:variant>
        <vt:i4>5</vt:i4>
      </vt:variant>
      <vt:variant>
        <vt:lpwstr/>
      </vt:variant>
      <vt:variant>
        <vt:lpwstr>_Toc212023312</vt:lpwstr>
      </vt:variant>
      <vt:variant>
        <vt:i4>1310769</vt:i4>
      </vt:variant>
      <vt:variant>
        <vt:i4>284</vt:i4>
      </vt:variant>
      <vt:variant>
        <vt:i4>0</vt:i4>
      </vt:variant>
      <vt:variant>
        <vt:i4>5</vt:i4>
      </vt:variant>
      <vt:variant>
        <vt:lpwstr/>
      </vt:variant>
      <vt:variant>
        <vt:lpwstr>_Toc212023311</vt:lpwstr>
      </vt:variant>
      <vt:variant>
        <vt:i4>1310769</vt:i4>
      </vt:variant>
      <vt:variant>
        <vt:i4>278</vt:i4>
      </vt:variant>
      <vt:variant>
        <vt:i4>0</vt:i4>
      </vt:variant>
      <vt:variant>
        <vt:i4>5</vt:i4>
      </vt:variant>
      <vt:variant>
        <vt:lpwstr/>
      </vt:variant>
      <vt:variant>
        <vt:lpwstr>_Toc212023310</vt:lpwstr>
      </vt:variant>
      <vt:variant>
        <vt:i4>1376305</vt:i4>
      </vt:variant>
      <vt:variant>
        <vt:i4>272</vt:i4>
      </vt:variant>
      <vt:variant>
        <vt:i4>0</vt:i4>
      </vt:variant>
      <vt:variant>
        <vt:i4>5</vt:i4>
      </vt:variant>
      <vt:variant>
        <vt:lpwstr/>
      </vt:variant>
      <vt:variant>
        <vt:lpwstr>_Toc212023309</vt:lpwstr>
      </vt:variant>
      <vt:variant>
        <vt:i4>1376305</vt:i4>
      </vt:variant>
      <vt:variant>
        <vt:i4>266</vt:i4>
      </vt:variant>
      <vt:variant>
        <vt:i4>0</vt:i4>
      </vt:variant>
      <vt:variant>
        <vt:i4>5</vt:i4>
      </vt:variant>
      <vt:variant>
        <vt:lpwstr/>
      </vt:variant>
      <vt:variant>
        <vt:lpwstr>_Toc212023308</vt:lpwstr>
      </vt:variant>
      <vt:variant>
        <vt:i4>1376305</vt:i4>
      </vt:variant>
      <vt:variant>
        <vt:i4>260</vt:i4>
      </vt:variant>
      <vt:variant>
        <vt:i4>0</vt:i4>
      </vt:variant>
      <vt:variant>
        <vt:i4>5</vt:i4>
      </vt:variant>
      <vt:variant>
        <vt:lpwstr/>
      </vt:variant>
      <vt:variant>
        <vt:lpwstr>_Toc212023307</vt:lpwstr>
      </vt:variant>
      <vt:variant>
        <vt:i4>1376305</vt:i4>
      </vt:variant>
      <vt:variant>
        <vt:i4>254</vt:i4>
      </vt:variant>
      <vt:variant>
        <vt:i4>0</vt:i4>
      </vt:variant>
      <vt:variant>
        <vt:i4>5</vt:i4>
      </vt:variant>
      <vt:variant>
        <vt:lpwstr/>
      </vt:variant>
      <vt:variant>
        <vt:lpwstr>_Toc212023306</vt:lpwstr>
      </vt:variant>
      <vt:variant>
        <vt:i4>1376305</vt:i4>
      </vt:variant>
      <vt:variant>
        <vt:i4>248</vt:i4>
      </vt:variant>
      <vt:variant>
        <vt:i4>0</vt:i4>
      </vt:variant>
      <vt:variant>
        <vt:i4>5</vt:i4>
      </vt:variant>
      <vt:variant>
        <vt:lpwstr/>
      </vt:variant>
      <vt:variant>
        <vt:lpwstr>_Toc212023305</vt:lpwstr>
      </vt:variant>
      <vt:variant>
        <vt:i4>1376305</vt:i4>
      </vt:variant>
      <vt:variant>
        <vt:i4>239</vt:i4>
      </vt:variant>
      <vt:variant>
        <vt:i4>0</vt:i4>
      </vt:variant>
      <vt:variant>
        <vt:i4>5</vt:i4>
      </vt:variant>
      <vt:variant>
        <vt:lpwstr/>
      </vt:variant>
      <vt:variant>
        <vt:lpwstr>_Toc212023304</vt:lpwstr>
      </vt:variant>
      <vt:variant>
        <vt:i4>1376305</vt:i4>
      </vt:variant>
      <vt:variant>
        <vt:i4>233</vt:i4>
      </vt:variant>
      <vt:variant>
        <vt:i4>0</vt:i4>
      </vt:variant>
      <vt:variant>
        <vt:i4>5</vt:i4>
      </vt:variant>
      <vt:variant>
        <vt:lpwstr/>
      </vt:variant>
      <vt:variant>
        <vt:lpwstr>_Toc212023303</vt:lpwstr>
      </vt:variant>
      <vt:variant>
        <vt:i4>1376305</vt:i4>
      </vt:variant>
      <vt:variant>
        <vt:i4>227</vt:i4>
      </vt:variant>
      <vt:variant>
        <vt:i4>0</vt:i4>
      </vt:variant>
      <vt:variant>
        <vt:i4>5</vt:i4>
      </vt:variant>
      <vt:variant>
        <vt:lpwstr/>
      </vt:variant>
      <vt:variant>
        <vt:lpwstr>_Toc212023302</vt:lpwstr>
      </vt:variant>
      <vt:variant>
        <vt:i4>1376305</vt:i4>
      </vt:variant>
      <vt:variant>
        <vt:i4>221</vt:i4>
      </vt:variant>
      <vt:variant>
        <vt:i4>0</vt:i4>
      </vt:variant>
      <vt:variant>
        <vt:i4>5</vt:i4>
      </vt:variant>
      <vt:variant>
        <vt:lpwstr/>
      </vt:variant>
      <vt:variant>
        <vt:lpwstr>_Toc212023301</vt:lpwstr>
      </vt:variant>
      <vt:variant>
        <vt:i4>1376305</vt:i4>
      </vt:variant>
      <vt:variant>
        <vt:i4>215</vt:i4>
      </vt:variant>
      <vt:variant>
        <vt:i4>0</vt:i4>
      </vt:variant>
      <vt:variant>
        <vt:i4>5</vt:i4>
      </vt:variant>
      <vt:variant>
        <vt:lpwstr/>
      </vt:variant>
      <vt:variant>
        <vt:lpwstr>_Toc212023300</vt:lpwstr>
      </vt:variant>
      <vt:variant>
        <vt:i4>1835056</vt:i4>
      </vt:variant>
      <vt:variant>
        <vt:i4>209</vt:i4>
      </vt:variant>
      <vt:variant>
        <vt:i4>0</vt:i4>
      </vt:variant>
      <vt:variant>
        <vt:i4>5</vt:i4>
      </vt:variant>
      <vt:variant>
        <vt:lpwstr/>
      </vt:variant>
      <vt:variant>
        <vt:lpwstr>_Toc212023299</vt:lpwstr>
      </vt:variant>
      <vt:variant>
        <vt:i4>1835056</vt:i4>
      </vt:variant>
      <vt:variant>
        <vt:i4>203</vt:i4>
      </vt:variant>
      <vt:variant>
        <vt:i4>0</vt:i4>
      </vt:variant>
      <vt:variant>
        <vt:i4>5</vt:i4>
      </vt:variant>
      <vt:variant>
        <vt:lpwstr/>
      </vt:variant>
      <vt:variant>
        <vt:lpwstr>_Toc212023298</vt:lpwstr>
      </vt:variant>
      <vt:variant>
        <vt:i4>1835056</vt:i4>
      </vt:variant>
      <vt:variant>
        <vt:i4>197</vt:i4>
      </vt:variant>
      <vt:variant>
        <vt:i4>0</vt:i4>
      </vt:variant>
      <vt:variant>
        <vt:i4>5</vt:i4>
      </vt:variant>
      <vt:variant>
        <vt:lpwstr/>
      </vt:variant>
      <vt:variant>
        <vt:lpwstr>_Toc212023297</vt:lpwstr>
      </vt:variant>
      <vt:variant>
        <vt:i4>1835056</vt:i4>
      </vt:variant>
      <vt:variant>
        <vt:i4>191</vt:i4>
      </vt:variant>
      <vt:variant>
        <vt:i4>0</vt:i4>
      </vt:variant>
      <vt:variant>
        <vt:i4>5</vt:i4>
      </vt:variant>
      <vt:variant>
        <vt:lpwstr/>
      </vt:variant>
      <vt:variant>
        <vt:lpwstr>_Toc212023296</vt:lpwstr>
      </vt:variant>
      <vt:variant>
        <vt:i4>1835056</vt:i4>
      </vt:variant>
      <vt:variant>
        <vt:i4>185</vt:i4>
      </vt:variant>
      <vt:variant>
        <vt:i4>0</vt:i4>
      </vt:variant>
      <vt:variant>
        <vt:i4>5</vt:i4>
      </vt:variant>
      <vt:variant>
        <vt:lpwstr/>
      </vt:variant>
      <vt:variant>
        <vt:lpwstr>_Toc212023295</vt:lpwstr>
      </vt:variant>
      <vt:variant>
        <vt:i4>1835056</vt:i4>
      </vt:variant>
      <vt:variant>
        <vt:i4>179</vt:i4>
      </vt:variant>
      <vt:variant>
        <vt:i4>0</vt:i4>
      </vt:variant>
      <vt:variant>
        <vt:i4>5</vt:i4>
      </vt:variant>
      <vt:variant>
        <vt:lpwstr/>
      </vt:variant>
      <vt:variant>
        <vt:lpwstr>_Toc212023294</vt:lpwstr>
      </vt:variant>
      <vt:variant>
        <vt:i4>1835056</vt:i4>
      </vt:variant>
      <vt:variant>
        <vt:i4>173</vt:i4>
      </vt:variant>
      <vt:variant>
        <vt:i4>0</vt:i4>
      </vt:variant>
      <vt:variant>
        <vt:i4>5</vt:i4>
      </vt:variant>
      <vt:variant>
        <vt:lpwstr/>
      </vt:variant>
      <vt:variant>
        <vt:lpwstr>_Toc212023293</vt:lpwstr>
      </vt:variant>
      <vt:variant>
        <vt:i4>1835056</vt:i4>
      </vt:variant>
      <vt:variant>
        <vt:i4>167</vt:i4>
      </vt:variant>
      <vt:variant>
        <vt:i4>0</vt:i4>
      </vt:variant>
      <vt:variant>
        <vt:i4>5</vt:i4>
      </vt:variant>
      <vt:variant>
        <vt:lpwstr/>
      </vt:variant>
      <vt:variant>
        <vt:lpwstr>_Toc212023292</vt:lpwstr>
      </vt:variant>
      <vt:variant>
        <vt:i4>1835056</vt:i4>
      </vt:variant>
      <vt:variant>
        <vt:i4>161</vt:i4>
      </vt:variant>
      <vt:variant>
        <vt:i4>0</vt:i4>
      </vt:variant>
      <vt:variant>
        <vt:i4>5</vt:i4>
      </vt:variant>
      <vt:variant>
        <vt:lpwstr/>
      </vt:variant>
      <vt:variant>
        <vt:lpwstr>_Toc212023291</vt:lpwstr>
      </vt:variant>
      <vt:variant>
        <vt:i4>1835056</vt:i4>
      </vt:variant>
      <vt:variant>
        <vt:i4>155</vt:i4>
      </vt:variant>
      <vt:variant>
        <vt:i4>0</vt:i4>
      </vt:variant>
      <vt:variant>
        <vt:i4>5</vt:i4>
      </vt:variant>
      <vt:variant>
        <vt:lpwstr/>
      </vt:variant>
      <vt:variant>
        <vt:lpwstr>_Toc212023290</vt:lpwstr>
      </vt:variant>
      <vt:variant>
        <vt:i4>1900592</vt:i4>
      </vt:variant>
      <vt:variant>
        <vt:i4>149</vt:i4>
      </vt:variant>
      <vt:variant>
        <vt:i4>0</vt:i4>
      </vt:variant>
      <vt:variant>
        <vt:i4>5</vt:i4>
      </vt:variant>
      <vt:variant>
        <vt:lpwstr/>
      </vt:variant>
      <vt:variant>
        <vt:lpwstr>_Toc212023289</vt:lpwstr>
      </vt:variant>
      <vt:variant>
        <vt:i4>1900592</vt:i4>
      </vt:variant>
      <vt:variant>
        <vt:i4>143</vt:i4>
      </vt:variant>
      <vt:variant>
        <vt:i4>0</vt:i4>
      </vt:variant>
      <vt:variant>
        <vt:i4>5</vt:i4>
      </vt:variant>
      <vt:variant>
        <vt:lpwstr/>
      </vt:variant>
      <vt:variant>
        <vt:lpwstr>_Toc212023288</vt:lpwstr>
      </vt:variant>
      <vt:variant>
        <vt:i4>1900592</vt:i4>
      </vt:variant>
      <vt:variant>
        <vt:i4>137</vt:i4>
      </vt:variant>
      <vt:variant>
        <vt:i4>0</vt:i4>
      </vt:variant>
      <vt:variant>
        <vt:i4>5</vt:i4>
      </vt:variant>
      <vt:variant>
        <vt:lpwstr/>
      </vt:variant>
      <vt:variant>
        <vt:lpwstr>_Toc212023287</vt:lpwstr>
      </vt:variant>
      <vt:variant>
        <vt:i4>1900592</vt:i4>
      </vt:variant>
      <vt:variant>
        <vt:i4>131</vt:i4>
      </vt:variant>
      <vt:variant>
        <vt:i4>0</vt:i4>
      </vt:variant>
      <vt:variant>
        <vt:i4>5</vt:i4>
      </vt:variant>
      <vt:variant>
        <vt:lpwstr/>
      </vt:variant>
      <vt:variant>
        <vt:lpwstr>_Toc212023286</vt:lpwstr>
      </vt:variant>
      <vt:variant>
        <vt:i4>1900592</vt:i4>
      </vt:variant>
      <vt:variant>
        <vt:i4>125</vt:i4>
      </vt:variant>
      <vt:variant>
        <vt:i4>0</vt:i4>
      </vt:variant>
      <vt:variant>
        <vt:i4>5</vt:i4>
      </vt:variant>
      <vt:variant>
        <vt:lpwstr/>
      </vt:variant>
      <vt:variant>
        <vt:lpwstr>_Toc212023285</vt:lpwstr>
      </vt:variant>
      <vt:variant>
        <vt:i4>1900592</vt:i4>
      </vt:variant>
      <vt:variant>
        <vt:i4>119</vt:i4>
      </vt:variant>
      <vt:variant>
        <vt:i4>0</vt:i4>
      </vt:variant>
      <vt:variant>
        <vt:i4>5</vt:i4>
      </vt:variant>
      <vt:variant>
        <vt:lpwstr/>
      </vt:variant>
      <vt:variant>
        <vt:lpwstr>_Toc212023284</vt:lpwstr>
      </vt:variant>
      <vt:variant>
        <vt:i4>1900592</vt:i4>
      </vt:variant>
      <vt:variant>
        <vt:i4>113</vt:i4>
      </vt:variant>
      <vt:variant>
        <vt:i4>0</vt:i4>
      </vt:variant>
      <vt:variant>
        <vt:i4>5</vt:i4>
      </vt:variant>
      <vt:variant>
        <vt:lpwstr/>
      </vt:variant>
      <vt:variant>
        <vt:lpwstr>_Toc212023283</vt:lpwstr>
      </vt:variant>
      <vt:variant>
        <vt:i4>1900592</vt:i4>
      </vt:variant>
      <vt:variant>
        <vt:i4>107</vt:i4>
      </vt:variant>
      <vt:variant>
        <vt:i4>0</vt:i4>
      </vt:variant>
      <vt:variant>
        <vt:i4>5</vt:i4>
      </vt:variant>
      <vt:variant>
        <vt:lpwstr/>
      </vt:variant>
      <vt:variant>
        <vt:lpwstr>_Toc212023282</vt:lpwstr>
      </vt:variant>
      <vt:variant>
        <vt:i4>1900592</vt:i4>
      </vt:variant>
      <vt:variant>
        <vt:i4>101</vt:i4>
      </vt:variant>
      <vt:variant>
        <vt:i4>0</vt:i4>
      </vt:variant>
      <vt:variant>
        <vt:i4>5</vt:i4>
      </vt:variant>
      <vt:variant>
        <vt:lpwstr/>
      </vt:variant>
      <vt:variant>
        <vt:lpwstr>_Toc212023281</vt:lpwstr>
      </vt:variant>
      <vt:variant>
        <vt:i4>1900592</vt:i4>
      </vt:variant>
      <vt:variant>
        <vt:i4>95</vt:i4>
      </vt:variant>
      <vt:variant>
        <vt:i4>0</vt:i4>
      </vt:variant>
      <vt:variant>
        <vt:i4>5</vt:i4>
      </vt:variant>
      <vt:variant>
        <vt:lpwstr/>
      </vt:variant>
      <vt:variant>
        <vt:lpwstr>_Toc212023280</vt:lpwstr>
      </vt:variant>
      <vt:variant>
        <vt:i4>1179696</vt:i4>
      </vt:variant>
      <vt:variant>
        <vt:i4>89</vt:i4>
      </vt:variant>
      <vt:variant>
        <vt:i4>0</vt:i4>
      </vt:variant>
      <vt:variant>
        <vt:i4>5</vt:i4>
      </vt:variant>
      <vt:variant>
        <vt:lpwstr/>
      </vt:variant>
      <vt:variant>
        <vt:lpwstr>_Toc212023279</vt:lpwstr>
      </vt:variant>
      <vt:variant>
        <vt:i4>1179696</vt:i4>
      </vt:variant>
      <vt:variant>
        <vt:i4>83</vt:i4>
      </vt:variant>
      <vt:variant>
        <vt:i4>0</vt:i4>
      </vt:variant>
      <vt:variant>
        <vt:i4>5</vt:i4>
      </vt:variant>
      <vt:variant>
        <vt:lpwstr/>
      </vt:variant>
      <vt:variant>
        <vt:lpwstr>_Toc212023278</vt:lpwstr>
      </vt:variant>
      <vt:variant>
        <vt:i4>1179696</vt:i4>
      </vt:variant>
      <vt:variant>
        <vt:i4>77</vt:i4>
      </vt:variant>
      <vt:variant>
        <vt:i4>0</vt:i4>
      </vt:variant>
      <vt:variant>
        <vt:i4>5</vt:i4>
      </vt:variant>
      <vt:variant>
        <vt:lpwstr/>
      </vt:variant>
      <vt:variant>
        <vt:lpwstr>_Toc212023277</vt:lpwstr>
      </vt:variant>
      <vt:variant>
        <vt:i4>1179696</vt:i4>
      </vt:variant>
      <vt:variant>
        <vt:i4>71</vt:i4>
      </vt:variant>
      <vt:variant>
        <vt:i4>0</vt:i4>
      </vt:variant>
      <vt:variant>
        <vt:i4>5</vt:i4>
      </vt:variant>
      <vt:variant>
        <vt:lpwstr/>
      </vt:variant>
      <vt:variant>
        <vt:lpwstr>_Toc212023276</vt:lpwstr>
      </vt:variant>
      <vt:variant>
        <vt:i4>1179696</vt:i4>
      </vt:variant>
      <vt:variant>
        <vt:i4>65</vt:i4>
      </vt:variant>
      <vt:variant>
        <vt:i4>0</vt:i4>
      </vt:variant>
      <vt:variant>
        <vt:i4>5</vt:i4>
      </vt:variant>
      <vt:variant>
        <vt:lpwstr/>
      </vt:variant>
      <vt:variant>
        <vt:lpwstr>_Toc212023275</vt:lpwstr>
      </vt:variant>
      <vt:variant>
        <vt:i4>1179696</vt:i4>
      </vt:variant>
      <vt:variant>
        <vt:i4>59</vt:i4>
      </vt:variant>
      <vt:variant>
        <vt:i4>0</vt:i4>
      </vt:variant>
      <vt:variant>
        <vt:i4>5</vt:i4>
      </vt:variant>
      <vt:variant>
        <vt:lpwstr/>
      </vt:variant>
      <vt:variant>
        <vt:lpwstr>_Toc212023274</vt:lpwstr>
      </vt:variant>
      <vt:variant>
        <vt:i4>1179696</vt:i4>
      </vt:variant>
      <vt:variant>
        <vt:i4>53</vt:i4>
      </vt:variant>
      <vt:variant>
        <vt:i4>0</vt:i4>
      </vt:variant>
      <vt:variant>
        <vt:i4>5</vt:i4>
      </vt:variant>
      <vt:variant>
        <vt:lpwstr/>
      </vt:variant>
      <vt:variant>
        <vt:lpwstr>_Toc212023273</vt:lpwstr>
      </vt:variant>
      <vt:variant>
        <vt:i4>1179696</vt:i4>
      </vt:variant>
      <vt:variant>
        <vt:i4>47</vt:i4>
      </vt:variant>
      <vt:variant>
        <vt:i4>0</vt:i4>
      </vt:variant>
      <vt:variant>
        <vt:i4>5</vt:i4>
      </vt:variant>
      <vt:variant>
        <vt:lpwstr/>
      </vt:variant>
      <vt:variant>
        <vt:lpwstr>_Toc212023272</vt:lpwstr>
      </vt:variant>
      <vt:variant>
        <vt:i4>1179696</vt:i4>
      </vt:variant>
      <vt:variant>
        <vt:i4>41</vt:i4>
      </vt:variant>
      <vt:variant>
        <vt:i4>0</vt:i4>
      </vt:variant>
      <vt:variant>
        <vt:i4>5</vt:i4>
      </vt:variant>
      <vt:variant>
        <vt:lpwstr/>
      </vt:variant>
      <vt:variant>
        <vt:lpwstr>_Toc212023271</vt:lpwstr>
      </vt:variant>
      <vt:variant>
        <vt:i4>1179696</vt:i4>
      </vt:variant>
      <vt:variant>
        <vt:i4>35</vt:i4>
      </vt:variant>
      <vt:variant>
        <vt:i4>0</vt:i4>
      </vt:variant>
      <vt:variant>
        <vt:i4>5</vt:i4>
      </vt:variant>
      <vt:variant>
        <vt:lpwstr/>
      </vt:variant>
      <vt:variant>
        <vt:lpwstr>_Toc212023270</vt:lpwstr>
      </vt:variant>
      <vt:variant>
        <vt:i4>1245232</vt:i4>
      </vt:variant>
      <vt:variant>
        <vt:i4>29</vt:i4>
      </vt:variant>
      <vt:variant>
        <vt:i4>0</vt:i4>
      </vt:variant>
      <vt:variant>
        <vt:i4>5</vt:i4>
      </vt:variant>
      <vt:variant>
        <vt:lpwstr/>
      </vt:variant>
      <vt:variant>
        <vt:lpwstr>_Toc212023269</vt:lpwstr>
      </vt:variant>
      <vt:variant>
        <vt:i4>1245232</vt:i4>
      </vt:variant>
      <vt:variant>
        <vt:i4>23</vt:i4>
      </vt:variant>
      <vt:variant>
        <vt:i4>0</vt:i4>
      </vt:variant>
      <vt:variant>
        <vt:i4>5</vt:i4>
      </vt:variant>
      <vt:variant>
        <vt:lpwstr/>
      </vt:variant>
      <vt:variant>
        <vt:lpwstr>_Toc212023268</vt:lpwstr>
      </vt:variant>
      <vt:variant>
        <vt:i4>1245232</vt:i4>
      </vt:variant>
      <vt:variant>
        <vt:i4>17</vt:i4>
      </vt:variant>
      <vt:variant>
        <vt:i4>0</vt:i4>
      </vt:variant>
      <vt:variant>
        <vt:i4>5</vt:i4>
      </vt:variant>
      <vt:variant>
        <vt:lpwstr/>
      </vt:variant>
      <vt:variant>
        <vt:lpwstr>_Toc212023267</vt:lpwstr>
      </vt:variant>
      <vt:variant>
        <vt:i4>1245232</vt:i4>
      </vt:variant>
      <vt:variant>
        <vt:i4>11</vt:i4>
      </vt:variant>
      <vt:variant>
        <vt:i4>0</vt:i4>
      </vt:variant>
      <vt:variant>
        <vt:i4>5</vt:i4>
      </vt:variant>
      <vt:variant>
        <vt:lpwstr/>
      </vt:variant>
      <vt:variant>
        <vt:lpwstr>_Toc212023266</vt:lpwstr>
      </vt:variant>
      <vt:variant>
        <vt:i4>1507399</vt:i4>
      </vt:variant>
      <vt:variant>
        <vt:i4>3</vt:i4>
      </vt:variant>
      <vt:variant>
        <vt:i4>0</vt:i4>
      </vt:variant>
      <vt:variant>
        <vt:i4>5</vt:i4>
      </vt:variant>
      <vt:variant>
        <vt:lpwstr>https://www.aemo.com.au/privacy-and-legal-notices/copyright-permissions</vt:lpwstr>
      </vt:variant>
      <vt:variant>
        <vt:lpwstr>:~:text=In%20addition%20to%20the%20uses%20permitted%20under%20copyright,permission%20to%20use%20AEMO%20Material%20in%20this%20way.</vt:lpwstr>
      </vt:variant>
      <vt:variant>
        <vt:i4>7536764</vt:i4>
      </vt:variant>
      <vt:variant>
        <vt:i4>0</vt:i4>
      </vt:variant>
      <vt:variant>
        <vt:i4>0</vt:i4>
      </vt:variant>
      <vt:variant>
        <vt:i4>5</vt:i4>
      </vt:variant>
      <vt:variant>
        <vt:lpwstr>https://aemo.com.au/en/about/reconciliation-action-plan</vt:lpwstr>
      </vt:variant>
      <vt:variant>
        <vt:lpwstr/>
      </vt:variant>
      <vt:variant>
        <vt:i4>852074</vt:i4>
      </vt:variant>
      <vt:variant>
        <vt:i4>326</vt:i4>
      </vt:variant>
      <vt:variant>
        <vt:i4>0</vt:i4>
      </vt:variant>
      <vt:variant>
        <vt:i4>5</vt:i4>
      </vt:variant>
      <vt:variant>
        <vt:lpwstr>https://www.energy.vic.gov.au/__data/assets/pdf_file/0019/761023/2025-Victorian-Transmission-Plan.pdf</vt:lpwstr>
      </vt:variant>
      <vt:variant>
        <vt:lpwstr/>
      </vt:variant>
      <vt:variant>
        <vt:i4>3997808</vt:i4>
      </vt:variant>
      <vt:variant>
        <vt:i4>323</vt:i4>
      </vt:variant>
      <vt:variant>
        <vt:i4>0</vt:i4>
      </vt:variant>
      <vt:variant>
        <vt:i4>5</vt:i4>
      </vt:variant>
      <vt:variant>
        <vt:lpwstr>https://www.aemo.com.au/energy-systems/electricity/national-electricity-market-nem/nem-forecasting-and-planning/victorian-planning/victorian-transmission-network-service-provider-role</vt:lpwstr>
      </vt:variant>
      <vt:variant>
        <vt:lpwstr/>
      </vt:variant>
      <vt:variant>
        <vt:i4>3211340</vt:i4>
      </vt:variant>
      <vt:variant>
        <vt:i4>320</vt:i4>
      </vt:variant>
      <vt:variant>
        <vt:i4>0</vt:i4>
      </vt:variant>
      <vt:variant>
        <vt:i4>5</vt:i4>
      </vt:variant>
      <vt:variant>
        <vt:lpwstr>https://www.aemo.com.au/-/media/Files/Electricity/NEM/Security_and_Reliability/System-Security-Market-Frameworks-Review/2018/Inertia_Requirements_Methodology_PUBLISHED.pdf</vt:lpwstr>
      </vt:variant>
      <vt:variant>
        <vt:lpwstr/>
      </vt:variant>
      <vt:variant>
        <vt:i4>7929974</vt:i4>
      </vt:variant>
      <vt:variant>
        <vt:i4>317</vt:i4>
      </vt:variant>
      <vt:variant>
        <vt:i4>0</vt:i4>
      </vt:variant>
      <vt:variant>
        <vt:i4>5</vt:i4>
      </vt:variant>
      <vt:variant>
        <vt:lpwstr>https://aemo.com.au/energy-systems/electricity/national-electricity-market-nem/nem-forecasting-and-planning/victorian-planning/victorian-annual-planning-report</vt:lpwstr>
      </vt:variant>
      <vt:variant>
        <vt:lpwstr/>
      </vt:variant>
      <vt:variant>
        <vt:i4>6160390</vt:i4>
      </vt:variant>
      <vt:variant>
        <vt:i4>314</vt:i4>
      </vt:variant>
      <vt:variant>
        <vt:i4>0</vt:i4>
      </vt:variant>
      <vt:variant>
        <vt:i4>5</vt:i4>
      </vt:variant>
      <vt:variant>
        <vt:lpwstr>https://www.dcceew.gov.au/energy/renewable/capacity-investment-scheme</vt:lpwstr>
      </vt:variant>
      <vt:variant>
        <vt:lpwstr/>
      </vt:variant>
      <vt:variant>
        <vt:i4>1769554</vt:i4>
      </vt:variant>
      <vt:variant>
        <vt:i4>311</vt:i4>
      </vt:variant>
      <vt:variant>
        <vt:i4>0</vt:i4>
      </vt:variant>
      <vt:variant>
        <vt:i4>5</vt:i4>
      </vt:variant>
      <vt:variant>
        <vt:lpwstr>https://www.energy.vic.gov.au/renewable-energy/victorias-gas-substitution-roadmap</vt:lpwstr>
      </vt:variant>
      <vt:variant>
        <vt:lpwstr/>
      </vt:variant>
      <vt:variant>
        <vt:i4>2359412</vt:i4>
      </vt:variant>
      <vt:variant>
        <vt:i4>308</vt:i4>
      </vt:variant>
      <vt:variant>
        <vt:i4>0</vt:i4>
      </vt:variant>
      <vt:variant>
        <vt:i4>5</vt:i4>
      </vt:variant>
      <vt:variant>
        <vt:lpwstr>https://www.solar.vic.gov.au/technology-guidelines</vt:lpwstr>
      </vt:variant>
      <vt:variant>
        <vt:lpwstr/>
      </vt:variant>
      <vt:variant>
        <vt:i4>6553677</vt:i4>
      </vt:variant>
      <vt:variant>
        <vt:i4>305</vt:i4>
      </vt:variant>
      <vt:variant>
        <vt:i4>0</vt:i4>
      </vt:variant>
      <vt:variant>
        <vt:i4>5</vt:i4>
      </vt:variant>
      <vt:variant>
        <vt:lpwstr>https://www.solar.vic.gov.au/sites/default/files/2025-06/Notice-to-Market-2025%E2%80%9326_v1.pdf</vt:lpwstr>
      </vt:variant>
      <vt:variant>
        <vt:lpwstr/>
      </vt:variant>
      <vt:variant>
        <vt:i4>2949232</vt:i4>
      </vt:variant>
      <vt:variant>
        <vt:i4>302</vt:i4>
      </vt:variant>
      <vt:variant>
        <vt:i4>0</vt:i4>
      </vt:variant>
      <vt:variant>
        <vt:i4>5</vt:i4>
      </vt:variant>
      <vt:variant>
        <vt:lpwstr>https://www.energy.vic.gov.au/grants/energy-innovation-fund</vt:lpwstr>
      </vt:variant>
      <vt:variant>
        <vt:lpwstr/>
      </vt:variant>
      <vt:variant>
        <vt:i4>3014712</vt:i4>
      </vt:variant>
      <vt:variant>
        <vt:i4>299</vt:i4>
      </vt:variant>
      <vt:variant>
        <vt:i4>0</vt:i4>
      </vt:variant>
      <vt:variant>
        <vt:i4>5</vt:i4>
      </vt:variant>
      <vt:variant>
        <vt:lpwstr>https://www.climatechange.vic.gov.au/climate-action-targets</vt:lpwstr>
      </vt:variant>
      <vt:variant>
        <vt:lpwstr/>
      </vt:variant>
      <vt:variant>
        <vt:i4>5308456</vt:i4>
      </vt:variant>
      <vt:variant>
        <vt:i4>296</vt:i4>
      </vt:variant>
      <vt:variant>
        <vt:i4>0</vt:i4>
      </vt:variant>
      <vt:variant>
        <vt:i4>5</vt:i4>
      </vt:variant>
      <vt:variant>
        <vt:lpwstr>https://www.secvictoria.com.au/__data/assets/pdf_file/0007/1321/SEC-Strategic-Plan.pdf</vt:lpwstr>
      </vt:variant>
      <vt:variant>
        <vt:lpwstr/>
      </vt:variant>
      <vt:variant>
        <vt:i4>983042</vt:i4>
      </vt:variant>
      <vt:variant>
        <vt:i4>293</vt:i4>
      </vt:variant>
      <vt:variant>
        <vt:i4>0</vt:i4>
      </vt:variant>
      <vt:variant>
        <vt:i4>5</vt:i4>
      </vt:variant>
      <vt:variant>
        <vt:lpwstr>https://www.vic.gov.au/department-transport-and-planning</vt:lpwstr>
      </vt:variant>
      <vt:variant>
        <vt:lpwstr/>
      </vt:variant>
      <vt:variant>
        <vt:i4>5374031</vt:i4>
      </vt:variant>
      <vt:variant>
        <vt:i4>290</vt:i4>
      </vt:variant>
      <vt:variant>
        <vt:i4>0</vt:i4>
      </vt:variant>
      <vt:variant>
        <vt:i4>5</vt:i4>
      </vt:variant>
      <vt:variant>
        <vt:lpwstr>https://www.energy.vic.gov.au/renewable-energy/zero-emission-vehicles%23heading-3</vt:lpwstr>
      </vt:variant>
      <vt:variant>
        <vt:lpwstr/>
      </vt:variant>
      <vt:variant>
        <vt:i4>262214</vt:i4>
      </vt:variant>
      <vt:variant>
        <vt:i4>287</vt:i4>
      </vt:variant>
      <vt:variant>
        <vt:i4>0</vt:i4>
      </vt:variant>
      <vt:variant>
        <vt:i4>5</vt:i4>
      </vt:variant>
      <vt:variant>
        <vt:lpwstr>https://www.energy.vic.gov.au/renewable-energy/victorian-renewable-energy-and-storage-targets</vt:lpwstr>
      </vt:variant>
      <vt:variant>
        <vt:lpwstr/>
      </vt:variant>
      <vt:variant>
        <vt:i4>4587530</vt:i4>
      </vt:variant>
      <vt:variant>
        <vt:i4>284</vt:i4>
      </vt:variant>
      <vt:variant>
        <vt:i4>0</vt:i4>
      </vt:variant>
      <vt:variant>
        <vt:i4>5</vt:i4>
      </vt:variant>
      <vt:variant>
        <vt:lpwstr>https://www.energy.vic.gov.au/renewable-energy/victorian-renewable-energy-and-storage-targets/victorian-renewable-energy-target-auction-vret2</vt:lpwstr>
      </vt:variant>
      <vt:variant>
        <vt:lpwstr/>
      </vt:variant>
      <vt:variant>
        <vt:i4>5242880</vt:i4>
      </vt:variant>
      <vt:variant>
        <vt:i4>281</vt:i4>
      </vt:variant>
      <vt:variant>
        <vt:i4>0</vt:i4>
      </vt:variant>
      <vt:variant>
        <vt:i4>5</vt:i4>
      </vt:variant>
      <vt:variant>
        <vt:lpwstr>https://www.energy.vic.gov.au/renewable-energy/victorian-renewable-energy-and-storage-targets%23heading-1</vt:lpwstr>
      </vt:variant>
      <vt:variant>
        <vt:lpwstr/>
      </vt:variant>
      <vt:variant>
        <vt:i4>7143458</vt:i4>
      </vt:variant>
      <vt:variant>
        <vt:i4>278</vt:i4>
      </vt:variant>
      <vt:variant>
        <vt:i4>0</vt:i4>
      </vt:variant>
      <vt:variant>
        <vt:i4>5</vt:i4>
      </vt:variant>
      <vt:variant>
        <vt:lpwstr>https://www.aemo.com.au/consultations/current-and-closed-consultations/ausnet-services-padr-maintain-reliable-transmission-network-services-at-keilor-terminal-station</vt:lpwstr>
      </vt:variant>
      <vt:variant>
        <vt:lpwstr/>
      </vt:variant>
      <vt:variant>
        <vt:i4>4522009</vt:i4>
      </vt:variant>
      <vt:variant>
        <vt:i4>273</vt:i4>
      </vt:variant>
      <vt:variant>
        <vt:i4>0</vt:i4>
      </vt:variant>
      <vt:variant>
        <vt:i4>5</vt:i4>
      </vt:variant>
      <vt:variant>
        <vt:lpwstr>https://dapr.ausnetservices.com.au/ausnet_data/2024 TCPR_17 Dec.pdf</vt:lpwstr>
      </vt:variant>
      <vt:variant>
        <vt:lpwstr/>
      </vt:variant>
      <vt:variant>
        <vt:i4>544538626</vt:i4>
      </vt:variant>
      <vt:variant>
        <vt:i4>270</vt:i4>
      </vt:variant>
      <vt:variant>
        <vt:i4>0</vt:i4>
      </vt:variant>
      <vt:variant>
        <vt:i4>5</vt:i4>
      </vt:variant>
      <vt:variant>
        <vt:lpwstr>https://aemo.com.au/energy-systems/‌electricity/national-electricity-market-nem/nem-forecasting-and-planning/victorian-planning/victorian-annual-planning-report</vt:lpwstr>
      </vt:variant>
      <vt:variant>
        <vt:lpwstr/>
      </vt:variant>
      <vt:variant>
        <vt:i4>7929974</vt:i4>
      </vt:variant>
      <vt:variant>
        <vt:i4>267</vt:i4>
      </vt:variant>
      <vt:variant>
        <vt:i4>0</vt:i4>
      </vt:variant>
      <vt:variant>
        <vt:i4>5</vt:i4>
      </vt:variant>
      <vt:variant>
        <vt:lpwstr>https://aemo.com.au/energy-systems/electricity/national-electricity-market-nem/nem-forecasting-and-planning/victorian-planning/victorian-annual-planning-report</vt:lpwstr>
      </vt:variant>
      <vt:variant>
        <vt:lpwstr/>
      </vt:variant>
      <vt:variant>
        <vt:i4>1572892</vt:i4>
      </vt:variant>
      <vt:variant>
        <vt:i4>264</vt:i4>
      </vt:variant>
      <vt:variant>
        <vt:i4>0</vt:i4>
      </vt:variant>
      <vt:variant>
        <vt:i4>5</vt:i4>
      </vt:variant>
      <vt:variant>
        <vt:lpwstr>https://www.ausnetservices.com.au/projects-and-innovation/regulatory-investment-test</vt:lpwstr>
      </vt:variant>
      <vt:variant>
        <vt:lpwstr/>
      </vt:variant>
      <vt:variant>
        <vt:i4>1507441</vt:i4>
      </vt:variant>
      <vt:variant>
        <vt:i4>258</vt:i4>
      </vt:variant>
      <vt:variant>
        <vt:i4>0</vt:i4>
      </vt:variant>
      <vt:variant>
        <vt:i4>5</vt:i4>
      </vt:variant>
      <vt:variant>
        <vt:lpwstr>https://www.ausnetservices.com.au/-/media/project/ausnet/corporate-website/files/about/regulatory-investment-test/2025/transmission-insulator-replacement_pacr.pdf</vt:lpwstr>
      </vt:variant>
      <vt:variant>
        <vt:lpwstr/>
      </vt:variant>
      <vt:variant>
        <vt:i4>5439549</vt:i4>
      </vt:variant>
      <vt:variant>
        <vt:i4>249</vt:i4>
      </vt:variant>
      <vt:variant>
        <vt:i4>0</vt:i4>
      </vt:variant>
      <vt:variant>
        <vt:i4>5</vt:i4>
      </vt:variant>
      <vt:variant>
        <vt:lpwstr>https://www.ausnetservices.com.au/-/media/project/ausnet/corporate-website/files/about/regulatory-investment-test/2025/kts-a-transformer-replacement-padr_final.pdf</vt:lpwstr>
      </vt:variant>
      <vt:variant>
        <vt:lpwstr/>
      </vt:variant>
      <vt:variant>
        <vt:i4>5832786</vt:i4>
      </vt:variant>
      <vt:variant>
        <vt:i4>243</vt:i4>
      </vt:variant>
      <vt:variant>
        <vt:i4>0</vt:i4>
      </vt:variant>
      <vt:variant>
        <vt:i4>5</vt:i4>
      </vt:variant>
      <vt:variant>
        <vt:lpwstr>https://www.ausnetservices.com.au/-/media/project/ausnet/corporate-website/files/about/regulatory-investment-test/2025/smts-f2-transformer-and-gis-replacement---padr.pdf</vt:lpwstr>
      </vt:variant>
      <vt:variant>
        <vt:lpwstr/>
      </vt:variant>
      <vt:variant>
        <vt:i4>6291503</vt:i4>
      </vt:variant>
      <vt:variant>
        <vt:i4>237</vt:i4>
      </vt:variant>
      <vt:variant>
        <vt:i4>0</vt:i4>
      </vt:variant>
      <vt:variant>
        <vt:i4>5</vt:i4>
      </vt:variant>
      <vt:variant>
        <vt:lpwstr>https://www.ausnetservices.com.au/-/media/project/ausnet/corporate-website/files/about/regulatory-investment-test/2024/rit-t_padr_tower-replacement-hyts-apd.pdf</vt:lpwstr>
      </vt:variant>
      <vt:variant>
        <vt:lpwstr/>
      </vt:variant>
      <vt:variant>
        <vt:i4>1572892</vt:i4>
      </vt:variant>
      <vt:variant>
        <vt:i4>234</vt:i4>
      </vt:variant>
      <vt:variant>
        <vt:i4>0</vt:i4>
      </vt:variant>
      <vt:variant>
        <vt:i4>5</vt:i4>
      </vt:variant>
      <vt:variant>
        <vt:lpwstr>https://www.ausnetservices.com.au/projects-and-innovation/regulatory-investment-test</vt:lpwstr>
      </vt:variant>
      <vt:variant>
        <vt:lpwstr/>
      </vt:variant>
      <vt:variant>
        <vt:i4>6357054</vt:i4>
      </vt:variant>
      <vt:variant>
        <vt:i4>231</vt:i4>
      </vt:variant>
      <vt:variant>
        <vt:i4>0</vt:i4>
      </vt:variant>
      <vt:variant>
        <vt:i4>5</vt:i4>
      </vt:variant>
      <vt:variant>
        <vt:lpwstr>https://aemo.com.au/en/energy-systems/electricity/national-electricity-market-nem/nem-forecasting-and-planning/victorian-planning/victorian-annual-planning-report</vt:lpwstr>
      </vt:variant>
      <vt:variant>
        <vt:lpwstr/>
      </vt:variant>
      <vt:variant>
        <vt:i4>1048586</vt:i4>
      </vt:variant>
      <vt:variant>
        <vt:i4>228</vt:i4>
      </vt:variant>
      <vt:variant>
        <vt:i4>0</vt:i4>
      </vt:variant>
      <vt:variant>
        <vt:i4>5</vt:i4>
      </vt:variant>
      <vt:variant>
        <vt:lpwstr>https://aemo.com.au/en/energy-systems/electricity/national-electricity-market-nem/system-operations/general-power-system-risk-review</vt:lpwstr>
      </vt:variant>
      <vt:variant>
        <vt:lpwstr/>
      </vt:variant>
      <vt:variant>
        <vt:i4>5177350</vt:i4>
      </vt:variant>
      <vt:variant>
        <vt:i4>225</vt:i4>
      </vt:variant>
      <vt:variant>
        <vt:i4>0</vt:i4>
      </vt:variant>
      <vt:variant>
        <vt:i4>5</vt:i4>
      </vt:variant>
      <vt:variant>
        <vt:lpwstr>https://www.aemo.com.au/-/media/files/stakeholder_consultation/consultations/nem-consultations/2024/ssiag/system-strength-impact-assessment-guidelines-v22.pdf?rev=34a4599d005a4687b078d1b8fe1ce917&amp;sc_lang=en</vt:lpwstr>
      </vt:variant>
      <vt:variant>
        <vt:lpwstr/>
      </vt:variant>
      <vt:variant>
        <vt:i4>1769547</vt:i4>
      </vt:variant>
      <vt:variant>
        <vt:i4>222</vt:i4>
      </vt:variant>
      <vt:variant>
        <vt:i4>0</vt:i4>
      </vt:variant>
      <vt:variant>
        <vt:i4>5</vt:i4>
      </vt:variant>
      <vt:variant>
        <vt:lpwstr>https://www.aemo.com.au/-/media/files/electricity/nem/security_and_reliability/congestion-information/victorian-transfer-limit-advice-outages.pdf</vt:lpwstr>
      </vt:variant>
      <vt:variant>
        <vt:lpwstr/>
      </vt:variant>
      <vt:variant>
        <vt:i4>4128808</vt:i4>
      </vt:variant>
      <vt:variant>
        <vt:i4>219</vt:i4>
      </vt:variant>
      <vt:variant>
        <vt:i4>0</vt:i4>
      </vt:variant>
      <vt:variant>
        <vt:i4>5</vt:i4>
      </vt:variant>
      <vt:variant>
        <vt:lpwstr>https://www.aemo.com.au/-/media/files/electricity/nem/security_and_reliability/system_security_planning/final-nscas-description-and-quantity-procedure-determination.pdf</vt:lpwstr>
      </vt:variant>
      <vt:variant>
        <vt:lpwstr/>
      </vt:variant>
      <vt:variant>
        <vt:i4>1703950</vt:i4>
      </vt:variant>
      <vt:variant>
        <vt:i4>216</vt:i4>
      </vt:variant>
      <vt:variant>
        <vt:i4>0</vt:i4>
      </vt:variant>
      <vt:variant>
        <vt:i4>5</vt:i4>
      </vt:variant>
      <vt:variant>
        <vt:lpwstr>https://www.aemo.com.au/energy-systems/electricity/national-electricity-market-nem/nem-forecasting-and-planning/system-security-planning</vt:lpwstr>
      </vt:variant>
      <vt:variant>
        <vt:lpwstr/>
      </vt:variant>
      <vt:variant>
        <vt:i4>7929974</vt:i4>
      </vt:variant>
      <vt:variant>
        <vt:i4>213</vt:i4>
      </vt:variant>
      <vt:variant>
        <vt:i4>0</vt:i4>
      </vt:variant>
      <vt:variant>
        <vt:i4>5</vt:i4>
      </vt:variant>
      <vt:variant>
        <vt:lpwstr>https://aemo.com.au/energy-systems/electricity/national-electricity-market-nem/nem-forecasting-and-planning/victorian-planning/victorian-annual-planning-report</vt:lpwstr>
      </vt:variant>
      <vt:variant>
        <vt:lpwstr/>
      </vt:variant>
      <vt:variant>
        <vt:i4>3997808</vt:i4>
      </vt:variant>
      <vt:variant>
        <vt:i4>210</vt:i4>
      </vt:variant>
      <vt:variant>
        <vt:i4>0</vt:i4>
      </vt:variant>
      <vt:variant>
        <vt:i4>5</vt:i4>
      </vt:variant>
      <vt:variant>
        <vt:lpwstr>https://www.aemo.com.au/energy-systems/electricity/national-electricity-market-nem/nem-forecasting-and-planning/victorian-planning/victorian-transmission-network-service-provider-role</vt:lpwstr>
      </vt:variant>
      <vt:variant>
        <vt:lpwstr/>
      </vt:variant>
      <vt:variant>
        <vt:i4>6619260</vt:i4>
      </vt:variant>
      <vt:variant>
        <vt:i4>207</vt:i4>
      </vt:variant>
      <vt:variant>
        <vt:i4>0</vt:i4>
      </vt:variant>
      <vt:variant>
        <vt:i4>5</vt:i4>
      </vt:variant>
      <vt:variant>
        <vt:lpwstr>https://www.aemo.com.au/-/media/files/electricity/nem/security_and_reliability/system_security_planning/2024-nscas-report.pdf</vt:lpwstr>
      </vt:variant>
      <vt:variant>
        <vt:lpwstr/>
      </vt:variant>
      <vt:variant>
        <vt:i4>1703950</vt:i4>
      </vt:variant>
      <vt:variant>
        <vt:i4>204</vt:i4>
      </vt:variant>
      <vt:variant>
        <vt:i4>0</vt:i4>
      </vt:variant>
      <vt:variant>
        <vt:i4>5</vt:i4>
      </vt:variant>
      <vt:variant>
        <vt:lpwstr>https://www.aemo.com.au/energy-systems/electricity/national-electricity-market-nem/nem-forecasting-and-planning/system-security-planning</vt:lpwstr>
      </vt:variant>
      <vt:variant>
        <vt:lpwstr/>
      </vt:variant>
      <vt:variant>
        <vt:i4>5046293</vt:i4>
      </vt:variant>
      <vt:variant>
        <vt:i4>201</vt:i4>
      </vt:variant>
      <vt:variant>
        <vt:i4>0</vt:i4>
      </vt:variant>
      <vt:variant>
        <vt:i4>5</vt:i4>
      </vt:variant>
      <vt:variant>
        <vt:lpwstr>https://www.aemo.com.au/-/media/files/electricity/nem/security_and_reliability/system_security_planning/2024-system-strength-report.pdf</vt:lpwstr>
      </vt:variant>
      <vt:variant>
        <vt:lpwstr/>
      </vt:variant>
      <vt:variant>
        <vt:i4>3866663</vt:i4>
      </vt:variant>
      <vt:variant>
        <vt:i4>198</vt:i4>
      </vt:variant>
      <vt:variant>
        <vt:i4>0</vt:i4>
      </vt:variant>
      <vt:variant>
        <vt:i4>5</vt:i4>
      </vt:variant>
      <vt:variant>
        <vt:lpwstr>https://www.powercor.com.au/network-planning-and-projects/network-data/</vt:lpwstr>
      </vt:variant>
      <vt:variant>
        <vt:lpwstr/>
      </vt:variant>
      <vt:variant>
        <vt:i4>1572892</vt:i4>
      </vt:variant>
      <vt:variant>
        <vt:i4>195</vt:i4>
      </vt:variant>
      <vt:variant>
        <vt:i4>0</vt:i4>
      </vt:variant>
      <vt:variant>
        <vt:i4>5</vt:i4>
      </vt:variant>
      <vt:variant>
        <vt:lpwstr>https://www.ausnetservices.com.au/projects-and-innovation/regulatory-investment-test</vt:lpwstr>
      </vt:variant>
      <vt:variant>
        <vt:lpwstr/>
      </vt:variant>
      <vt:variant>
        <vt:i4>2162749</vt:i4>
      </vt:variant>
      <vt:variant>
        <vt:i4>192</vt:i4>
      </vt:variant>
      <vt:variant>
        <vt:i4>0</vt:i4>
      </vt:variant>
      <vt:variant>
        <vt:i4>5</vt:i4>
      </vt:variant>
      <vt:variant>
        <vt:lpwstr>https://aemo.com.au/initiatives/major-programs/western-metropolitan-melbourne-reinforcement</vt:lpwstr>
      </vt:variant>
      <vt:variant>
        <vt:lpwstr/>
      </vt:variant>
      <vt:variant>
        <vt:i4>6881399</vt:i4>
      </vt:variant>
      <vt:variant>
        <vt:i4>189</vt:i4>
      </vt:variant>
      <vt:variant>
        <vt:i4>0</vt:i4>
      </vt:variant>
      <vt:variant>
        <vt:i4>5</vt:i4>
      </vt:variant>
      <vt:variant>
        <vt:lpwstr>https://aemo.com.au/initiatives/major-programs/eastern-victoria-grid-reinforcement</vt:lpwstr>
      </vt:variant>
      <vt:variant>
        <vt:lpwstr/>
      </vt:variant>
      <vt:variant>
        <vt:i4>7929974</vt:i4>
      </vt:variant>
      <vt:variant>
        <vt:i4>186</vt:i4>
      </vt:variant>
      <vt:variant>
        <vt:i4>0</vt:i4>
      </vt:variant>
      <vt:variant>
        <vt:i4>5</vt:i4>
      </vt:variant>
      <vt:variant>
        <vt:lpwstr>https://aemo.com.au/energy-systems/electricity/national-electricity-market-nem/nem-forecasting-and-planning/victorian-planning/victorian-annual-planning-report</vt:lpwstr>
      </vt:variant>
      <vt:variant>
        <vt:lpwstr/>
      </vt:variant>
      <vt:variant>
        <vt:i4>458830</vt:i4>
      </vt:variant>
      <vt:variant>
        <vt:i4>183</vt:i4>
      </vt:variant>
      <vt:variant>
        <vt:i4>0</vt:i4>
      </vt:variant>
      <vt:variant>
        <vt:i4>5</vt:i4>
      </vt:variant>
      <vt:variant>
        <vt:lpwstr>https://aemo.com.au/-/media/files/major-publications/isp/2022/2022-documents/2022-integrated-system-plan-isp.pdf</vt:lpwstr>
      </vt:variant>
      <vt:variant>
        <vt:lpwstr/>
      </vt:variant>
      <vt:variant>
        <vt:i4>262150</vt:i4>
      </vt:variant>
      <vt:variant>
        <vt:i4>180</vt:i4>
      </vt:variant>
      <vt:variant>
        <vt:i4>0</vt:i4>
      </vt:variant>
      <vt:variant>
        <vt:i4>5</vt:i4>
      </vt:variant>
      <vt:variant>
        <vt:lpwstr>https://www.energy.vic.gov.au/renewable-energy/offshore-wind-energy/offshore-wind-energy-victoria</vt:lpwstr>
      </vt:variant>
      <vt:variant>
        <vt:lpwstr/>
      </vt:variant>
      <vt:variant>
        <vt:i4>4390993</vt:i4>
      </vt:variant>
      <vt:variant>
        <vt:i4>177</vt:i4>
      </vt:variant>
      <vt:variant>
        <vt:i4>0</vt:i4>
      </vt:variant>
      <vt:variant>
        <vt:i4>5</vt:i4>
      </vt:variant>
      <vt:variant>
        <vt:lpwstr>https://www.energy.vic.gov.au/renewable-energy/vicgrid/offshore-wind-transmission</vt:lpwstr>
      </vt:variant>
      <vt:variant>
        <vt:lpwstr>heading-2</vt:lpwstr>
      </vt:variant>
      <vt:variant>
        <vt:i4>4915284</vt:i4>
      </vt:variant>
      <vt:variant>
        <vt:i4>174</vt:i4>
      </vt:variant>
      <vt:variant>
        <vt:i4>0</vt:i4>
      </vt:variant>
      <vt:variant>
        <vt:i4>5</vt:i4>
      </vt:variant>
      <vt:variant>
        <vt:lpwstr>https://www.energy.vic.gov.au/renewable-energy/vicgrid/for-businesses-and-developers</vt:lpwstr>
      </vt:variant>
      <vt:variant>
        <vt:lpwstr/>
      </vt:variant>
      <vt:variant>
        <vt:i4>7405668</vt:i4>
      </vt:variant>
      <vt:variant>
        <vt:i4>171</vt:i4>
      </vt:variant>
      <vt:variant>
        <vt:i4>0</vt:i4>
      </vt:variant>
      <vt:variant>
        <vt:i4>5</vt:i4>
      </vt:variant>
      <vt:variant>
        <vt:lpwstr>https://www.energy.vic.gov.au/renewable-energy/vicgrid/the-victorian-transmission-plan</vt:lpwstr>
      </vt:variant>
      <vt:variant>
        <vt:lpwstr/>
      </vt:variant>
      <vt:variant>
        <vt:i4>4390942</vt:i4>
      </vt:variant>
      <vt:variant>
        <vt:i4>168</vt:i4>
      </vt:variant>
      <vt:variant>
        <vt:i4>0</vt:i4>
      </vt:variant>
      <vt:variant>
        <vt:i4>5</vt:i4>
      </vt:variant>
      <vt:variant>
        <vt:lpwstr>https://aemo.com.au/initiatives/major-programs/victorian-system-strength-requirement-regulatory-investment-test-for-transmission</vt:lpwstr>
      </vt:variant>
      <vt:variant>
        <vt:lpwstr/>
      </vt:variant>
      <vt:variant>
        <vt:i4>4390926</vt:i4>
      </vt:variant>
      <vt:variant>
        <vt:i4>165</vt:i4>
      </vt:variant>
      <vt:variant>
        <vt:i4>0</vt:i4>
      </vt:variant>
      <vt:variant>
        <vt:i4>5</vt:i4>
      </vt:variant>
      <vt:variant>
        <vt:lpwstr>https://aemo.com.au/energy-systems/electricity/national-electricity-market-nem/nem-forecasting-and-planning/system-security-planning</vt:lpwstr>
      </vt:variant>
      <vt:variant>
        <vt:lpwstr/>
      </vt:variant>
      <vt:variant>
        <vt:i4>6160411</vt:i4>
      </vt:variant>
      <vt:variant>
        <vt:i4>162</vt:i4>
      </vt:variant>
      <vt:variant>
        <vt:i4>0</vt:i4>
      </vt:variant>
      <vt:variant>
        <vt:i4>5</vt:i4>
      </vt:variant>
      <vt:variant>
        <vt:lpwstr>https://aemo.com.au/initiatives/major-programs/metropolitan-melbourne-voltage-management-regulatory-investment-test-for-transmission</vt:lpwstr>
      </vt:variant>
      <vt:variant>
        <vt:lpwstr/>
      </vt:variant>
      <vt:variant>
        <vt:i4>2883616</vt:i4>
      </vt:variant>
      <vt:variant>
        <vt:i4>159</vt:i4>
      </vt:variant>
      <vt:variant>
        <vt:i4>0</vt:i4>
      </vt:variant>
      <vt:variant>
        <vt:i4>5</vt:i4>
      </vt:variant>
      <vt:variant>
        <vt:lpwstr>https://www.transmissionvictoria.com.au/landholders-community/vni-west-project-easement</vt:lpwstr>
      </vt:variant>
      <vt:variant>
        <vt:lpwstr/>
      </vt:variant>
      <vt:variant>
        <vt:i4>8060987</vt:i4>
      </vt:variant>
      <vt:variant>
        <vt:i4>156</vt:i4>
      </vt:variant>
      <vt:variant>
        <vt:i4>0</vt:i4>
      </vt:variant>
      <vt:variant>
        <vt:i4>5</vt:i4>
      </vt:variant>
      <vt:variant>
        <vt:lpwstr>https://hdp-au-prod-app-aemo-transmissionvic-files.s3.ap-southeast-2.amazonaws.com/3917/3156/0132/VNI-West-Corridor-Public-Report-2024.pdf</vt:lpwstr>
      </vt:variant>
      <vt:variant>
        <vt:lpwstr/>
      </vt:variant>
      <vt:variant>
        <vt:i4>917520</vt:i4>
      </vt:variant>
      <vt:variant>
        <vt:i4>153</vt:i4>
      </vt:variant>
      <vt:variant>
        <vt:i4>0</vt:i4>
      </vt:variant>
      <vt:variant>
        <vt:i4>5</vt:i4>
      </vt:variant>
      <vt:variant>
        <vt:lpwstr>https://www.transmissionvictoria.com.au/-/media/16bf3d579a8944f084eb37bd800a13a0.ashx</vt:lpwstr>
      </vt:variant>
      <vt:variant>
        <vt:lpwstr/>
      </vt:variant>
      <vt:variant>
        <vt:i4>2162731</vt:i4>
      </vt:variant>
      <vt:variant>
        <vt:i4>150</vt:i4>
      </vt:variant>
      <vt:variant>
        <vt:i4>0</vt:i4>
      </vt:variant>
      <vt:variant>
        <vt:i4>5</vt:i4>
      </vt:variant>
      <vt:variant>
        <vt:lpwstr>https://aemo.com.au/initiatives/major-programs/vni-west/reports-and-project-updates</vt:lpwstr>
      </vt:variant>
      <vt:variant>
        <vt:lpwstr/>
      </vt:variant>
      <vt:variant>
        <vt:i4>5111817</vt:i4>
      </vt:variant>
      <vt:variant>
        <vt:i4>147</vt:i4>
      </vt:variant>
      <vt:variant>
        <vt:i4>0</vt:i4>
      </vt:variant>
      <vt:variant>
        <vt:i4>5</vt:i4>
      </vt:variant>
      <vt:variant>
        <vt:lpwstr>https://www.aemo.com.au/-/media/files/stakeholder_consultation/consultations/nem-consultations/2025/2025-electricity-network-options-report/draft-2025-electricity-network-options-report.pdf?rev=48fb0dd2d3dd43e59d8fb92862bc27a4&amp;sc_lang=en</vt:lpwstr>
      </vt:variant>
      <vt:variant>
        <vt:lpwstr/>
      </vt:variant>
      <vt:variant>
        <vt:i4>6226012</vt:i4>
      </vt:variant>
      <vt:variant>
        <vt:i4>144</vt:i4>
      </vt:variant>
      <vt:variant>
        <vt:i4>0</vt:i4>
      </vt:variant>
      <vt:variant>
        <vt:i4>5</vt:i4>
      </vt:variant>
      <vt:variant>
        <vt:lpwstr>https://www.westernrenewableslink.com.au/</vt:lpwstr>
      </vt:variant>
      <vt:variant>
        <vt:lpwstr/>
      </vt:variant>
      <vt:variant>
        <vt:i4>6094922</vt:i4>
      </vt:variant>
      <vt:variant>
        <vt:i4>141</vt:i4>
      </vt:variant>
      <vt:variant>
        <vt:i4>0</vt:i4>
      </vt:variant>
      <vt:variant>
        <vt:i4>5</vt:i4>
      </vt:variant>
      <vt:variant>
        <vt:lpwstr>https://www.aemo.com.au/initiatives/major-programs/western-victorian-regulatory-investment-test-for-transmission</vt:lpwstr>
      </vt:variant>
      <vt:variant>
        <vt:lpwstr/>
      </vt:variant>
      <vt:variant>
        <vt:i4>5832773</vt:i4>
      </vt:variant>
      <vt:variant>
        <vt:i4>138</vt:i4>
      </vt:variant>
      <vt:variant>
        <vt:i4>0</vt:i4>
      </vt:variant>
      <vt:variant>
        <vt:i4>5</vt:i4>
      </vt:variant>
      <vt:variant>
        <vt:lpwstr>http://www.gazette.vic.gov.au/gazette/Gazettes2022/GG2022S547.pdf</vt:lpwstr>
      </vt:variant>
      <vt:variant>
        <vt:lpwstr/>
      </vt:variant>
      <vt:variant>
        <vt:i4>3801174</vt:i4>
      </vt:variant>
      <vt:variant>
        <vt:i4>135</vt:i4>
      </vt:variant>
      <vt:variant>
        <vt:i4>0</vt:i4>
      </vt:variant>
      <vt:variant>
        <vt:i4>5</vt:i4>
      </vt:variant>
      <vt:variant>
        <vt:lpwstr>https://www.energy.vic.gov.au/__data/assets/pdf_file/0016/512422/DELWP_REZ-Development-Plan-Directions-Paper_Feb23-updated.pdf</vt:lpwstr>
      </vt:variant>
      <vt:variant>
        <vt:lpwstr/>
      </vt:variant>
      <vt:variant>
        <vt:i4>5046272</vt:i4>
      </vt:variant>
      <vt:variant>
        <vt:i4>132</vt:i4>
      </vt:variant>
      <vt:variant>
        <vt:i4>0</vt:i4>
      </vt:variant>
      <vt:variant>
        <vt:i4>5</vt:i4>
      </vt:variant>
      <vt:variant>
        <vt:lpwstr>https://www.aemo.com.au/-/media/files/major-publications/isp/2022/appendix-3-renewable-energy-zones.pdf?la=en</vt:lpwstr>
      </vt:variant>
      <vt:variant>
        <vt:lpwstr/>
      </vt:variant>
      <vt:variant>
        <vt:i4>4128874</vt:i4>
      </vt:variant>
      <vt:variant>
        <vt:i4>129</vt:i4>
      </vt:variant>
      <vt:variant>
        <vt:i4>0</vt:i4>
      </vt:variant>
      <vt:variant>
        <vt:i4>5</vt:i4>
      </vt:variant>
      <vt:variant>
        <vt:lpwstr>https://aemo.com.au/en/energy-systems/major-publications/integrated-system-plan-isp/2022-integrated-system-plan-isp/isp-methodology</vt:lpwstr>
      </vt:variant>
      <vt:variant>
        <vt:lpwstr/>
      </vt:variant>
      <vt:variant>
        <vt:i4>3276851</vt:i4>
      </vt:variant>
      <vt:variant>
        <vt:i4>126</vt:i4>
      </vt:variant>
      <vt:variant>
        <vt:i4>0</vt:i4>
      </vt:variant>
      <vt:variant>
        <vt:i4>5</vt:i4>
      </vt:variant>
      <vt:variant>
        <vt:lpwstr>https://aemo.com.au/en/energy-systems/electricity/national-electricity-market-nem/nem-forecasting-and-planning/forecasting-and-reliability/nem-electricity-statement-of-opportunities-esoo</vt:lpwstr>
      </vt:variant>
      <vt:variant>
        <vt:lpwstr/>
      </vt:variant>
      <vt:variant>
        <vt:i4>1769488</vt:i4>
      </vt:variant>
      <vt:variant>
        <vt:i4>123</vt:i4>
      </vt:variant>
      <vt:variant>
        <vt:i4>0</vt:i4>
      </vt:variant>
      <vt:variant>
        <vt:i4>5</vt:i4>
      </vt:variant>
      <vt:variant>
        <vt:lpwstr>https://www.infrastructure.gov.au/infrastructure-transport-vehicles/vehicles/new-vehicle-efficiency-standard</vt:lpwstr>
      </vt:variant>
      <vt:variant>
        <vt:lpwstr/>
      </vt:variant>
      <vt:variant>
        <vt:i4>917593</vt:i4>
      </vt:variant>
      <vt:variant>
        <vt:i4>120</vt:i4>
      </vt:variant>
      <vt:variant>
        <vt:i4>0</vt:i4>
      </vt:variant>
      <vt:variant>
        <vt:i4>5</vt:i4>
      </vt:variant>
      <vt:variant>
        <vt:lpwstr>https://www.dcceew.gov.au/energy/programs/cheaper-home-batteries</vt:lpwstr>
      </vt:variant>
      <vt:variant>
        <vt:lpwstr/>
      </vt:variant>
      <vt:variant>
        <vt:i4>3276851</vt:i4>
      </vt:variant>
      <vt:variant>
        <vt:i4>117</vt:i4>
      </vt:variant>
      <vt:variant>
        <vt:i4>0</vt:i4>
      </vt:variant>
      <vt:variant>
        <vt:i4>5</vt:i4>
      </vt:variant>
      <vt:variant>
        <vt:lpwstr>https://aemo.com.au/en/energy-systems/electricity/national-electricity-market-nem/nem-forecasting-and-planning/forecasting-and-reliability/nem-electricity-statement-of-opportunities-esoo</vt:lpwstr>
      </vt:variant>
      <vt:variant>
        <vt:lpwstr/>
      </vt:variant>
      <vt:variant>
        <vt:i4>2883639</vt:i4>
      </vt:variant>
      <vt:variant>
        <vt:i4>114</vt:i4>
      </vt:variant>
      <vt:variant>
        <vt:i4>0</vt:i4>
      </vt:variant>
      <vt:variant>
        <vt:i4>5</vt:i4>
      </vt:variant>
      <vt:variant>
        <vt:lpwstr>https://www.legislation.gov.au/C2024A00034/asmade/text</vt:lpwstr>
      </vt:variant>
      <vt:variant>
        <vt:lpwstr/>
      </vt:variant>
      <vt:variant>
        <vt:i4>1769500</vt:i4>
      </vt:variant>
      <vt:variant>
        <vt:i4>111</vt:i4>
      </vt:variant>
      <vt:variant>
        <vt:i4>0</vt:i4>
      </vt:variant>
      <vt:variant>
        <vt:i4>5</vt:i4>
      </vt:variant>
      <vt:variant>
        <vt:lpwstr>https://www.pm.gov.au/media/meeting-national-cabinet-working-together-deliver-better-housing-outcomes</vt:lpwstr>
      </vt:variant>
      <vt:variant>
        <vt:lpwstr/>
      </vt:variant>
      <vt:variant>
        <vt:i4>23</vt:i4>
      </vt:variant>
      <vt:variant>
        <vt:i4>108</vt:i4>
      </vt:variant>
      <vt:variant>
        <vt:i4>0</vt:i4>
      </vt:variant>
      <vt:variant>
        <vt:i4>5</vt:i4>
      </vt:variant>
      <vt:variant>
        <vt:lpwstr>https://www.solar.vic.gov.au/solar-homes-program</vt:lpwstr>
      </vt:variant>
      <vt:variant>
        <vt:lpwstr/>
      </vt:variant>
      <vt:variant>
        <vt:i4>983126</vt:i4>
      </vt:variant>
      <vt:variant>
        <vt:i4>105</vt:i4>
      </vt:variant>
      <vt:variant>
        <vt:i4>0</vt:i4>
      </vt:variant>
      <vt:variant>
        <vt:i4>5</vt:i4>
      </vt:variant>
      <vt:variant>
        <vt:lpwstr>https://www.energy.vic.gov.au/victorian-energy-upgrades/about</vt:lpwstr>
      </vt:variant>
      <vt:variant>
        <vt:lpwstr/>
      </vt:variant>
      <vt:variant>
        <vt:i4>2031633</vt:i4>
      </vt:variant>
      <vt:variant>
        <vt:i4>102</vt:i4>
      </vt:variant>
      <vt:variant>
        <vt:i4>0</vt:i4>
      </vt:variant>
      <vt:variant>
        <vt:i4>5</vt:i4>
      </vt:variant>
      <vt:variant>
        <vt:lpwstr>https://www.energy.vic.gov.au/households/electric-and-efficiency-standards-for-buildings</vt:lpwstr>
      </vt:variant>
      <vt:variant>
        <vt:lpwstr/>
      </vt:variant>
      <vt:variant>
        <vt:i4>2097270</vt:i4>
      </vt:variant>
      <vt:variant>
        <vt:i4>99</vt:i4>
      </vt:variant>
      <vt:variant>
        <vt:i4>0</vt:i4>
      </vt:variant>
      <vt:variant>
        <vt:i4>5</vt:i4>
      </vt:variant>
      <vt:variant>
        <vt:lpwstr>https://www.aemo.com.au/energy-systems/electricity/national-electricity-market-nem/nem-forecasting-and-planning/victorian-planning/victorian-annual-planning-report</vt:lpwstr>
      </vt:variant>
      <vt:variant>
        <vt:lpwstr/>
      </vt:variant>
      <vt:variant>
        <vt:i4>6357054</vt:i4>
      </vt:variant>
      <vt:variant>
        <vt:i4>96</vt:i4>
      </vt:variant>
      <vt:variant>
        <vt:i4>0</vt:i4>
      </vt:variant>
      <vt:variant>
        <vt:i4>5</vt:i4>
      </vt:variant>
      <vt:variant>
        <vt:lpwstr>https://aemo.com.au/en/energy-systems/electricity/national-electricity-market-nem/nem-forecasting-and-planning/victorian-planning/victorian-annual-planning-report</vt:lpwstr>
      </vt:variant>
      <vt:variant>
        <vt:lpwstr/>
      </vt:variant>
      <vt:variant>
        <vt:i4>3997792</vt:i4>
      </vt:variant>
      <vt:variant>
        <vt:i4>93</vt:i4>
      </vt:variant>
      <vt:variant>
        <vt:i4>0</vt:i4>
      </vt:variant>
      <vt:variant>
        <vt:i4>5</vt:i4>
      </vt:variant>
      <vt:variant>
        <vt:lpwstr>https://www.aemo.com.au/-/media/Files/Electricity/NEM/Planning_and_Forecasting/Demand-Forecasts/Operational-Consumption-definition.pdf</vt:lpwstr>
      </vt:variant>
      <vt:variant>
        <vt:lpwstr/>
      </vt:variant>
      <vt:variant>
        <vt:i4>6094910</vt:i4>
      </vt:variant>
      <vt:variant>
        <vt:i4>90</vt:i4>
      </vt:variant>
      <vt:variant>
        <vt:i4>0</vt:i4>
      </vt:variant>
      <vt:variant>
        <vt:i4>5</vt:i4>
      </vt:variant>
      <vt:variant>
        <vt:lpwstr>https://www.aemo.com.au/-/media/files/electricity/nem/planning_and_forecasting/nem_esoo/2025/2025-electricity-statement-of-opportunities.pdf</vt:lpwstr>
      </vt:variant>
      <vt:variant>
        <vt:lpwstr/>
      </vt:variant>
      <vt:variant>
        <vt:i4>2097270</vt:i4>
      </vt:variant>
      <vt:variant>
        <vt:i4>87</vt:i4>
      </vt:variant>
      <vt:variant>
        <vt:i4>0</vt:i4>
      </vt:variant>
      <vt:variant>
        <vt:i4>5</vt:i4>
      </vt:variant>
      <vt:variant>
        <vt:lpwstr>https://www.aemo.com.au/energy-systems/electricity/national-electricity-market-nem/nem-forecasting-and-planning/victorian-planning/victorian-annual-planning-report</vt:lpwstr>
      </vt:variant>
      <vt:variant>
        <vt:lpwstr/>
      </vt:variant>
      <vt:variant>
        <vt:i4>65630</vt:i4>
      </vt:variant>
      <vt:variant>
        <vt:i4>84</vt:i4>
      </vt:variant>
      <vt:variant>
        <vt:i4>0</vt:i4>
      </vt:variant>
      <vt:variant>
        <vt:i4>5</vt:i4>
      </vt:variant>
      <vt:variant>
        <vt:lpwstr>https://aemo.com.au/energy-systems/electricity/national-electricity-market-nem/participate-in-the-market/network-connections/register-of-large-generators---victoria</vt:lpwstr>
      </vt:variant>
      <vt:variant>
        <vt:lpwstr/>
      </vt:variant>
      <vt:variant>
        <vt:i4>4587530</vt:i4>
      </vt:variant>
      <vt:variant>
        <vt:i4>81</vt:i4>
      </vt:variant>
      <vt:variant>
        <vt:i4>0</vt:i4>
      </vt:variant>
      <vt:variant>
        <vt:i4>5</vt:i4>
      </vt:variant>
      <vt:variant>
        <vt:lpwstr>https://www.energy.vic.gov.au/renewable-energy/victorian-renewable-energy-and-storage-targets/victorian-renewable-energy-target-auction-vret2</vt:lpwstr>
      </vt:variant>
      <vt:variant>
        <vt:lpwstr/>
      </vt:variant>
      <vt:variant>
        <vt:i4>65622</vt:i4>
      </vt:variant>
      <vt:variant>
        <vt:i4>78</vt:i4>
      </vt:variant>
      <vt:variant>
        <vt:i4>0</vt:i4>
      </vt:variant>
      <vt:variant>
        <vt:i4>5</vt:i4>
      </vt:variant>
      <vt:variant>
        <vt:lpwstr>https://www.energy.vic.gov.au/renewable-energy/vicgrid/offshore-wind-transmission</vt:lpwstr>
      </vt:variant>
      <vt:variant>
        <vt:lpwstr/>
      </vt:variant>
      <vt:variant>
        <vt:i4>7536667</vt:i4>
      </vt:variant>
      <vt:variant>
        <vt:i4>75</vt:i4>
      </vt:variant>
      <vt:variant>
        <vt:i4>0</vt:i4>
      </vt:variant>
      <vt:variant>
        <vt:i4>5</vt:i4>
      </vt:variant>
      <vt:variant>
        <vt:lpwstr>https://www.energy.vic.gov.au/__data/assets/pdf_file/0028/580618/Victorian-Renewable-energy-zones-development-plan-directions-paper.pdf</vt:lpwstr>
      </vt:variant>
      <vt:variant>
        <vt:lpwstr/>
      </vt:variant>
      <vt:variant>
        <vt:i4>852074</vt:i4>
      </vt:variant>
      <vt:variant>
        <vt:i4>72</vt:i4>
      </vt:variant>
      <vt:variant>
        <vt:i4>0</vt:i4>
      </vt:variant>
      <vt:variant>
        <vt:i4>5</vt:i4>
      </vt:variant>
      <vt:variant>
        <vt:lpwstr>https://www.energy.vic.gov.au/__data/assets/pdf_file/0019/761023/2025-Victorian-Transmission-Plan.pdf</vt:lpwstr>
      </vt:variant>
      <vt:variant>
        <vt:lpwstr/>
      </vt:variant>
      <vt:variant>
        <vt:i4>1310793</vt:i4>
      </vt:variant>
      <vt:variant>
        <vt:i4>69</vt:i4>
      </vt:variant>
      <vt:variant>
        <vt:i4>0</vt:i4>
      </vt:variant>
      <vt:variant>
        <vt:i4>5</vt:i4>
      </vt:variant>
      <vt:variant>
        <vt:lpwstr>https://engage.vic.gov.au/download/document/31853</vt:lpwstr>
      </vt:variant>
      <vt:variant>
        <vt:lpwstr/>
      </vt:variant>
      <vt:variant>
        <vt:i4>5963803</vt:i4>
      </vt:variant>
      <vt:variant>
        <vt:i4>66</vt:i4>
      </vt:variant>
      <vt:variant>
        <vt:i4>0</vt:i4>
      </vt:variant>
      <vt:variant>
        <vt:i4>5</vt:i4>
      </vt:variant>
      <vt:variant>
        <vt:lpwstr>https://aemo.com.au/-/media/files/electricity/nem/security_and_reliability/system_security_planning/2024-inertia-report.pdf</vt:lpwstr>
      </vt:variant>
      <vt:variant>
        <vt:lpwstr/>
      </vt:variant>
      <vt:variant>
        <vt:i4>7405668</vt:i4>
      </vt:variant>
      <vt:variant>
        <vt:i4>63</vt:i4>
      </vt:variant>
      <vt:variant>
        <vt:i4>0</vt:i4>
      </vt:variant>
      <vt:variant>
        <vt:i4>5</vt:i4>
      </vt:variant>
      <vt:variant>
        <vt:lpwstr>https://www.energy.vic.gov.au/renewable-energy/vicgrid/the-victorian-transmission-plan</vt:lpwstr>
      </vt:variant>
      <vt:variant>
        <vt:lpwstr/>
      </vt:variant>
      <vt:variant>
        <vt:i4>196689</vt:i4>
      </vt:variant>
      <vt:variant>
        <vt:i4>60</vt:i4>
      </vt:variant>
      <vt:variant>
        <vt:i4>0</vt:i4>
      </vt:variant>
      <vt:variant>
        <vt:i4>5</vt:i4>
      </vt:variant>
      <vt:variant>
        <vt:lpwstr>https://www.aemo.com.au/initiatives/major-programs/nem-distributed-energy-resources-der-program/managing-distributed-energy-resources-in-operations/managing-minimum-system-load</vt:lpwstr>
      </vt:variant>
      <vt:variant>
        <vt:lpwstr/>
      </vt:variant>
      <vt:variant>
        <vt:i4>2293877</vt:i4>
      </vt:variant>
      <vt:variant>
        <vt:i4>57</vt:i4>
      </vt:variant>
      <vt:variant>
        <vt:i4>0</vt:i4>
      </vt:variant>
      <vt:variant>
        <vt:i4>5</vt:i4>
      </vt:variant>
      <vt:variant>
        <vt:lpwstr>https://www.aemo.com.au/-/media/files/initiatives/der/managing-minimum-system-load/supporting-secure-operation-with-high-levels-of-distributed-resources-q4-2024.pdf?la=en</vt:lpwstr>
      </vt:variant>
      <vt:variant>
        <vt:lpwstr/>
      </vt:variant>
      <vt:variant>
        <vt:i4>2097270</vt:i4>
      </vt:variant>
      <vt:variant>
        <vt:i4>54</vt:i4>
      </vt:variant>
      <vt:variant>
        <vt:i4>0</vt:i4>
      </vt:variant>
      <vt:variant>
        <vt:i4>5</vt:i4>
      </vt:variant>
      <vt:variant>
        <vt:lpwstr>https://www.aemo.com.au/energy-systems/electricity/national-electricity-market-nem/nem-forecasting-and-planning/victorian-planning/victorian-annual-planning-report</vt:lpwstr>
      </vt:variant>
      <vt:variant>
        <vt:lpwstr/>
      </vt:variant>
      <vt:variant>
        <vt:i4>2752629</vt:i4>
      </vt:variant>
      <vt:variant>
        <vt:i4>51</vt:i4>
      </vt:variant>
      <vt:variant>
        <vt:i4>0</vt:i4>
      </vt:variant>
      <vt:variant>
        <vt:i4>5</vt:i4>
      </vt:variant>
      <vt:variant>
        <vt:lpwstr>https://aemo.com.au/en/energy-systems/major-publications/integrated-system-plan-isp/2024-integrated-system-plan-isp</vt:lpwstr>
      </vt:variant>
      <vt:variant>
        <vt:lpwstr/>
      </vt:variant>
      <vt:variant>
        <vt:i4>2949182</vt:i4>
      </vt:variant>
      <vt:variant>
        <vt:i4>48</vt:i4>
      </vt:variant>
      <vt:variant>
        <vt:i4>0</vt:i4>
      </vt:variant>
      <vt:variant>
        <vt:i4>5</vt:i4>
      </vt:variant>
      <vt:variant>
        <vt:lpwstr>https://www.aemo.com.au/energy-systems/electricity/national-electricity-market-nem/nem-forecasting-and-planning/forecasting-and-reliability/nem-electricity-statement-of-opportunities-esoo</vt:lpwstr>
      </vt:variant>
      <vt:variant>
        <vt:lpwstr/>
      </vt:variant>
      <vt:variant>
        <vt:i4>2097270</vt:i4>
      </vt:variant>
      <vt:variant>
        <vt:i4>45</vt:i4>
      </vt:variant>
      <vt:variant>
        <vt:i4>0</vt:i4>
      </vt:variant>
      <vt:variant>
        <vt:i4>5</vt:i4>
      </vt:variant>
      <vt:variant>
        <vt:lpwstr>https://www.aemo.com.au/energy-systems/electricity/national-electricity-market-nem/nem-forecasting-and-planning/victorian-planning/victorian-annual-planning-report</vt:lpwstr>
      </vt:variant>
      <vt:variant>
        <vt:lpwstr/>
      </vt:variant>
      <vt:variant>
        <vt:i4>6357054</vt:i4>
      </vt:variant>
      <vt:variant>
        <vt:i4>42</vt:i4>
      </vt:variant>
      <vt:variant>
        <vt:i4>0</vt:i4>
      </vt:variant>
      <vt:variant>
        <vt:i4>5</vt:i4>
      </vt:variant>
      <vt:variant>
        <vt:lpwstr>https://aemo.com.au/en/energy-systems/electricity/national-electricity-market-nem/nem-forecasting-and-planning/victorian-planning/victorian-annual-planning-report</vt:lpwstr>
      </vt:variant>
      <vt:variant>
        <vt:lpwstr/>
      </vt:variant>
      <vt:variant>
        <vt:i4>7405668</vt:i4>
      </vt:variant>
      <vt:variant>
        <vt:i4>39</vt:i4>
      </vt:variant>
      <vt:variant>
        <vt:i4>0</vt:i4>
      </vt:variant>
      <vt:variant>
        <vt:i4>5</vt:i4>
      </vt:variant>
      <vt:variant>
        <vt:lpwstr>https://www.energy.vic.gov.au/renewable-energy/vicgrid/the-victorian-transmission-plan</vt:lpwstr>
      </vt:variant>
      <vt:variant>
        <vt:lpwstr/>
      </vt:variant>
      <vt:variant>
        <vt:i4>1310793</vt:i4>
      </vt:variant>
      <vt:variant>
        <vt:i4>36</vt:i4>
      </vt:variant>
      <vt:variant>
        <vt:i4>0</vt:i4>
      </vt:variant>
      <vt:variant>
        <vt:i4>5</vt:i4>
      </vt:variant>
      <vt:variant>
        <vt:lpwstr>https://engage.vic.gov.au/download/document/31853</vt:lpwstr>
      </vt:variant>
      <vt:variant>
        <vt:lpwstr/>
      </vt:variant>
      <vt:variant>
        <vt:i4>2162745</vt:i4>
      </vt:variant>
      <vt:variant>
        <vt:i4>33</vt:i4>
      </vt:variant>
      <vt:variant>
        <vt:i4>0</vt:i4>
      </vt:variant>
      <vt:variant>
        <vt:i4>5</vt:i4>
      </vt:variant>
      <vt:variant>
        <vt:lpwstr>https://www.energy.vic.gov.au/renewable-energy/vicgrid</vt:lpwstr>
      </vt:variant>
      <vt:variant>
        <vt:lpwstr/>
      </vt:variant>
      <vt:variant>
        <vt:i4>6553712</vt:i4>
      </vt:variant>
      <vt:variant>
        <vt:i4>30</vt:i4>
      </vt:variant>
      <vt:variant>
        <vt:i4>0</vt:i4>
      </vt:variant>
      <vt:variant>
        <vt:i4>5</vt:i4>
      </vt:variant>
      <vt:variant>
        <vt:lpwstr>https://aemo.com.au/energy-systems/electricity/national-electricity-market-nem/nem-forecasting-and-planning/victorian-planning/victorian-transmission-network-service-provider-role</vt:lpwstr>
      </vt:variant>
      <vt:variant>
        <vt:lpwstr/>
      </vt:variant>
      <vt:variant>
        <vt:i4>7143499</vt:i4>
      </vt:variant>
      <vt:variant>
        <vt:i4>27</vt:i4>
      </vt:variant>
      <vt:variant>
        <vt:i4>0</vt:i4>
      </vt:variant>
      <vt:variant>
        <vt:i4>5</vt:i4>
      </vt:variant>
      <vt:variant>
        <vt:lpwstr>https://dapr.ausnetservices.com.au/ausnet_data/2023 TCPR.pdf</vt:lpwstr>
      </vt:variant>
      <vt:variant>
        <vt:lpwstr/>
      </vt:variant>
      <vt:variant>
        <vt:i4>7405668</vt:i4>
      </vt:variant>
      <vt:variant>
        <vt:i4>24</vt:i4>
      </vt:variant>
      <vt:variant>
        <vt:i4>0</vt:i4>
      </vt:variant>
      <vt:variant>
        <vt:i4>5</vt:i4>
      </vt:variant>
      <vt:variant>
        <vt:lpwstr>https://www.energy.vic.gov.au/renewable-energy/vicgrid/the-victorian-transmission-plan</vt:lpwstr>
      </vt:variant>
      <vt:variant>
        <vt:lpwstr/>
      </vt:variant>
      <vt:variant>
        <vt:i4>3276844</vt:i4>
      </vt:variant>
      <vt:variant>
        <vt:i4>21</vt:i4>
      </vt:variant>
      <vt:variant>
        <vt:i4>0</vt:i4>
      </vt:variant>
      <vt:variant>
        <vt:i4>5</vt:i4>
      </vt:variant>
      <vt:variant>
        <vt:lpwstr>https://aemo.com.au/en/energy-systems/electricity/national-electricity-market-nem/nem-forecasting-and-planning/forecasting-and-planning-data/transmission-augmentation-information</vt:lpwstr>
      </vt:variant>
      <vt:variant>
        <vt:lpwstr/>
      </vt:variant>
      <vt:variant>
        <vt:i4>65630</vt:i4>
      </vt:variant>
      <vt:variant>
        <vt:i4>18</vt:i4>
      </vt:variant>
      <vt:variant>
        <vt:i4>0</vt:i4>
      </vt:variant>
      <vt:variant>
        <vt:i4>5</vt:i4>
      </vt:variant>
      <vt:variant>
        <vt:lpwstr>https://aemo.com.au/energy-systems/electricity/national-electricity-market-nem/participate-in-the-market/network-connections/register-of-large-generators---victoria</vt:lpwstr>
      </vt:variant>
      <vt:variant>
        <vt:lpwstr/>
      </vt:variant>
      <vt:variant>
        <vt:i4>3997804</vt:i4>
      </vt:variant>
      <vt:variant>
        <vt:i4>15</vt:i4>
      </vt:variant>
      <vt:variant>
        <vt:i4>0</vt:i4>
      </vt:variant>
      <vt:variant>
        <vt:i4>5</vt:i4>
      </vt:variant>
      <vt:variant>
        <vt:lpwstr>https://aemo.com.au/en/energy-systems/electricity/national-electricity-market-nem/nem-forecasting-and-planning/forecasting-and-planning-data/generation-information</vt:lpwstr>
      </vt:variant>
      <vt:variant>
        <vt:lpwstr/>
      </vt:variant>
      <vt:variant>
        <vt:i4>4194373</vt:i4>
      </vt:variant>
      <vt:variant>
        <vt:i4>12</vt:i4>
      </vt:variant>
      <vt:variant>
        <vt:i4>0</vt:i4>
      </vt:variant>
      <vt:variant>
        <vt:i4>5</vt:i4>
      </vt:variant>
      <vt:variant>
        <vt:lpwstr>https://aemo.com.au/energy-systems/electricity/national-electricity-market-nem/nem-forecasting-and-planning/forecasting-and-planning-data/electricity-forecasting-data-portal</vt:lpwstr>
      </vt:variant>
      <vt:variant>
        <vt:lpwstr/>
      </vt:variant>
      <vt:variant>
        <vt:i4>7864381</vt:i4>
      </vt:variant>
      <vt:variant>
        <vt:i4>9</vt:i4>
      </vt:variant>
      <vt:variant>
        <vt:i4>0</vt:i4>
      </vt:variant>
      <vt:variant>
        <vt:i4>5</vt:i4>
      </vt:variant>
      <vt:variant>
        <vt:lpwstr>https://www.aemo.com.au/initiatives/major-programs/western-metropolitan-melbourne-reinforcement</vt:lpwstr>
      </vt:variant>
      <vt:variant>
        <vt:lpwstr/>
      </vt:variant>
      <vt:variant>
        <vt:i4>7143458</vt:i4>
      </vt:variant>
      <vt:variant>
        <vt:i4>6</vt:i4>
      </vt:variant>
      <vt:variant>
        <vt:i4>0</vt:i4>
      </vt:variant>
      <vt:variant>
        <vt:i4>5</vt:i4>
      </vt:variant>
      <vt:variant>
        <vt:lpwstr>https://www.aemo.com.au/consultations/current-and-closed-consultations/ausnet-services-padr-maintain-reliable-transmission-network-services-at-keilor-terminal-station</vt:lpwstr>
      </vt:variant>
      <vt:variant>
        <vt:lpwstr/>
      </vt:variant>
      <vt:variant>
        <vt:i4>3997792</vt:i4>
      </vt:variant>
      <vt:variant>
        <vt:i4>3</vt:i4>
      </vt:variant>
      <vt:variant>
        <vt:i4>0</vt:i4>
      </vt:variant>
      <vt:variant>
        <vt:i4>5</vt:i4>
      </vt:variant>
      <vt:variant>
        <vt:lpwstr>https://www.aemo.com.au/-/media/Files/Electricity/NEM/Planning_and_Forecasting/Demand-Forecasts/Operational-Consumption-definition.pdf</vt:lpwstr>
      </vt:variant>
      <vt:variant>
        <vt:lpwstr/>
      </vt:variant>
      <vt:variant>
        <vt:i4>5767262</vt:i4>
      </vt:variant>
      <vt:variant>
        <vt:i4>0</vt:i4>
      </vt:variant>
      <vt:variant>
        <vt:i4>0</vt:i4>
      </vt:variant>
      <vt:variant>
        <vt:i4>5</vt:i4>
      </vt:variant>
      <vt:variant>
        <vt:lpwstr>https://www.aemo.com.au/energy-systems/electricity/national-electricity-market-nem/participate-in-the-market/network-connections/register-of-large-generators---victoria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Victorian Annual Planning Report</dc:title>
  <dc:subject/>
  <dc:creator/>
  <cp:keywords/>
  <dc:description/>
  <cp:lastModifiedBy/>
  <cp:revision>1</cp:revision>
  <dcterms:created xsi:type="dcterms:W3CDTF">2025-10-22T18:22:00Z</dcterms:created>
  <dcterms:modified xsi:type="dcterms:W3CDTF">2025-11-11T01:11:00Z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SIP_Label_c1941c47-a837-430d-8559-fd118a72769e_ActionId">
    <vt:lpwstr>3dc442a7-29b5-4eac-bea4-87691851e25f</vt:lpwstr>
  </property>
  <property fmtid="{D5CDD505-2E9C-101B-9397-08002B2CF9AE}" pid="4" name="MSIP_Label_c1941c47-a837-430d-8559-fd118a72769e_ContentBits">
    <vt:lpwstr>0</vt:lpwstr>
  </property>
  <property fmtid="{D5CDD505-2E9C-101B-9397-08002B2CF9AE}" pid="5" name="AEMO Collaboration Document Type">
    <vt:lpwstr/>
  </property>
  <property fmtid="{D5CDD505-2E9C-101B-9397-08002B2CF9AE}" pid="6" name="MediaServiceImageTags">
    <vt:lpwstr/>
  </property>
  <property fmtid="{D5CDD505-2E9C-101B-9397-08002B2CF9AE}" pid="7" name="xd_ProgID">
    <vt:lpwstr/>
  </property>
  <property fmtid="{D5CDD505-2E9C-101B-9397-08002B2CF9AE}" pid="8" name="ContentTypeId">
    <vt:lpwstr>0x0101002F0B48F8F4F7904196E710056827A096009A2A34CB2C678B4595419B1788F379F0</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AEMO Communication Document Type1">
    <vt:lpwstr/>
  </property>
  <property fmtid="{D5CDD505-2E9C-101B-9397-08002B2CF9AE}" pid="13" name="MSIP_Label_c1941c47-a837-430d-8559-fd118a72769e_Enabled">
    <vt:lpwstr>true</vt:lpwstr>
  </property>
  <property fmtid="{D5CDD505-2E9C-101B-9397-08002B2CF9AE}" pid="14" name="TriggerFlowInfo">
    <vt:lpwstr/>
  </property>
  <property fmtid="{D5CDD505-2E9C-101B-9397-08002B2CF9AE}" pid="15" name="MSIP_Label_c1941c47-a837-430d-8559-fd118a72769e_Name">
    <vt:lpwstr>Internal</vt:lpwstr>
  </property>
  <property fmtid="{D5CDD505-2E9C-101B-9397-08002B2CF9AE}" pid="16" name="docLang">
    <vt:lpwstr>en</vt:lpwstr>
  </property>
  <property fmtid="{D5CDD505-2E9C-101B-9397-08002B2CF9AE}" pid="17" name="MSIP_Label_c1941c47-a837-430d-8559-fd118a72769e_SetDate">
    <vt:lpwstr>2024-01-05T04:02:40Z</vt:lpwstr>
  </property>
  <property fmtid="{D5CDD505-2E9C-101B-9397-08002B2CF9AE}" pid="18" name="xd_Signature">
    <vt:bool>false</vt:bool>
  </property>
  <property fmtid="{D5CDD505-2E9C-101B-9397-08002B2CF9AE}" pid="19" name="GrammarlyDocumentId">
    <vt:lpwstr>326bb53736468c06a8493db34c7d654ceecb8c4a1af2c9dc3111f99a8659e185</vt:lpwstr>
  </property>
  <property fmtid="{D5CDD505-2E9C-101B-9397-08002B2CF9AE}" pid="20" name="lcf76f155ced4ddcb4097134ff3c332f">
    <vt:lpwstr/>
  </property>
  <property fmtid="{D5CDD505-2E9C-101B-9397-08002B2CF9AE}" pid="21" name="AEMO_x0020_Collaboration_x0020_Document_x0020_Type">
    <vt:lpwstr/>
  </property>
  <property fmtid="{D5CDD505-2E9C-101B-9397-08002B2CF9AE}" pid="22" name="MSIP_Label_c1941c47-a837-430d-8559-fd118a72769e_SiteId">
    <vt:lpwstr>320c999e-3876-4ad0-b401-d241068e9e60</vt:lpwstr>
  </property>
  <property fmtid="{D5CDD505-2E9C-101B-9397-08002B2CF9AE}" pid="23" name="MSIP_Label_c1941c47-a837-430d-8559-fd118a72769e_Method">
    <vt:lpwstr>Standard</vt:lpwstr>
  </property>
</Properties>
</file>